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805F99" w14:textId="77777777" w:rsidR="00191939" w:rsidRDefault="00191939" w:rsidP="00191939">
      <w:pPr>
        <w:rPr>
          <w:rFonts w:cs="Arial"/>
        </w:rPr>
      </w:pPr>
      <w:bookmarkStart w:id="0" w:name="_Hlk141801702"/>
      <w:bookmarkEnd w:id="0"/>
      <w:r>
        <w:rPr>
          <w:noProof/>
        </w:rPr>
        <w:drawing>
          <wp:inline distT="0" distB="0" distL="0" distR="0" wp14:anchorId="661F550E" wp14:editId="5B0EDC8A">
            <wp:extent cx="3638550" cy="1819275"/>
            <wp:effectExtent l="0" t="0" r="0" b="9525"/>
            <wp:docPr id="527614896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7614896" name="Picture 1" descr="Text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8550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E03D29" w14:textId="77777777" w:rsidR="00191939" w:rsidRDefault="00191939" w:rsidP="00191939">
      <w:pPr>
        <w:rPr>
          <w:rFonts w:cs="Arial"/>
        </w:rPr>
      </w:pPr>
    </w:p>
    <w:p w14:paraId="5E9719CC" w14:textId="77777777" w:rsidR="00191939" w:rsidRDefault="00191939" w:rsidP="00191939">
      <w:pPr>
        <w:rPr>
          <w:rFonts w:cs="Arial"/>
        </w:rPr>
      </w:pPr>
    </w:p>
    <w:p w14:paraId="65C58105" w14:textId="77777777" w:rsidR="00191939" w:rsidRDefault="00191939" w:rsidP="00191939">
      <w:pPr>
        <w:rPr>
          <w:rFonts w:cs="Arial"/>
        </w:rPr>
      </w:pPr>
    </w:p>
    <w:p w14:paraId="64F39BD1" w14:textId="77777777" w:rsidR="00191939" w:rsidRDefault="00191939" w:rsidP="00191939">
      <w:pPr>
        <w:rPr>
          <w:rFonts w:cs="Arial"/>
        </w:rPr>
      </w:pPr>
    </w:p>
    <w:p w14:paraId="70AD9C8E" w14:textId="77777777" w:rsidR="00191939" w:rsidRPr="00117F13" w:rsidRDefault="00191939" w:rsidP="00191939">
      <w:pPr>
        <w:jc w:val="both"/>
        <w:rPr>
          <w:rFonts w:cs="Arial"/>
          <w:sz w:val="24"/>
          <w:szCs w:val="24"/>
        </w:rPr>
      </w:pPr>
    </w:p>
    <w:p w14:paraId="4F5BE88C" w14:textId="77777777" w:rsidR="00191939" w:rsidRPr="007530ED" w:rsidRDefault="00191939" w:rsidP="00191939">
      <w:pPr>
        <w:jc w:val="center"/>
        <w:rPr>
          <w:rFonts w:cs="Arial"/>
          <w:b/>
          <w:bCs/>
          <w:sz w:val="24"/>
          <w:szCs w:val="24"/>
        </w:rPr>
      </w:pPr>
      <w:r w:rsidRPr="007530ED">
        <w:rPr>
          <w:rFonts w:cs="Arial"/>
          <w:b/>
          <w:bCs/>
          <w:sz w:val="24"/>
          <w:szCs w:val="24"/>
        </w:rPr>
        <w:t>Community Engagement</w:t>
      </w:r>
    </w:p>
    <w:p w14:paraId="13F53188" w14:textId="51A92A33" w:rsidR="00191939" w:rsidRPr="007530ED" w:rsidRDefault="00191939" w:rsidP="00191939">
      <w:pPr>
        <w:jc w:val="center"/>
        <w:rPr>
          <w:rFonts w:cs="Arial"/>
          <w:b/>
          <w:bCs/>
          <w:sz w:val="24"/>
          <w:szCs w:val="24"/>
        </w:rPr>
      </w:pPr>
      <w:r w:rsidRPr="007530ED">
        <w:rPr>
          <w:rFonts w:cs="Arial"/>
          <w:b/>
          <w:bCs/>
          <w:sz w:val="24"/>
          <w:szCs w:val="24"/>
        </w:rPr>
        <w:t xml:space="preserve">Assessment </w:t>
      </w:r>
      <w:r>
        <w:rPr>
          <w:rFonts w:cs="Arial"/>
          <w:b/>
          <w:bCs/>
          <w:sz w:val="24"/>
          <w:szCs w:val="24"/>
        </w:rPr>
        <w:t>2</w:t>
      </w:r>
      <w:r w:rsidRPr="007530ED">
        <w:rPr>
          <w:rFonts w:cs="Arial"/>
          <w:b/>
          <w:bCs/>
          <w:sz w:val="24"/>
          <w:szCs w:val="24"/>
        </w:rPr>
        <w:t>-</w:t>
      </w:r>
      <w:r>
        <w:rPr>
          <w:rFonts w:cs="Arial"/>
          <w:b/>
          <w:bCs/>
          <w:sz w:val="24"/>
          <w:szCs w:val="24"/>
        </w:rPr>
        <w:t xml:space="preserve"> R</w:t>
      </w:r>
      <w:r w:rsidRPr="00191939">
        <w:rPr>
          <w:rFonts w:cs="Arial"/>
          <w:b/>
          <w:bCs/>
          <w:sz w:val="24"/>
          <w:szCs w:val="24"/>
        </w:rPr>
        <w:t>eflective report</w:t>
      </w:r>
    </w:p>
    <w:p w14:paraId="4079ECBF" w14:textId="77777777" w:rsidR="00191939" w:rsidRPr="007530ED" w:rsidRDefault="00191939" w:rsidP="00191939">
      <w:pPr>
        <w:jc w:val="center"/>
        <w:rPr>
          <w:rFonts w:cs="Arial"/>
          <w:b/>
          <w:bCs/>
          <w:sz w:val="24"/>
          <w:szCs w:val="24"/>
        </w:rPr>
      </w:pPr>
      <w:r w:rsidRPr="007530ED">
        <w:rPr>
          <w:rFonts w:cs="Arial"/>
          <w:b/>
          <w:bCs/>
          <w:sz w:val="24"/>
          <w:szCs w:val="24"/>
        </w:rPr>
        <w:t>The “Blood Donation Campaign in Bristol, UK”</w:t>
      </w:r>
    </w:p>
    <w:p w14:paraId="207C3A06" w14:textId="77777777" w:rsidR="00191939" w:rsidRPr="007530ED" w:rsidRDefault="00191939" w:rsidP="00191939">
      <w:pPr>
        <w:jc w:val="center"/>
        <w:rPr>
          <w:rFonts w:cs="Arial"/>
          <w:b/>
          <w:bCs/>
          <w:sz w:val="24"/>
          <w:szCs w:val="24"/>
        </w:rPr>
      </w:pPr>
    </w:p>
    <w:p w14:paraId="58CABB77" w14:textId="77777777" w:rsidR="00191939" w:rsidRPr="007530ED" w:rsidRDefault="00191939" w:rsidP="00191939">
      <w:pPr>
        <w:rPr>
          <w:rFonts w:cs="Arial"/>
          <w:b/>
          <w:bCs/>
          <w:sz w:val="24"/>
          <w:szCs w:val="24"/>
        </w:rPr>
      </w:pPr>
    </w:p>
    <w:p w14:paraId="7486A26A" w14:textId="77777777" w:rsidR="00191939" w:rsidRPr="007530ED" w:rsidRDefault="00191939" w:rsidP="00191939">
      <w:pPr>
        <w:rPr>
          <w:rFonts w:cs="Arial"/>
          <w:b/>
          <w:bCs/>
          <w:sz w:val="24"/>
          <w:szCs w:val="24"/>
        </w:rPr>
      </w:pPr>
    </w:p>
    <w:p w14:paraId="6C11A2B5" w14:textId="77777777" w:rsidR="00191939" w:rsidRPr="007530ED" w:rsidRDefault="00191939" w:rsidP="00191939">
      <w:pPr>
        <w:rPr>
          <w:rFonts w:cs="Arial"/>
          <w:b/>
          <w:bCs/>
          <w:sz w:val="24"/>
          <w:szCs w:val="24"/>
        </w:rPr>
      </w:pPr>
    </w:p>
    <w:p w14:paraId="7B9BF0A9" w14:textId="77777777" w:rsidR="00191939" w:rsidRPr="007530ED" w:rsidRDefault="00191939" w:rsidP="00191939">
      <w:pPr>
        <w:rPr>
          <w:rFonts w:cs="Arial"/>
          <w:b/>
          <w:bCs/>
          <w:sz w:val="24"/>
          <w:szCs w:val="24"/>
        </w:rPr>
      </w:pPr>
    </w:p>
    <w:p w14:paraId="286C8DCA" w14:textId="77777777" w:rsidR="00191939" w:rsidRDefault="00191939" w:rsidP="00191939">
      <w:pPr>
        <w:rPr>
          <w:rFonts w:cs="Arial"/>
        </w:rPr>
      </w:pPr>
    </w:p>
    <w:p w14:paraId="678844BD" w14:textId="77777777" w:rsidR="00191939" w:rsidRDefault="00191939" w:rsidP="00191939">
      <w:pPr>
        <w:rPr>
          <w:rFonts w:cs="Arial"/>
        </w:rPr>
      </w:pPr>
    </w:p>
    <w:p w14:paraId="71C1F600" w14:textId="77777777" w:rsidR="00191939" w:rsidRDefault="00191939" w:rsidP="00191939">
      <w:pPr>
        <w:rPr>
          <w:rFonts w:cs="Arial"/>
        </w:rPr>
      </w:pPr>
    </w:p>
    <w:p w14:paraId="39075B0E" w14:textId="77777777" w:rsidR="00191939" w:rsidRDefault="00191939" w:rsidP="00191939">
      <w:pPr>
        <w:rPr>
          <w:rFonts w:cs="Arial"/>
        </w:rPr>
      </w:pPr>
    </w:p>
    <w:p w14:paraId="426B682A" w14:textId="77777777" w:rsidR="00191939" w:rsidRPr="00336EC5" w:rsidRDefault="00191939" w:rsidP="00191939">
      <w:pPr>
        <w:rPr>
          <w:rFonts w:cs="Arial"/>
          <w:b/>
          <w:bCs/>
          <w:sz w:val="24"/>
          <w:szCs w:val="24"/>
        </w:rPr>
      </w:pPr>
    </w:p>
    <w:p w14:paraId="2D87F3FE" w14:textId="77777777" w:rsidR="00191939" w:rsidRPr="00336EC5" w:rsidRDefault="00191939" w:rsidP="00191939">
      <w:pPr>
        <w:rPr>
          <w:b/>
          <w:bCs/>
          <w:sz w:val="24"/>
          <w:szCs w:val="24"/>
        </w:rPr>
      </w:pPr>
      <w:bookmarkStart w:id="1" w:name="_d6k3bpre0my" w:colFirst="0" w:colLast="0"/>
      <w:bookmarkEnd w:id="1"/>
      <w:r w:rsidRPr="00336EC5">
        <w:rPr>
          <w:b/>
          <w:bCs/>
          <w:sz w:val="24"/>
          <w:szCs w:val="24"/>
        </w:rPr>
        <w:t xml:space="preserve">Name: Madalina-Mihaela </w:t>
      </w:r>
      <w:proofErr w:type="spellStart"/>
      <w:r w:rsidRPr="00336EC5">
        <w:rPr>
          <w:b/>
          <w:bCs/>
          <w:sz w:val="24"/>
          <w:szCs w:val="24"/>
        </w:rPr>
        <w:t>Braha</w:t>
      </w:r>
      <w:proofErr w:type="spellEnd"/>
    </w:p>
    <w:p w14:paraId="53A81DDB" w14:textId="77777777" w:rsidR="00191939" w:rsidRPr="00336EC5" w:rsidRDefault="00191939" w:rsidP="00191939">
      <w:pPr>
        <w:rPr>
          <w:b/>
          <w:bCs/>
          <w:sz w:val="24"/>
          <w:szCs w:val="24"/>
        </w:rPr>
      </w:pPr>
      <w:r w:rsidRPr="00336EC5">
        <w:rPr>
          <w:b/>
          <w:bCs/>
          <w:sz w:val="24"/>
          <w:szCs w:val="24"/>
        </w:rPr>
        <w:t>Student ID: 2227915</w:t>
      </w:r>
    </w:p>
    <w:p w14:paraId="738E3871" w14:textId="77777777" w:rsidR="00191939" w:rsidRPr="00336EC5" w:rsidRDefault="00191939" w:rsidP="00191939">
      <w:pPr>
        <w:rPr>
          <w:b/>
          <w:bCs/>
          <w:sz w:val="24"/>
          <w:szCs w:val="24"/>
        </w:rPr>
      </w:pPr>
      <w:r w:rsidRPr="00336EC5">
        <w:rPr>
          <w:b/>
          <w:bCs/>
          <w:sz w:val="24"/>
          <w:szCs w:val="24"/>
        </w:rPr>
        <w:t xml:space="preserve">Module code: LCBB4002 </w:t>
      </w:r>
    </w:p>
    <w:p w14:paraId="321837BE" w14:textId="77777777" w:rsidR="00191939" w:rsidRPr="00336EC5" w:rsidRDefault="00191939" w:rsidP="00191939">
      <w:pPr>
        <w:rPr>
          <w:b/>
          <w:bCs/>
          <w:sz w:val="24"/>
          <w:szCs w:val="24"/>
        </w:rPr>
      </w:pPr>
      <w:r w:rsidRPr="00336EC5">
        <w:rPr>
          <w:b/>
          <w:bCs/>
          <w:sz w:val="24"/>
          <w:szCs w:val="24"/>
        </w:rPr>
        <w:t>Module name: Community Engagement</w:t>
      </w:r>
    </w:p>
    <w:p w14:paraId="187AD57C" w14:textId="77777777" w:rsidR="00336EC5" w:rsidRPr="00336EC5" w:rsidRDefault="00336EC5" w:rsidP="00336EC5">
      <w:pPr>
        <w:rPr>
          <w:b/>
          <w:bCs/>
          <w:sz w:val="24"/>
          <w:szCs w:val="24"/>
        </w:rPr>
      </w:pPr>
      <w:r w:rsidRPr="00336EC5">
        <w:rPr>
          <w:b/>
          <w:bCs/>
          <w:sz w:val="24"/>
          <w:szCs w:val="24"/>
        </w:rPr>
        <w:t>Lecturer: Nadeem Mirza</w:t>
      </w:r>
    </w:p>
    <w:p w14:paraId="17A2F14C" w14:textId="77777777" w:rsidR="00336EC5" w:rsidRPr="00336EC5" w:rsidRDefault="00336EC5" w:rsidP="00191939">
      <w:pPr>
        <w:rPr>
          <w:sz w:val="24"/>
          <w:szCs w:val="24"/>
        </w:rPr>
      </w:pPr>
    </w:p>
    <w:p w14:paraId="7C552DE2" w14:textId="77777777" w:rsidR="00336EC5" w:rsidRDefault="00336EC5" w:rsidP="004357D3">
      <w:pPr>
        <w:pStyle w:val="Heading1"/>
      </w:pPr>
    </w:p>
    <w:p w14:paraId="66BE94DC" w14:textId="77777777" w:rsidR="004357D3" w:rsidRPr="004357D3" w:rsidRDefault="004357D3" w:rsidP="004357D3"/>
    <w:sdt>
      <w:sdtPr>
        <w:id w:val="76874847"/>
        <w:docPartObj>
          <w:docPartGallery w:val="Table of Contents"/>
          <w:docPartUnique/>
        </w:docPartObj>
      </w:sdtPr>
      <w:sdtEndPr>
        <w:rPr>
          <w:rFonts w:ascii="Arial" w:eastAsiaTheme="minorHAnsi" w:hAnsi="Arial" w:cstheme="minorBidi"/>
          <w:b/>
          <w:bCs/>
          <w:noProof/>
          <w:color w:val="000000" w:themeColor="text1"/>
          <w:kern w:val="2"/>
          <w:sz w:val="22"/>
          <w:szCs w:val="22"/>
          <w:lang w:val="en-GB"/>
          <w14:ligatures w14:val="standardContextual"/>
        </w:rPr>
      </w:sdtEndPr>
      <w:sdtContent>
        <w:p w14:paraId="7578EBD7" w14:textId="343221E1" w:rsidR="00336EC5" w:rsidRPr="00336EC5" w:rsidRDefault="00336EC5">
          <w:pPr>
            <w:pStyle w:val="TOCHeading"/>
            <w:rPr>
              <w:rFonts w:ascii="Arial" w:hAnsi="Arial" w:cs="Arial"/>
              <w:b/>
              <w:bCs/>
              <w:color w:val="auto"/>
              <w:sz w:val="24"/>
              <w:szCs w:val="24"/>
            </w:rPr>
          </w:pPr>
          <w:r w:rsidRPr="00336EC5">
            <w:rPr>
              <w:rFonts w:ascii="Arial" w:hAnsi="Arial" w:cs="Arial"/>
              <w:b/>
              <w:bCs/>
              <w:color w:val="auto"/>
              <w:sz w:val="24"/>
              <w:szCs w:val="24"/>
            </w:rPr>
            <w:t>Table of Contents</w:t>
          </w:r>
        </w:p>
        <w:p w14:paraId="4D44906E" w14:textId="375B6304" w:rsidR="00392839" w:rsidRPr="0066089D" w:rsidRDefault="00336EC5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 w:rsidRPr="00336EC5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Pr="00336EC5">
            <w:rPr>
              <w:rFonts w:ascii="Arial" w:hAnsi="Arial" w:cs="Arial"/>
              <w:b/>
              <w:bCs/>
              <w:sz w:val="24"/>
              <w:szCs w:val="24"/>
            </w:rPr>
            <w:instrText xml:space="preserve"> TOC \o "1-3" \h \z \u </w:instrText>
          </w:r>
          <w:r w:rsidRPr="00336EC5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hyperlink w:anchor="_Toc144027788" w:history="1">
            <w:r w:rsidR="00392839" w:rsidRPr="0066089D">
              <w:rPr>
                <w:rStyle w:val="Hyperlink"/>
                <w:rFonts w:ascii="Arial" w:hAnsi="Arial" w:cs="Arial"/>
                <w:b/>
                <w:bCs/>
                <w:noProof/>
                <w:color w:val="auto"/>
                <w:sz w:val="24"/>
                <w:szCs w:val="24"/>
              </w:rPr>
              <w:t>Introduction</w:t>
            </w:r>
            <w:r w:rsidR="00392839"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ab/>
            </w:r>
            <w:r w:rsidR="00392839"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="00392839"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instrText xml:space="preserve"> PAGEREF _Toc144027788 \h </w:instrText>
            </w:r>
            <w:r w:rsidR="00392839"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</w:r>
            <w:r w:rsidR="00392839"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392839"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>2</w:t>
            </w:r>
            <w:r w:rsidR="00392839"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A65AC78" w14:textId="309B1C2C" w:rsidR="00392839" w:rsidRPr="0066089D" w:rsidRDefault="00392839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44027789" w:history="1">
            <w:r w:rsidRPr="0066089D">
              <w:rPr>
                <w:rStyle w:val="Hyperlink"/>
                <w:rFonts w:ascii="Arial" w:hAnsi="Arial" w:cs="Arial"/>
                <w:b/>
                <w:bCs/>
                <w:noProof/>
                <w:color w:val="auto"/>
                <w:sz w:val="24"/>
                <w:szCs w:val="24"/>
              </w:rPr>
              <w:t>Description of my experience</w: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ab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instrText xml:space="preserve"> PAGEREF _Toc144027789 \h </w:instrTex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>2</w: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9964FA3" w14:textId="355D229B" w:rsidR="00392839" w:rsidRPr="0066089D" w:rsidRDefault="00392839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44027790" w:history="1">
            <w:r w:rsidRPr="0066089D">
              <w:rPr>
                <w:rStyle w:val="Hyperlink"/>
                <w:rFonts w:ascii="Arial" w:hAnsi="Arial" w:cs="Arial"/>
                <w:b/>
                <w:bCs/>
                <w:noProof/>
                <w:color w:val="auto"/>
                <w:sz w:val="24"/>
                <w:szCs w:val="24"/>
              </w:rPr>
              <w:t>Thoughts and feelings about my experience</w: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ab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instrText xml:space="preserve"> PAGEREF _Toc144027790 \h </w:instrTex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>3</w: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679E419" w14:textId="26A46DFA" w:rsidR="00392839" w:rsidRPr="0066089D" w:rsidRDefault="00392839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44027791" w:history="1">
            <w:r w:rsidRPr="0066089D">
              <w:rPr>
                <w:rStyle w:val="Hyperlink"/>
                <w:rFonts w:ascii="Arial" w:hAnsi="Arial" w:cs="Arial"/>
                <w:b/>
                <w:bCs/>
                <w:noProof/>
                <w:color w:val="auto"/>
                <w:sz w:val="24"/>
                <w:szCs w:val="24"/>
              </w:rPr>
              <w:t>Evaluation of my experience</w: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ab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instrText xml:space="preserve"> PAGEREF _Toc144027791 \h </w:instrTex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>3</w: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D3082A6" w14:textId="72175ED8" w:rsidR="00392839" w:rsidRPr="0066089D" w:rsidRDefault="00392839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44027792" w:history="1">
            <w:r w:rsidRPr="0066089D">
              <w:rPr>
                <w:rStyle w:val="Hyperlink"/>
                <w:rFonts w:ascii="Arial" w:hAnsi="Arial" w:cs="Arial"/>
                <w:b/>
                <w:bCs/>
                <w:noProof/>
                <w:color w:val="auto"/>
                <w:sz w:val="24"/>
                <w:szCs w:val="24"/>
              </w:rPr>
              <w:t>Analysis to create a sense of a situation</w: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ab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instrText xml:space="preserve"> PAGEREF _Toc144027792 \h </w:instrTex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>4</w: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91105E6" w14:textId="4122E370" w:rsidR="00392839" w:rsidRPr="0066089D" w:rsidRDefault="00392839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44027793" w:history="1">
            <w:r w:rsidRPr="0066089D">
              <w:rPr>
                <w:rStyle w:val="Hyperlink"/>
                <w:rFonts w:ascii="Arial" w:hAnsi="Arial" w:cs="Arial"/>
                <w:b/>
                <w:bCs/>
                <w:noProof/>
                <w:color w:val="auto"/>
                <w:sz w:val="24"/>
                <w:szCs w:val="24"/>
              </w:rPr>
              <w:t>What I learned</w: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ab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instrText xml:space="preserve"> PAGEREF _Toc144027793 \h </w:instrTex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>4</w: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D1C4277" w14:textId="0B207F94" w:rsidR="00392839" w:rsidRPr="0066089D" w:rsidRDefault="00392839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44027794" w:history="1">
            <w:r w:rsidRPr="0066089D">
              <w:rPr>
                <w:rStyle w:val="Hyperlink"/>
                <w:rFonts w:ascii="Arial" w:hAnsi="Arial" w:cs="Arial"/>
                <w:b/>
                <w:bCs/>
                <w:noProof/>
                <w:color w:val="auto"/>
                <w:sz w:val="24"/>
                <w:szCs w:val="24"/>
              </w:rPr>
              <w:t>Action Plan</w: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ab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instrText xml:space="preserve"> PAGEREF _Toc144027794 \h </w:instrTex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>5</w: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02E9716" w14:textId="7940390D" w:rsidR="00392839" w:rsidRPr="0066089D" w:rsidRDefault="00392839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44027795" w:history="1">
            <w:r w:rsidRPr="0066089D">
              <w:rPr>
                <w:rStyle w:val="Hyperlink"/>
                <w:rFonts w:ascii="Arial" w:hAnsi="Arial" w:cs="Arial"/>
                <w:b/>
                <w:bCs/>
                <w:noProof/>
                <w:color w:val="auto"/>
                <w:sz w:val="24"/>
                <w:szCs w:val="24"/>
              </w:rPr>
              <w:t>Conclusion</w: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ab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instrText xml:space="preserve"> PAGEREF _Toc144027795 \h </w:instrTex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>5</w: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667083F" w14:textId="71CCC8D8" w:rsidR="00392839" w:rsidRPr="0066089D" w:rsidRDefault="00392839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44027796" w:history="1">
            <w:r w:rsidRPr="0066089D">
              <w:rPr>
                <w:rStyle w:val="Hyperlink"/>
                <w:rFonts w:ascii="Arial" w:hAnsi="Arial" w:cs="Arial"/>
                <w:b/>
                <w:bCs/>
                <w:noProof/>
                <w:color w:val="auto"/>
                <w:sz w:val="24"/>
                <w:szCs w:val="24"/>
              </w:rPr>
              <w:t>References</w: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ab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instrText xml:space="preserve"> PAGEREF _Toc144027796 \h </w:instrTex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t>7</w:t>
            </w:r>
            <w:r w:rsidRPr="0066089D">
              <w:rPr>
                <w:rFonts w:ascii="Arial" w:hAnsi="Arial" w:cs="Arial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AFC9968" w14:textId="69B4503F" w:rsidR="00336EC5" w:rsidRDefault="00336EC5">
          <w:r w:rsidRPr="00336EC5">
            <w:rPr>
              <w:rFonts w:cs="Arial"/>
              <w:b/>
              <w:bCs/>
              <w:noProof/>
              <w:color w:val="auto"/>
              <w:sz w:val="24"/>
              <w:szCs w:val="24"/>
            </w:rPr>
            <w:fldChar w:fldCharType="end"/>
          </w:r>
        </w:p>
      </w:sdtContent>
    </w:sdt>
    <w:p w14:paraId="5ECC2E5E" w14:textId="77777777" w:rsidR="004357D3" w:rsidRDefault="004357D3" w:rsidP="00191939">
      <w:pPr>
        <w:rPr>
          <w:sz w:val="32"/>
          <w:szCs w:val="32"/>
        </w:rPr>
      </w:pPr>
    </w:p>
    <w:p w14:paraId="75FFFB6F" w14:textId="77777777" w:rsidR="004357D3" w:rsidRDefault="004357D3" w:rsidP="00191939">
      <w:pPr>
        <w:rPr>
          <w:sz w:val="32"/>
          <w:szCs w:val="32"/>
        </w:rPr>
      </w:pPr>
    </w:p>
    <w:p w14:paraId="43332EAB" w14:textId="77777777" w:rsidR="004357D3" w:rsidRDefault="004357D3" w:rsidP="00191939">
      <w:pPr>
        <w:rPr>
          <w:sz w:val="32"/>
          <w:szCs w:val="32"/>
        </w:rPr>
      </w:pPr>
    </w:p>
    <w:p w14:paraId="06A72D72" w14:textId="77777777" w:rsidR="004357D3" w:rsidRDefault="004357D3" w:rsidP="00191939">
      <w:pPr>
        <w:rPr>
          <w:sz w:val="32"/>
          <w:szCs w:val="32"/>
        </w:rPr>
      </w:pPr>
    </w:p>
    <w:p w14:paraId="19E9B0F8" w14:textId="77777777" w:rsidR="004357D3" w:rsidRDefault="004357D3" w:rsidP="00191939">
      <w:pPr>
        <w:rPr>
          <w:sz w:val="32"/>
          <w:szCs w:val="32"/>
        </w:rPr>
      </w:pPr>
    </w:p>
    <w:p w14:paraId="11E3B270" w14:textId="77777777" w:rsidR="004357D3" w:rsidRDefault="004357D3" w:rsidP="00191939">
      <w:pPr>
        <w:rPr>
          <w:sz w:val="32"/>
          <w:szCs w:val="32"/>
        </w:rPr>
      </w:pPr>
    </w:p>
    <w:p w14:paraId="4CAF04E8" w14:textId="77777777" w:rsidR="004357D3" w:rsidRDefault="004357D3" w:rsidP="00191939">
      <w:pPr>
        <w:rPr>
          <w:sz w:val="32"/>
          <w:szCs w:val="32"/>
        </w:rPr>
      </w:pPr>
    </w:p>
    <w:p w14:paraId="7685E608" w14:textId="77777777" w:rsidR="004357D3" w:rsidRDefault="004357D3" w:rsidP="00191939">
      <w:pPr>
        <w:rPr>
          <w:sz w:val="32"/>
          <w:szCs w:val="32"/>
        </w:rPr>
      </w:pPr>
    </w:p>
    <w:p w14:paraId="0CB5B833" w14:textId="77777777" w:rsidR="004357D3" w:rsidRDefault="004357D3" w:rsidP="00191939">
      <w:pPr>
        <w:rPr>
          <w:sz w:val="32"/>
          <w:szCs w:val="32"/>
        </w:rPr>
      </w:pPr>
    </w:p>
    <w:p w14:paraId="64EEE68A" w14:textId="77777777" w:rsidR="004357D3" w:rsidRDefault="004357D3" w:rsidP="00191939">
      <w:pPr>
        <w:rPr>
          <w:sz w:val="32"/>
          <w:szCs w:val="32"/>
        </w:rPr>
      </w:pPr>
    </w:p>
    <w:p w14:paraId="2ABF1823" w14:textId="77777777" w:rsidR="004357D3" w:rsidRDefault="004357D3" w:rsidP="00191939">
      <w:pPr>
        <w:rPr>
          <w:sz w:val="32"/>
          <w:szCs w:val="32"/>
        </w:rPr>
      </w:pPr>
    </w:p>
    <w:p w14:paraId="2C34D2B3" w14:textId="77777777" w:rsidR="004357D3" w:rsidRDefault="004357D3" w:rsidP="00191939">
      <w:pPr>
        <w:rPr>
          <w:sz w:val="32"/>
          <w:szCs w:val="32"/>
        </w:rPr>
      </w:pPr>
    </w:p>
    <w:p w14:paraId="3DA86D36" w14:textId="77777777" w:rsidR="004357D3" w:rsidRDefault="004357D3" w:rsidP="00191939">
      <w:pPr>
        <w:rPr>
          <w:sz w:val="32"/>
          <w:szCs w:val="32"/>
        </w:rPr>
      </w:pPr>
    </w:p>
    <w:p w14:paraId="1EB88FDD" w14:textId="77777777" w:rsidR="004357D3" w:rsidRDefault="004357D3" w:rsidP="00191939">
      <w:pPr>
        <w:rPr>
          <w:sz w:val="32"/>
          <w:szCs w:val="32"/>
        </w:rPr>
      </w:pPr>
    </w:p>
    <w:p w14:paraId="5A643D99" w14:textId="77777777" w:rsidR="004357D3" w:rsidRDefault="004357D3" w:rsidP="00191939">
      <w:pPr>
        <w:rPr>
          <w:sz w:val="32"/>
          <w:szCs w:val="32"/>
        </w:rPr>
      </w:pPr>
    </w:p>
    <w:p w14:paraId="43B7FD21" w14:textId="77777777" w:rsidR="004357D3" w:rsidRDefault="004357D3" w:rsidP="00191939">
      <w:pPr>
        <w:rPr>
          <w:sz w:val="32"/>
          <w:szCs w:val="32"/>
        </w:rPr>
      </w:pPr>
    </w:p>
    <w:p w14:paraId="68402600" w14:textId="78BE4F55" w:rsidR="006502DF" w:rsidRDefault="00191939" w:rsidP="004357D3">
      <w:pPr>
        <w:pStyle w:val="Heading1"/>
        <w:spacing w:line="360" w:lineRule="auto"/>
        <w:jc w:val="both"/>
      </w:pPr>
      <w:bookmarkStart w:id="2" w:name="_Toc144027788"/>
      <w:r>
        <w:lastRenderedPageBreak/>
        <w:t>Introduction</w:t>
      </w:r>
      <w:bookmarkEnd w:id="2"/>
    </w:p>
    <w:p w14:paraId="03760FF8" w14:textId="5BA241B1" w:rsidR="00191939" w:rsidRDefault="00191939" w:rsidP="004357D3">
      <w:pPr>
        <w:spacing w:line="360" w:lineRule="auto"/>
        <w:jc w:val="both"/>
      </w:pPr>
      <w:r>
        <w:t>In this reflective report, I would like to use Gibb’s Reflective Cycle to critically analyse m</w:t>
      </w:r>
      <w:r>
        <w:t xml:space="preserve">y </w:t>
      </w:r>
      <w:r>
        <w:t>entire involvement in Bristol, Bood Donation Campaign as a community engagement project</w:t>
      </w:r>
      <w:r>
        <w:t xml:space="preserve"> </w:t>
      </w:r>
      <w:r>
        <w:t>practitioner aimed at identifying the shortage of blood in Bristle, UK.</w:t>
      </w:r>
      <w:r w:rsidR="007E4257">
        <w:t xml:space="preserve"> </w:t>
      </w:r>
      <w:r>
        <w:t xml:space="preserve"> </w:t>
      </w:r>
      <w:proofErr w:type="gramStart"/>
      <w:r w:rsidR="007E4257">
        <w:t>However, as</w:t>
      </w:r>
      <w:r>
        <w:t xml:space="preserve"> </w:t>
      </w:r>
      <w:r w:rsidR="00336EC5">
        <w:t>a community</w:t>
      </w:r>
      <w:r>
        <w:t xml:space="preserve"> </w:t>
      </w:r>
      <w:r>
        <w:t xml:space="preserve">engagement practitioner, my </w:t>
      </w:r>
      <w:r w:rsidR="007E4257">
        <w:t>objective</w:t>
      </w:r>
      <w:proofErr w:type="gramEnd"/>
      <w:r>
        <w:t xml:space="preserve"> was significant in facilitating crucial interactions between</w:t>
      </w:r>
      <w:r>
        <w:t xml:space="preserve"> </w:t>
      </w:r>
      <w:r>
        <w:t>the local community and the campaign of blood donation campaign, promoting the donation of</w:t>
      </w:r>
      <w:r>
        <w:t xml:space="preserve"> </w:t>
      </w:r>
      <w:r>
        <w:t xml:space="preserve">blood as well as fostering a sense of responsibility in the </w:t>
      </w:r>
      <w:r>
        <w:t>community</w:t>
      </w:r>
      <w:sdt>
        <w:sdtPr>
          <w:id w:val="-1710485246"/>
          <w:citation/>
        </w:sdtPr>
        <w:sdtContent>
          <w:r w:rsidR="009D6BB0">
            <w:fldChar w:fldCharType="begin"/>
          </w:r>
          <w:r w:rsidR="009D6BB0">
            <w:instrText xml:space="preserve"> CITATION Ave20 \l 2057 </w:instrText>
          </w:r>
          <w:r w:rsidR="009D6BB0">
            <w:fldChar w:fldCharType="separate"/>
          </w:r>
          <w:r w:rsidR="00336EC5">
            <w:rPr>
              <w:noProof/>
            </w:rPr>
            <w:t xml:space="preserve"> </w:t>
          </w:r>
          <w:r w:rsidR="00336EC5" w:rsidRPr="00336EC5">
            <w:rPr>
              <w:noProof/>
            </w:rPr>
            <w:t>(Avery, et al., 2020)</w:t>
          </w:r>
          <w:r w:rsidR="009D6BB0">
            <w:fldChar w:fldCharType="end"/>
          </w:r>
        </w:sdtContent>
      </w:sdt>
      <w:r>
        <w:t>.</w:t>
      </w:r>
      <w:r w:rsidR="009D6BB0" w:rsidRPr="009D6BB0">
        <w:t xml:space="preserve"> </w:t>
      </w:r>
      <w:r w:rsidR="009D6BB0">
        <w:t>Th</w:t>
      </w:r>
      <w:r w:rsidR="009D6BB0">
        <w:t xml:space="preserve">e </w:t>
      </w:r>
      <w:r w:rsidR="009D6BB0">
        <w:t>Bristol Donor Face campaign for Blood has justified and clear goals, aiming to save the lives of</w:t>
      </w:r>
      <w:r w:rsidR="009D6BB0">
        <w:t xml:space="preserve"> </w:t>
      </w:r>
      <w:r w:rsidR="009D6BB0">
        <w:t>community people as well as develop their well-being by increasing blood donation initiatives.</w:t>
      </w:r>
      <w:r w:rsidR="009D6BB0">
        <w:t xml:space="preserve"> </w:t>
      </w:r>
      <w:r w:rsidR="009D6BB0">
        <w:t>As an engagement practitioner, I was strongly engaged in organising consultation of the</w:t>
      </w:r>
      <w:r w:rsidR="009D6BB0">
        <w:t xml:space="preserve"> </w:t>
      </w:r>
      <w:r w:rsidR="009D6BB0">
        <w:t>community, collaborating with various stakeholders, and implementing engaging plans,</w:t>
      </w:r>
      <w:r w:rsidR="009D6BB0">
        <w:t xml:space="preserve"> </w:t>
      </w:r>
      <w:r w:rsidR="009D6BB0">
        <w:t xml:space="preserve">including community associates, local businesses, the National Health </w:t>
      </w:r>
      <w:r w:rsidR="009D6BB0">
        <w:t>Service,</w:t>
      </w:r>
      <w:r w:rsidR="009D6BB0">
        <w:t xml:space="preserve"> and healthcare</w:t>
      </w:r>
      <w:r w:rsidR="009D6BB0">
        <w:t xml:space="preserve"> </w:t>
      </w:r>
      <w:r w:rsidR="009D6BB0">
        <w:t>providers</w:t>
      </w:r>
      <w:r w:rsidR="009D6BB0">
        <w:t>.</w:t>
      </w:r>
      <w:r w:rsidR="00D1139A" w:rsidRPr="00D1139A">
        <w:t xml:space="preserve"> </w:t>
      </w:r>
      <w:r w:rsidR="00D1139A">
        <w:t>Gibb’s Reflective Cycle It was designed as a continuous cycle of improvement for a repeated experience but can also be used to reflect on a standalone experience</w:t>
      </w:r>
      <w:sdt>
        <w:sdtPr>
          <w:id w:val="1051186227"/>
          <w:citation/>
        </w:sdtPr>
        <w:sdtContent>
          <w:r w:rsidR="00D1139A">
            <w:fldChar w:fldCharType="begin"/>
          </w:r>
          <w:r w:rsidR="00D1139A">
            <w:instrText xml:space="preserve"> CITATION Gra88 \l 2057 </w:instrText>
          </w:r>
          <w:r w:rsidR="00D1139A">
            <w:fldChar w:fldCharType="separate"/>
          </w:r>
          <w:r w:rsidR="00336EC5">
            <w:rPr>
              <w:noProof/>
            </w:rPr>
            <w:t xml:space="preserve"> </w:t>
          </w:r>
          <w:r w:rsidR="00336EC5" w:rsidRPr="00336EC5">
            <w:rPr>
              <w:noProof/>
            </w:rPr>
            <w:t>(Gibbs, 1988)</w:t>
          </w:r>
          <w:r w:rsidR="00D1139A">
            <w:fldChar w:fldCharType="end"/>
          </w:r>
        </w:sdtContent>
      </w:sdt>
      <w:r w:rsidR="009D6BB0">
        <w:t>.</w:t>
      </w:r>
      <w:r w:rsidR="009D6BB0" w:rsidRPr="009D6BB0">
        <w:t xml:space="preserve"> </w:t>
      </w:r>
      <w:r w:rsidR="009D6BB0">
        <w:t>Using the reflective cycle of Gibbs, I will assess and recognise my experience along with action</w:t>
      </w:r>
      <w:r w:rsidR="009D6BB0">
        <w:t xml:space="preserve"> </w:t>
      </w:r>
      <w:r w:rsidR="009D6BB0">
        <w:t>during the effective campaign. However, I will explore my best practices that are adopted in</w:t>
      </w:r>
      <w:r w:rsidR="009D6BB0">
        <w:t xml:space="preserve"> </w:t>
      </w:r>
      <w:r w:rsidR="009D6BB0">
        <w:t>community engagement, my intersection and collaboration with stakeholders and the efficacy of</w:t>
      </w:r>
      <w:r w:rsidR="009D6BB0">
        <w:t xml:space="preserve"> </w:t>
      </w:r>
      <w:r w:rsidR="009D6BB0">
        <w:t>several important approaches. Furthermore</w:t>
      </w:r>
      <w:r w:rsidR="009D6BB0">
        <w:t>,</w:t>
      </w:r>
      <w:r w:rsidR="009D6BB0">
        <w:t xml:space="preserve"> </w:t>
      </w:r>
      <w:proofErr w:type="spellStart"/>
      <w:r w:rsidR="009D6BB0">
        <w:t>i</w:t>
      </w:r>
      <w:proofErr w:type="spellEnd"/>
      <w:r w:rsidR="009D6BB0">
        <w:t xml:space="preserve"> will try to reflect on what could have been</w:t>
      </w:r>
      <w:r w:rsidR="009D6BB0">
        <w:t xml:space="preserve"> </w:t>
      </w:r>
      <w:r w:rsidR="009D6BB0">
        <w:t>completed differently and the main implications of this action</w:t>
      </w:r>
      <w:r w:rsidR="007E4257">
        <w:t>.</w:t>
      </w:r>
      <w:r w:rsidR="007E4257" w:rsidRPr="007E4257">
        <w:t xml:space="preserve"> </w:t>
      </w:r>
      <w:r w:rsidR="007E4257">
        <w:t>Additionally, this report will delve into active consultation impact and stakeholder participation.</w:t>
      </w:r>
      <w:r w:rsidR="007E4257">
        <w:t xml:space="preserve"> </w:t>
      </w:r>
      <w:r w:rsidR="007E4257">
        <w:t xml:space="preserve">Inclusion, </w:t>
      </w:r>
      <w:r w:rsidR="007E4257">
        <w:t>diversity,</w:t>
      </w:r>
      <w:r w:rsidR="007E4257">
        <w:t xml:space="preserve"> and communication along with the benefits of multi-agency cooperations. By</w:t>
      </w:r>
      <w:r w:rsidR="007E4257">
        <w:t xml:space="preserve"> </w:t>
      </w:r>
      <w:r w:rsidR="007E4257">
        <w:t>considering this reflective cycle, I aim to achieve deeper insight from my practices as the</w:t>
      </w:r>
      <w:r w:rsidR="007E4257" w:rsidRPr="007E4257">
        <w:t xml:space="preserve"> </w:t>
      </w:r>
      <w:r w:rsidR="007E4257">
        <w:t>engagement practitioner in the community, identify effective areas for development and growth,</w:t>
      </w:r>
      <w:r w:rsidR="007E4257">
        <w:t xml:space="preserve"> </w:t>
      </w:r>
      <w:r w:rsidR="007E4257">
        <w:t>and inform future development in the community.</w:t>
      </w:r>
    </w:p>
    <w:p w14:paraId="72553D2F" w14:textId="015E8EB0" w:rsidR="007E4257" w:rsidRDefault="007E4257" w:rsidP="004357D3">
      <w:pPr>
        <w:pStyle w:val="Heading1"/>
        <w:spacing w:line="360" w:lineRule="auto"/>
        <w:jc w:val="both"/>
      </w:pPr>
      <w:bookmarkStart w:id="3" w:name="_Toc144027789"/>
      <w:r w:rsidRPr="007E4257">
        <w:t>Description of my experience</w:t>
      </w:r>
      <w:bookmarkEnd w:id="3"/>
    </w:p>
    <w:p w14:paraId="6E9DDAC9" w14:textId="77B673BA" w:rsidR="007E4257" w:rsidRDefault="007E4257" w:rsidP="00C36A56">
      <w:pPr>
        <w:spacing w:line="360" w:lineRule="auto"/>
        <w:jc w:val="both"/>
      </w:pPr>
      <w:r>
        <w:t>As a community engagement practitioner in the Bristol blood donation campaign, I was deeply</w:t>
      </w:r>
      <w:r>
        <w:t xml:space="preserve"> </w:t>
      </w:r>
      <w:r>
        <w:t>associated with enhancing community participation as well as promoting the blood donation</w:t>
      </w:r>
      <w:r>
        <w:t xml:space="preserve"> </w:t>
      </w:r>
      <w:r>
        <w:t>camp in terms to address the critical shortage of blood in Bristol, UK. Moreover, the project aims</w:t>
      </w:r>
      <w:r>
        <w:t xml:space="preserve"> </w:t>
      </w:r>
      <w:r>
        <w:t>to increase the donor, save lives along with develop community well-being by establishing a</w:t>
      </w:r>
      <w:r>
        <w:t xml:space="preserve"> </w:t>
      </w:r>
      <w:r>
        <w:t xml:space="preserve">culture of community engagement in various healthcare </w:t>
      </w:r>
      <w:r>
        <w:t>initiatives</w:t>
      </w:r>
      <w:sdt>
        <w:sdtPr>
          <w:id w:val="-1970267956"/>
          <w:citation/>
        </w:sdtPr>
        <w:sdtContent>
          <w:r>
            <w:fldChar w:fldCharType="begin"/>
          </w:r>
          <w:r>
            <w:instrText xml:space="preserve">CITATION Rhi19 \l 2057 </w:instrText>
          </w:r>
          <w:r>
            <w:fldChar w:fldCharType="separate"/>
          </w:r>
          <w:r w:rsidR="00336EC5">
            <w:rPr>
              <w:noProof/>
            </w:rPr>
            <w:t xml:space="preserve"> </w:t>
          </w:r>
          <w:r w:rsidR="00336EC5" w:rsidRPr="00336EC5">
            <w:rPr>
              <w:noProof/>
            </w:rPr>
            <w:t>(Salmon &amp; Roop, 2019)</w:t>
          </w:r>
          <w:r>
            <w:fldChar w:fldCharType="end"/>
          </w:r>
        </w:sdtContent>
      </w:sdt>
      <w:r>
        <w:t>.</w:t>
      </w:r>
      <w:r w:rsidR="004357D3" w:rsidRPr="004357D3">
        <w:t xml:space="preserve"> </w:t>
      </w:r>
      <w:r w:rsidR="004357D3">
        <w:t>During this blood donation campaign, I maintained community collaboration and consultation</w:t>
      </w:r>
      <w:r w:rsidR="004357D3">
        <w:t xml:space="preserve"> </w:t>
      </w:r>
      <w:r w:rsidR="004357D3">
        <w:t>with diverse stakeholders, including healthcare providers, community members, the National</w:t>
      </w:r>
      <w:r w:rsidR="004357D3">
        <w:t xml:space="preserve"> </w:t>
      </w:r>
      <w:r w:rsidR="004357D3">
        <w:t xml:space="preserve">Health </w:t>
      </w:r>
      <w:r w:rsidR="004357D3">
        <w:t>Services,</w:t>
      </w:r>
      <w:r w:rsidR="004357D3">
        <w:t xml:space="preserve"> and local businesses. The objective of the campaign was justifiable and clear, as</w:t>
      </w:r>
      <w:r w:rsidR="004357D3">
        <w:t xml:space="preserve"> </w:t>
      </w:r>
      <w:r w:rsidR="004357D3">
        <w:t>the shortage of blood represented a pressing challenge for healthcare services and maximised the</w:t>
      </w:r>
      <w:r w:rsidR="004357D3">
        <w:t xml:space="preserve"> </w:t>
      </w:r>
      <w:r w:rsidR="004357D3">
        <w:t>blood donation campaign that would directly affect patient results positively.</w:t>
      </w:r>
      <w:r w:rsidR="004357D3">
        <w:t xml:space="preserve"> </w:t>
      </w:r>
      <w:r w:rsidR="004357D3">
        <w:t xml:space="preserve">Furthermore, the entire experience of mine was both challenging and fulfilling. </w:t>
      </w:r>
      <w:r w:rsidR="004357D3">
        <w:lastRenderedPageBreak/>
        <w:t>Witnessing such</w:t>
      </w:r>
      <w:r w:rsidR="004357D3">
        <w:t xml:space="preserve"> </w:t>
      </w:r>
      <w:r w:rsidR="004357D3">
        <w:t>a positive response in the community and many lives being saved by this positive initiative of</w:t>
      </w:r>
      <w:r w:rsidR="004357D3">
        <w:t xml:space="preserve"> </w:t>
      </w:r>
      <w:r w:rsidR="004357D3">
        <w:t>blood donations brought a specific satisfaction and purpose as well</w:t>
      </w:r>
      <w:sdt>
        <w:sdtPr>
          <w:id w:val="1164204514"/>
          <w:citation/>
        </w:sdtPr>
        <w:sdtContent>
          <w:r w:rsidR="004357D3">
            <w:fldChar w:fldCharType="begin"/>
          </w:r>
          <w:r w:rsidR="004357D3">
            <w:instrText xml:space="preserve"> CITATION Woo21 \l 2057 </w:instrText>
          </w:r>
          <w:r w:rsidR="004357D3">
            <w:fldChar w:fldCharType="separate"/>
          </w:r>
          <w:r w:rsidR="00336EC5">
            <w:rPr>
              <w:noProof/>
            </w:rPr>
            <w:t xml:space="preserve"> </w:t>
          </w:r>
          <w:r w:rsidR="00336EC5" w:rsidRPr="00336EC5">
            <w:rPr>
              <w:noProof/>
            </w:rPr>
            <w:t>(Sung &amp; Kim, 2021)</w:t>
          </w:r>
          <w:r w:rsidR="004357D3">
            <w:fldChar w:fldCharType="end"/>
          </w:r>
        </w:sdtContent>
      </w:sdt>
      <w:r w:rsidR="004357D3">
        <w:t>.</w:t>
      </w:r>
      <w:r w:rsidR="004357D3" w:rsidRPr="004357D3">
        <w:t xml:space="preserve"> </w:t>
      </w:r>
      <w:r w:rsidR="004357D3">
        <w:t>Moreover, I encountered challenges in balancing various requirements as well as the preferences</w:t>
      </w:r>
      <w:r w:rsidR="004357D3">
        <w:t xml:space="preserve"> </w:t>
      </w:r>
      <w:r w:rsidR="004357D3">
        <w:t>of the stakeholders and community, needing careful adaption of community engagement plans</w:t>
      </w:r>
      <w:r w:rsidR="004357D3">
        <w:t xml:space="preserve"> </w:t>
      </w:r>
      <w:r w:rsidR="004357D3">
        <w:t>along with proper navigation. Throughout this campaign, I tried to engage actively in mapping</w:t>
      </w:r>
      <w:r w:rsidR="004357D3">
        <w:t xml:space="preserve"> </w:t>
      </w:r>
      <w:r w:rsidR="004357D3">
        <w:t>specific requirements of the community along with preferences, ensuring that our every approach</w:t>
      </w:r>
      <w:r w:rsidR="004357D3">
        <w:t xml:space="preserve"> </w:t>
      </w:r>
      <w:r w:rsidR="004357D3">
        <w:t>was responsive and relevant towards the diverse cultural groups.</w:t>
      </w:r>
      <w:r w:rsidR="004357D3" w:rsidRPr="004357D3">
        <w:t xml:space="preserve"> </w:t>
      </w:r>
      <w:r w:rsidR="004357D3">
        <w:t>I experienced the crucial impact of transparent communication, active consultation along with</w:t>
      </w:r>
      <w:r w:rsidR="004357D3">
        <w:t xml:space="preserve"> </w:t>
      </w:r>
      <w:r w:rsidR="004357D3">
        <w:t>the commitment of the campaign to inclusion and diversity. Additionally, collaboration with</w:t>
      </w:r>
      <w:r w:rsidR="004357D3">
        <w:t xml:space="preserve"> </w:t>
      </w:r>
      <w:r w:rsidR="004357D3">
        <w:t>local businesses, healthcare providers and the National Health Services enhanced the credibility</w:t>
      </w:r>
      <w:r w:rsidR="004357D3">
        <w:t xml:space="preserve"> </w:t>
      </w:r>
      <w:r w:rsidR="004357D3">
        <w:t>and efficiency of the campaign, increasing its impact and reach as well</w:t>
      </w:r>
      <w:r w:rsidR="004357D3">
        <w:t>.</w:t>
      </w:r>
      <w:r w:rsidR="004357D3" w:rsidRPr="004357D3">
        <w:t xml:space="preserve"> </w:t>
      </w:r>
      <w:r w:rsidR="004357D3">
        <w:t>On</w:t>
      </w:r>
      <w:r w:rsidR="004357D3">
        <w:t xml:space="preserve"> </w:t>
      </w:r>
      <w:r w:rsidR="004357D3">
        <w:t xml:space="preserve">the other hand, the utilisation of social media such as Facebook, </w:t>
      </w:r>
      <w:r w:rsidR="004357D3">
        <w:t>YouTube</w:t>
      </w:r>
      <w:r w:rsidR="004357D3">
        <w:t>, Twitter, and LinkedIn</w:t>
      </w:r>
      <w:r w:rsidR="004357D3">
        <w:t xml:space="preserve"> </w:t>
      </w:r>
      <w:r w:rsidR="004357D3">
        <w:t>proved effective in connecting with a wide range of audiences, establishing interactive</w:t>
      </w:r>
      <w:r w:rsidR="004357D3">
        <w:t xml:space="preserve"> </w:t>
      </w:r>
      <w:r w:rsidR="004357D3">
        <w:t>conversation as well as making emotional connections through visuals and success stories.</w:t>
      </w:r>
      <w:r w:rsidR="004357D3">
        <w:t xml:space="preserve"> </w:t>
      </w:r>
      <w:r w:rsidR="004357D3">
        <w:t>Moreover, I observed that these platforms amplified the impact of this campaign as well as</w:t>
      </w:r>
      <w:r w:rsidR="004357D3">
        <w:t xml:space="preserve"> </w:t>
      </w:r>
      <w:r w:rsidR="004357D3">
        <w:t>motivated people to advocate the cause and become a donor. Usually, my entire experience in</w:t>
      </w:r>
      <w:r w:rsidR="004357D3">
        <w:t xml:space="preserve"> </w:t>
      </w:r>
      <w:r w:rsidR="004357D3">
        <w:t>this Blood donation campaign was enriching, giving me to witness the impactful power of</w:t>
      </w:r>
      <w:r w:rsidR="004357D3">
        <w:t xml:space="preserve"> </w:t>
      </w:r>
      <w:r w:rsidR="004357D3">
        <w:t>community collaboration in saving a life as well as driving positive shifts</w:t>
      </w:r>
      <w:r w:rsidR="004357D3">
        <w:t>.</w:t>
      </w:r>
      <w:r w:rsidR="004357D3" w:rsidRPr="004357D3">
        <w:t xml:space="preserve"> </w:t>
      </w:r>
      <w:r w:rsidR="004357D3">
        <w:t>As</w:t>
      </w:r>
      <w:r w:rsidR="004357D3">
        <w:t xml:space="preserve"> </w:t>
      </w:r>
      <w:r w:rsidR="004357D3">
        <w:t>I reflect on my experience on this project, I recognise the significance of continuous</w:t>
      </w:r>
      <w:r w:rsidR="004357D3">
        <w:t xml:space="preserve"> </w:t>
      </w:r>
      <w:r w:rsidR="004357D3">
        <w:t>development and targeted plans to enrich future initiatives on community engagement.</w:t>
      </w:r>
    </w:p>
    <w:p w14:paraId="08CCEB5A" w14:textId="741B1B16" w:rsidR="00514DD3" w:rsidRDefault="00514DD3" w:rsidP="00C36A56">
      <w:pPr>
        <w:pStyle w:val="Heading1"/>
        <w:spacing w:line="360" w:lineRule="auto"/>
        <w:jc w:val="both"/>
      </w:pPr>
      <w:bookmarkStart w:id="4" w:name="_Toc144027790"/>
      <w:r w:rsidRPr="00514DD3">
        <w:t>Thoughts and feelings about my experience</w:t>
      </w:r>
      <w:bookmarkEnd w:id="4"/>
    </w:p>
    <w:p w14:paraId="283AD00E" w14:textId="2EDA4C60" w:rsidR="00514DD3" w:rsidRDefault="00514DD3" w:rsidP="00C36A56">
      <w:pPr>
        <w:spacing w:line="360" w:lineRule="auto"/>
        <w:jc w:val="both"/>
      </w:pPr>
      <w:r>
        <w:t>Throughout the Blood donation campaign in Bristol, UK, I felt an immense sense of purpose and</w:t>
      </w:r>
      <w:r>
        <w:t xml:space="preserve"> </w:t>
      </w:r>
      <w:r>
        <w:t>fulfilment as an engagement practitioner in the community. Witnessing the positive response in</w:t>
      </w:r>
      <w:r>
        <w:t xml:space="preserve"> </w:t>
      </w:r>
      <w:r>
        <w:t>the community along with the effect of increased blood donations for saving lives has given me</w:t>
      </w:r>
      <w:r>
        <w:t xml:space="preserve"> </w:t>
      </w:r>
      <w:r>
        <w:t>immense satisfaction. Also, engaging with various stakeholders along with community members</w:t>
      </w:r>
      <w:r>
        <w:t xml:space="preserve"> </w:t>
      </w:r>
      <w:r>
        <w:t>provided an innovative perspective and sparked excitement in identifying the critical needs of</w:t>
      </w:r>
      <w:r>
        <w:t xml:space="preserve"> </w:t>
      </w:r>
      <w:r>
        <w:t>healthcare organisations</w:t>
      </w:r>
      <w:sdt>
        <w:sdtPr>
          <w:id w:val="-255141410"/>
          <w:citation/>
        </w:sdtPr>
        <w:sdtContent>
          <w:r>
            <w:fldChar w:fldCharType="begin"/>
          </w:r>
          <w:r>
            <w:instrText xml:space="preserve"> CITATION Knu19 \l 2057 </w:instrText>
          </w:r>
          <w:r>
            <w:fldChar w:fldCharType="separate"/>
          </w:r>
          <w:r w:rsidR="00336EC5">
            <w:rPr>
              <w:noProof/>
            </w:rPr>
            <w:t xml:space="preserve"> </w:t>
          </w:r>
          <w:r w:rsidR="00336EC5" w:rsidRPr="00336EC5">
            <w:rPr>
              <w:noProof/>
            </w:rPr>
            <w:t>(Laaser, 2019)</w:t>
          </w:r>
          <w:r>
            <w:fldChar w:fldCharType="end"/>
          </w:r>
        </w:sdtContent>
      </w:sdt>
      <w:r>
        <w:t>.</w:t>
      </w:r>
      <w:r w:rsidR="00C36A56" w:rsidRPr="00C36A56">
        <w:t xml:space="preserve"> </w:t>
      </w:r>
      <w:r w:rsidR="00C36A56">
        <w:t>Moreover, the difficulties of balancing various needs</w:t>
      </w:r>
      <w:r w:rsidR="00C36A56">
        <w:t xml:space="preserve"> </w:t>
      </w:r>
      <w:r w:rsidR="00C36A56">
        <w:t>and preferences at times usually led to some moments of adaptation and reflection. Mostly, the</w:t>
      </w:r>
      <w:r w:rsidR="00C36A56">
        <w:t xml:space="preserve"> </w:t>
      </w:r>
      <w:r w:rsidR="00C36A56">
        <w:t>experience strengthens my understanding regarding the significance of proper community</w:t>
      </w:r>
      <w:r w:rsidR="00C36A56">
        <w:t xml:space="preserve"> </w:t>
      </w:r>
      <w:r w:rsidR="00C36A56">
        <w:t>engagement in driving positive shifts as well as establishes my commitment in terms to create</w:t>
      </w:r>
      <w:r w:rsidR="00C36A56">
        <w:t xml:space="preserve"> </w:t>
      </w:r>
      <w:r w:rsidR="00C36A56">
        <w:t>lasting differences in various healthcare initiatives.</w:t>
      </w:r>
    </w:p>
    <w:p w14:paraId="552EB69D" w14:textId="5486756F" w:rsidR="00C36A56" w:rsidRDefault="00C36A56" w:rsidP="00336EC5">
      <w:pPr>
        <w:pStyle w:val="Heading1"/>
        <w:spacing w:line="360" w:lineRule="auto"/>
      </w:pPr>
      <w:bookmarkStart w:id="5" w:name="_Toc144027791"/>
      <w:r w:rsidRPr="00C36A56">
        <w:t>Evaluation of my experience</w:t>
      </w:r>
      <w:bookmarkEnd w:id="5"/>
    </w:p>
    <w:p w14:paraId="40DC54AC" w14:textId="23A2CA72" w:rsidR="00C36A56" w:rsidRDefault="00C36A56" w:rsidP="00336EC5">
      <w:pPr>
        <w:spacing w:line="360" w:lineRule="auto"/>
        <w:jc w:val="both"/>
      </w:pPr>
      <w:r>
        <w:t>Evaluating my experience in Bristol Donor Face of NHS Give Blood Campaign highlights both</w:t>
      </w:r>
      <w:r>
        <w:t xml:space="preserve"> </w:t>
      </w:r>
      <w:r>
        <w:t>difficulties and achievements encountered in the process of community engagement. However,</w:t>
      </w:r>
      <w:r>
        <w:t xml:space="preserve"> </w:t>
      </w:r>
      <w:r>
        <w:t xml:space="preserve">the considerable rise in the campaign of blood donation as well as a good effect on </w:t>
      </w:r>
      <w:r>
        <w:lastRenderedPageBreak/>
        <w:t>protecting</w:t>
      </w:r>
      <w:r>
        <w:t xml:space="preserve"> </w:t>
      </w:r>
      <w:r>
        <w:t>people’s life in Bristol was the greatest success</w:t>
      </w:r>
      <w:r>
        <w:t>.</w:t>
      </w:r>
      <w:r w:rsidRPr="00C36A56">
        <w:t xml:space="preserve"> </w:t>
      </w:r>
      <w:r>
        <w:t>I gained a tremendous</w:t>
      </w:r>
      <w:r>
        <w:t xml:space="preserve"> </w:t>
      </w:r>
      <w:r>
        <w:t>sense of purpose and satisfaction after observing that all the community members participate</w:t>
      </w:r>
      <w:r>
        <w:t xml:space="preserve"> </w:t>
      </w:r>
      <w:r>
        <w:t xml:space="preserve">actively and encourage </w:t>
      </w:r>
      <w:r w:rsidR="00336EC5">
        <w:t>each</w:t>
      </w:r>
      <w:r>
        <w:t xml:space="preserve"> one</w:t>
      </w:r>
      <w:r>
        <w:t xml:space="preserve"> to promote this event. The objective of the campaign</w:t>
      </w:r>
      <w:r>
        <w:t xml:space="preserve"> </w:t>
      </w:r>
      <w:r>
        <w:t>was well defined along with the goals that addressed the urgent shortage of blood and developing</w:t>
      </w:r>
      <w:r>
        <w:t xml:space="preserve"> </w:t>
      </w:r>
      <w:r>
        <w:t>community well-being.</w:t>
      </w:r>
      <w:r w:rsidRPr="00C36A56">
        <w:t xml:space="preserve"> </w:t>
      </w:r>
      <w:r>
        <w:t xml:space="preserve">Also, </w:t>
      </w:r>
      <w:r>
        <w:t>it</w:t>
      </w:r>
      <w:r>
        <w:t xml:space="preserve"> was truly good for me to get the chance to interact with diverse stakeholders associated</w:t>
      </w:r>
      <w:r>
        <w:t xml:space="preserve"> </w:t>
      </w:r>
      <w:r>
        <w:t>with this campaign and working together with them I got some chance to develop the</w:t>
      </w:r>
      <w:r>
        <w:t xml:space="preserve"> </w:t>
      </w:r>
      <w:r>
        <w:t>effectiveness as well as the credibility of a campaign that guaranteed long-term and thorough</w:t>
      </w:r>
      <w:r>
        <w:t xml:space="preserve"> </w:t>
      </w:r>
      <w:r>
        <w:t>strategy</w:t>
      </w:r>
      <w:sdt>
        <w:sdtPr>
          <w:id w:val="-31738361"/>
          <w:citation/>
        </w:sdtPr>
        <w:sdtContent>
          <w:r>
            <w:fldChar w:fldCharType="begin"/>
          </w:r>
          <w:r>
            <w:instrText xml:space="preserve"> CITATION Gua21 \l 2057 </w:instrText>
          </w:r>
          <w:r>
            <w:fldChar w:fldCharType="separate"/>
          </w:r>
          <w:r w:rsidR="00336EC5">
            <w:rPr>
              <w:noProof/>
            </w:rPr>
            <w:t xml:space="preserve"> </w:t>
          </w:r>
          <w:r w:rsidR="00336EC5" w:rsidRPr="00336EC5">
            <w:rPr>
              <w:noProof/>
            </w:rPr>
            <w:t>(Mao, et al., 2021)</w:t>
          </w:r>
          <w:r>
            <w:fldChar w:fldCharType="end"/>
          </w:r>
        </w:sdtContent>
      </w:sdt>
      <w:r>
        <w:t>.</w:t>
      </w:r>
      <w:r w:rsidR="007900F6" w:rsidRPr="007900F6">
        <w:t xml:space="preserve"> </w:t>
      </w:r>
      <w:r w:rsidR="007900F6">
        <w:t>Also, community members were given some sense of responsibility</w:t>
      </w:r>
      <w:r w:rsidR="007900F6">
        <w:t xml:space="preserve"> </w:t>
      </w:r>
      <w:r w:rsidR="007900F6">
        <w:t>and ownership through open communication and active consultation, which proved participation</w:t>
      </w:r>
      <w:r w:rsidR="007900F6">
        <w:t xml:space="preserve"> </w:t>
      </w:r>
      <w:r w:rsidR="007900F6">
        <w:t>in this donation effort. Nevertheless, I experienced lots of challenging situations while balancing</w:t>
      </w:r>
      <w:r w:rsidR="007900F6">
        <w:t xml:space="preserve"> </w:t>
      </w:r>
      <w:r w:rsidR="007900F6">
        <w:t>the diverse requirements and preferences associated with the stakeholders and community in</w:t>
      </w:r>
      <w:r w:rsidR="007900F6">
        <w:t xml:space="preserve"> </w:t>
      </w:r>
      <w:r w:rsidR="007900F6">
        <w:t>engagement strategies. As an example of ensuring cultural sensitivity and diversity in the</w:t>
      </w:r>
      <w:r w:rsidR="007900F6">
        <w:t xml:space="preserve"> </w:t>
      </w:r>
      <w:r w:rsidR="007900F6">
        <w:t xml:space="preserve">message, this campaign might have been more targeted and proactive in its outreach to </w:t>
      </w:r>
      <w:r w:rsidR="007900F6">
        <w:t>cultural</w:t>
      </w:r>
      <w:r w:rsidR="007900F6">
        <w:t xml:space="preserve"> groups</w:t>
      </w:r>
      <w:r w:rsidR="007900F6">
        <w:t>.</w:t>
      </w:r>
      <w:r w:rsidR="007900F6" w:rsidRPr="007900F6">
        <w:t xml:space="preserve"> </w:t>
      </w:r>
      <w:r w:rsidR="007900F6">
        <w:t>Overall, the review of my involvement in this campaign</w:t>
      </w:r>
      <w:r w:rsidR="007900F6">
        <w:t xml:space="preserve"> </w:t>
      </w:r>
      <w:r w:rsidR="007900F6">
        <w:t>identifies both success and some areas that need development in community engagement</w:t>
      </w:r>
      <w:r w:rsidR="007900F6">
        <w:t xml:space="preserve"> </w:t>
      </w:r>
      <w:r w:rsidR="007900F6">
        <w:t>practices.</w:t>
      </w:r>
    </w:p>
    <w:p w14:paraId="26589B8F" w14:textId="273DC0A5" w:rsidR="007900F6" w:rsidRDefault="007900F6" w:rsidP="005E2261">
      <w:pPr>
        <w:pStyle w:val="Heading1"/>
        <w:spacing w:line="360" w:lineRule="auto"/>
        <w:jc w:val="both"/>
      </w:pPr>
      <w:bookmarkStart w:id="6" w:name="_Toc144027792"/>
      <w:r w:rsidRPr="007900F6">
        <w:t xml:space="preserve">Analysis to create a sense of a </w:t>
      </w:r>
      <w:proofErr w:type="gramStart"/>
      <w:r w:rsidR="00336EC5" w:rsidRPr="007900F6">
        <w:t>situation</w:t>
      </w:r>
      <w:bookmarkEnd w:id="6"/>
      <w:proofErr w:type="gramEnd"/>
      <w:r w:rsidR="00336EC5">
        <w:t xml:space="preserve"> </w:t>
      </w:r>
    </w:p>
    <w:p w14:paraId="160F88D2" w14:textId="1064B3E0" w:rsidR="007900F6" w:rsidRDefault="007900F6" w:rsidP="005E2261">
      <w:pPr>
        <w:spacing w:line="360" w:lineRule="auto"/>
        <w:jc w:val="both"/>
      </w:pPr>
      <w:r>
        <w:t>My involvement as the practitioner of this Blood Donation campaign has allowed me to analyse</w:t>
      </w:r>
      <w:r>
        <w:t xml:space="preserve"> </w:t>
      </w:r>
      <w:r>
        <w:t>the community engagement dynamics along with the challenges of fulfilling urgent requirements</w:t>
      </w:r>
      <w:r>
        <w:t xml:space="preserve"> </w:t>
      </w:r>
      <w:r>
        <w:t xml:space="preserve">of the medical sector. These insights have been most </w:t>
      </w:r>
      <w:r>
        <w:t>helpful,</w:t>
      </w:r>
      <w:r>
        <w:t xml:space="preserve"> and the utilisation of suitable</w:t>
      </w:r>
      <w:r>
        <w:t xml:space="preserve"> </w:t>
      </w:r>
      <w:r>
        <w:t>practises and effective community engagement strategies contributed to the success of the</w:t>
      </w:r>
      <w:r>
        <w:t xml:space="preserve"> </w:t>
      </w:r>
      <w:r>
        <w:t>campaign in raising blood donations as well as saving lives. I may understand the problems and</w:t>
      </w:r>
      <w:r>
        <w:t xml:space="preserve"> </w:t>
      </w:r>
      <w:r>
        <w:t>significance of various aspects by applying this reflective cycle of Gibb’s. Maximised</w:t>
      </w:r>
      <w:r>
        <w:t xml:space="preserve"> </w:t>
      </w:r>
      <w:r>
        <w:t>community participation was the output of proper communication with the stakeholders and the</w:t>
      </w:r>
      <w:r>
        <w:t xml:space="preserve"> </w:t>
      </w:r>
      <w:r>
        <w:t xml:space="preserve">promotion of the ownership sense among the community </w:t>
      </w:r>
      <w:r>
        <w:t>members.</w:t>
      </w:r>
      <w:r w:rsidRPr="007900F6">
        <w:t xml:space="preserve"> </w:t>
      </w:r>
      <w:r>
        <w:t>However, this campaign’s objective was justified and clear, addressing critical issues of</w:t>
      </w:r>
      <w:r>
        <w:t xml:space="preserve"> </w:t>
      </w:r>
      <w:r>
        <w:t>healthcare organisations and completing more objectives of general healthcare. Collaborations</w:t>
      </w:r>
      <w:r>
        <w:t xml:space="preserve"> </w:t>
      </w:r>
      <w:r>
        <w:t>with multi-agency emphasise the commitment to inclusion and diversity in messaging along with</w:t>
      </w:r>
      <w:r>
        <w:t xml:space="preserve"> </w:t>
      </w:r>
      <w:r>
        <w:t>engagement plans to eradicate cultural myths and inspire a diverse culture. Apart from that, the</w:t>
      </w:r>
      <w:r>
        <w:t xml:space="preserve"> challenge’s</w:t>
      </w:r>
      <w:r>
        <w:t xml:space="preserve"> in balancing the various needs and preferences needed adaptability and flexibility in</w:t>
      </w:r>
      <w:r>
        <w:t xml:space="preserve"> </w:t>
      </w:r>
      <w:r>
        <w:t>the proper engagement strategies. A more proactive and focused approach might have created the</w:t>
      </w:r>
      <w:r>
        <w:t xml:space="preserve"> </w:t>
      </w:r>
      <w:r>
        <w:t xml:space="preserve">inclusion of campaigns for </w:t>
      </w:r>
      <w:r>
        <w:t>cultural</w:t>
      </w:r>
      <w:r>
        <w:t xml:space="preserve"> groups.</w:t>
      </w:r>
    </w:p>
    <w:p w14:paraId="7AA4E1E0" w14:textId="72850C4C" w:rsidR="007900F6" w:rsidRDefault="007900F6" w:rsidP="005E2261">
      <w:pPr>
        <w:pStyle w:val="Heading1"/>
        <w:spacing w:line="360" w:lineRule="auto"/>
        <w:jc w:val="both"/>
      </w:pPr>
      <w:bookmarkStart w:id="7" w:name="_Toc144027793"/>
      <w:r w:rsidRPr="007900F6">
        <w:t>What I learned</w:t>
      </w:r>
      <w:bookmarkEnd w:id="7"/>
    </w:p>
    <w:p w14:paraId="3BDF7B4C" w14:textId="4ADB9428" w:rsidR="007900F6" w:rsidRDefault="007900F6" w:rsidP="005E2261">
      <w:pPr>
        <w:spacing w:line="360" w:lineRule="auto"/>
        <w:jc w:val="both"/>
      </w:pPr>
      <w:r>
        <w:t>In the future, a thorough investigation into the challenges to blood donation within significant</w:t>
      </w:r>
      <w:r>
        <w:t xml:space="preserve"> </w:t>
      </w:r>
      <w:r>
        <w:t xml:space="preserve">communities could have improved the communication effectively and messaging of the </w:t>
      </w:r>
      <w:r>
        <w:t>b</w:t>
      </w:r>
      <w:r>
        <w:t>lood</w:t>
      </w:r>
      <w:r>
        <w:t xml:space="preserve"> </w:t>
      </w:r>
      <w:r>
        <w:lastRenderedPageBreak/>
        <w:t>donation campaign in Bristol, UK. According to my opinion, advertising might have been more</w:t>
      </w:r>
      <w:r>
        <w:t xml:space="preserve"> </w:t>
      </w:r>
      <w:r>
        <w:t>appealing as well as accessible through the development of targeted methods of interaction based</w:t>
      </w:r>
      <w:r>
        <w:t xml:space="preserve"> </w:t>
      </w:r>
      <w:r>
        <w:t>on the awareness of cultural influences and particular issues that affected blood donation</w:t>
      </w:r>
      <w:r>
        <w:t xml:space="preserve"> </w:t>
      </w:r>
      <w:r>
        <w:t>consequently</w:t>
      </w:r>
      <w:r>
        <w:t>.</w:t>
      </w:r>
      <w:r w:rsidRPr="007900F6">
        <w:t xml:space="preserve"> </w:t>
      </w:r>
      <w:r w:rsidRPr="007900F6">
        <w:t>Reaching out to the specific cultural groups actively would</w:t>
      </w:r>
      <w:r>
        <w:t xml:space="preserve"> </w:t>
      </w:r>
      <w:r>
        <w:t>have developed inclusivity and nurtured cultural awareness sense, promoting wide involvement</w:t>
      </w:r>
      <w:r>
        <w:t xml:space="preserve"> </w:t>
      </w:r>
      <w:r>
        <w:t>of the community across the UK. I believe that impact of this campaign might have been</w:t>
      </w:r>
      <w:r>
        <w:t xml:space="preserve"> </w:t>
      </w:r>
      <w:r>
        <w:t>enhanced and hesitation or potential misunderstanding regarding the blood donation across the</w:t>
      </w:r>
      <w:r>
        <w:t xml:space="preserve"> </w:t>
      </w:r>
      <w:r>
        <w:t>various cultural group could have been addressed through conducting deep research and focused</w:t>
      </w:r>
      <w:r>
        <w:t xml:space="preserve"> </w:t>
      </w:r>
      <w:r>
        <w:t>outreach.</w:t>
      </w:r>
    </w:p>
    <w:p w14:paraId="54DEB06C" w14:textId="3734754E" w:rsidR="007900F6" w:rsidRDefault="007900F6" w:rsidP="005E2261">
      <w:pPr>
        <w:pStyle w:val="Heading1"/>
        <w:spacing w:line="360" w:lineRule="auto"/>
        <w:jc w:val="both"/>
      </w:pPr>
      <w:bookmarkStart w:id="8" w:name="_Toc144027794"/>
      <w:r w:rsidRPr="007900F6">
        <w:t>Action Plan</w:t>
      </w:r>
      <w:bookmarkEnd w:id="8"/>
    </w:p>
    <w:p w14:paraId="789AF3F4" w14:textId="65F2834C" w:rsidR="007900F6" w:rsidRDefault="007900F6" w:rsidP="005E2261">
      <w:pPr>
        <w:spacing w:line="360" w:lineRule="auto"/>
        <w:jc w:val="both"/>
      </w:pPr>
      <w:r>
        <w:t xml:space="preserve">In future, I will try to implement an action plan that is based on the effective insights </w:t>
      </w:r>
      <w:r>
        <w:t xml:space="preserve">gained </w:t>
      </w:r>
      <w:r>
        <w:t>from the blood donation campaign in Bristol, UK. initially, I will prioritise focused research in</w:t>
      </w:r>
      <w:r>
        <w:t xml:space="preserve"> </w:t>
      </w:r>
      <w:r>
        <w:t>terms to understand the needs of the community and challenges comprehensively. Focusing on</w:t>
      </w:r>
      <w:r>
        <w:t xml:space="preserve"> </w:t>
      </w:r>
      <w:r>
        <w:t xml:space="preserve">various </w:t>
      </w:r>
      <w:r>
        <w:t>groups and</w:t>
      </w:r>
      <w:r>
        <w:t xml:space="preserve"> conducting deep interviews and surveys will offer valuable insights into</w:t>
      </w:r>
      <w:r>
        <w:t xml:space="preserve"> </w:t>
      </w:r>
      <w:r>
        <w:t>misconceptions and cultural considerations associated with the objectives of the project. I will</w:t>
      </w:r>
      <w:r>
        <w:t xml:space="preserve"> </w:t>
      </w:r>
      <w:r>
        <w:t>adopt an adaptable and flexible approach in terms to address diverse needs and preferences in my</w:t>
      </w:r>
      <w:r>
        <w:t xml:space="preserve"> </w:t>
      </w:r>
      <w:r>
        <w:t>engagement strategies. Also, tailoring communication and messaging to resonate with several</w:t>
      </w:r>
      <w:r>
        <w:t xml:space="preserve"> </w:t>
      </w:r>
      <w:r>
        <w:t>cultural groups will ensure cultural sensitivity and inclusivity</w:t>
      </w:r>
      <w:sdt>
        <w:sdtPr>
          <w:id w:val="1054968975"/>
          <w:citation/>
        </w:sdtPr>
        <w:sdtContent>
          <w:r>
            <w:fldChar w:fldCharType="begin"/>
          </w:r>
          <w:r>
            <w:instrText xml:space="preserve"> CITATION Mit19 \l 2057 </w:instrText>
          </w:r>
          <w:r>
            <w:fldChar w:fldCharType="separate"/>
          </w:r>
          <w:r w:rsidR="00336EC5">
            <w:rPr>
              <w:noProof/>
            </w:rPr>
            <w:t xml:space="preserve"> </w:t>
          </w:r>
          <w:r w:rsidR="00336EC5" w:rsidRPr="00336EC5">
            <w:rPr>
              <w:noProof/>
            </w:rPr>
            <w:t>(Lunn, et al., 2019)</w:t>
          </w:r>
          <w:r>
            <w:fldChar w:fldCharType="end"/>
          </w:r>
        </w:sdtContent>
      </w:sdt>
      <w:r>
        <w:t xml:space="preserve"> </w:t>
      </w:r>
      <w:r w:rsidR="005E2261">
        <w:t>.</w:t>
      </w:r>
      <w:r>
        <w:t>Furthermore, I</w:t>
      </w:r>
      <w:r>
        <w:t xml:space="preserve"> </w:t>
      </w:r>
      <w:r>
        <w:t>will try to explore various innovative strategies that are engaged with digital aspects beyond the</w:t>
      </w:r>
      <w:r>
        <w:t xml:space="preserve"> </w:t>
      </w:r>
      <w:r>
        <w:t>social media platforms in terms to reach a huge audience. Also, embracing changing technology</w:t>
      </w:r>
      <w:r>
        <w:t xml:space="preserve"> </w:t>
      </w:r>
      <w:r>
        <w:t>and various online platforms will ensure the relevance of the campaign in this digital age.</w:t>
      </w:r>
      <w:r>
        <w:t xml:space="preserve"> </w:t>
      </w:r>
      <w:r>
        <w:t>Moreover, by incorporating such elements into my future project, I aim to develop a lasting and</w:t>
      </w:r>
      <w:r>
        <w:t xml:space="preserve"> </w:t>
      </w:r>
      <w:r>
        <w:t>positive impact on the well-being of the community and address the critical needs of healthcare</w:t>
      </w:r>
      <w:r>
        <w:t xml:space="preserve"> </w:t>
      </w:r>
      <w:r>
        <w:t>effectively.</w:t>
      </w:r>
    </w:p>
    <w:p w14:paraId="111500E3" w14:textId="6A761CE2" w:rsidR="005E2261" w:rsidRDefault="005E2261" w:rsidP="005E2261">
      <w:pPr>
        <w:pStyle w:val="Heading1"/>
        <w:spacing w:line="360" w:lineRule="auto"/>
        <w:jc w:val="both"/>
      </w:pPr>
      <w:bookmarkStart w:id="9" w:name="_Toc144027795"/>
      <w:r w:rsidRPr="005E2261">
        <w:t>Conclusion</w:t>
      </w:r>
      <w:bookmarkEnd w:id="9"/>
    </w:p>
    <w:p w14:paraId="11306C28" w14:textId="6B9EB71C" w:rsidR="005E2261" w:rsidRDefault="005E2261" w:rsidP="005E2261">
      <w:pPr>
        <w:spacing w:line="360" w:lineRule="auto"/>
        <w:jc w:val="both"/>
      </w:pPr>
      <w:r>
        <w:t>Therefore, the Bristol Donor Face of the National Health Service Give Blood Campaign was a</w:t>
      </w:r>
      <w:r>
        <w:t xml:space="preserve"> </w:t>
      </w:r>
      <w:r>
        <w:t>revolutionary journey in the engagement of community engagement, considering a wide range of</w:t>
      </w:r>
      <w:r>
        <w:t xml:space="preserve"> </w:t>
      </w:r>
      <w:r>
        <w:t xml:space="preserve">experience, </w:t>
      </w:r>
      <w:r>
        <w:t>opportunities,</w:t>
      </w:r>
      <w:r>
        <w:t xml:space="preserve"> and success for growth. Moreover, throughout the entire project, I</w:t>
      </w:r>
      <w:r>
        <w:t xml:space="preserve"> </w:t>
      </w:r>
      <w:r>
        <w:t>played a crucial role as the community engagement practitioner, maintaining interactions</w:t>
      </w:r>
      <w:r>
        <w:t xml:space="preserve"> </w:t>
      </w:r>
      <w:r>
        <w:t>between the local community and the campaign, to find the shortage of blood as well as promote</w:t>
      </w:r>
      <w:r>
        <w:t xml:space="preserve"> </w:t>
      </w:r>
      <w:r>
        <w:t xml:space="preserve">the betterment of the community. </w:t>
      </w:r>
      <w:proofErr w:type="gramStart"/>
      <w:r w:rsidR="00336EC5">
        <w:t>Reflecting on</w:t>
      </w:r>
      <w:r>
        <w:t xml:space="preserve"> the process of community engagement utilising</w:t>
      </w:r>
      <w:r>
        <w:t xml:space="preserve"> </w:t>
      </w:r>
      <w:r>
        <w:t>Gibb’s Reflective cycle, it</w:t>
      </w:r>
      <w:proofErr w:type="gramEnd"/>
      <w:r>
        <w:t xml:space="preserve"> usually becomes evident that the success of the campaign was deeply</w:t>
      </w:r>
      <w:r>
        <w:t xml:space="preserve"> </w:t>
      </w:r>
      <w:r>
        <w:t xml:space="preserve">rooted in a commitment to diversity, collaboration, </w:t>
      </w:r>
      <w:r>
        <w:t>inclusivity,</w:t>
      </w:r>
      <w:r>
        <w:t xml:space="preserve"> and proper communication.</w:t>
      </w:r>
      <w:r>
        <w:t xml:space="preserve"> </w:t>
      </w:r>
      <w:r>
        <w:t xml:space="preserve">Moreover, the adoption of the best principles in community </w:t>
      </w:r>
      <w:r>
        <w:t>e</w:t>
      </w:r>
      <w:r>
        <w:t>ngagement, like stakeholder</w:t>
      </w:r>
      <w:r>
        <w:t xml:space="preserve"> </w:t>
      </w:r>
      <w:r>
        <w:t xml:space="preserve">participation, participatory planning, instilling ownership </w:t>
      </w:r>
      <w:r>
        <w:lastRenderedPageBreak/>
        <w:t>mentality, and responsibility to the</w:t>
      </w:r>
      <w:r>
        <w:t xml:space="preserve"> </w:t>
      </w:r>
      <w:r>
        <w:t>objective of the campaign, empowered all the community members as well. As a result, this</w:t>
      </w:r>
      <w:r>
        <w:t xml:space="preserve"> </w:t>
      </w:r>
      <w:r>
        <w:t>campaign fostered community participation and altruism culture in drives of blood donation,</w:t>
      </w:r>
      <w:r>
        <w:t xml:space="preserve"> </w:t>
      </w:r>
      <w:r>
        <w:t xml:space="preserve">saving community </w:t>
      </w:r>
      <w:r>
        <w:t>people’s</w:t>
      </w:r>
      <w:r>
        <w:t xml:space="preserve"> lives as well as impacting Bristol’s residents’ improvement. On the</w:t>
      </w:r>
      <w:r>
        <w:t xml:space="preserve"> </w:t>
      </w:r>
      <w:r>
        <w:t>other hand, the proper utilisation of social media platforms enabled the outreach tool in terms to</w:t>
      </w:r>
      <w:r>
        <w:t xml:space="preserve"> </w:t>
      </w:r>
      <w:r>
        <w:t>reach a wide range of audiences as well as engage in proper interactions with the residents. By</w:t>
      </w:r>
      <w:r>
        <w:t xml:space="preserve"> </w:t>
      </w:r>
      <w:r>
        <w:t>captivating success and visual stories, various social media platforms motivate individuals,</w:t>
      </w:r>
      <w:r>
        <w:t xml:space="preserve"> </w:t>
      </w:r>
      <w:r>
        <w:t>enhance emotional connections to become a donor and educate for the cause. Moreover, the</w:t>
      </w:r>
      <w:r>
        <w:t xml:space="preserve"> </w:t>
      </w:r>
      <w:r>
        <w:t>effect of active communication and consultation was considered evident in the maximised</w:t>
      </w:r>
      <w:r>
        <w:t xml:space="preserve"> </w:t>
      </w:r>
      <w:r>
        <w:t>turnout at the events of blood donation as well as the sense for build up the community unity that</w:t>
      </w:r>
      <w:r>
        <w:t xml:space="preserve"> </w:t>
      </w:r>
      <w:r>
        <w:t>fill throughout the campaign.</w:t>
      </w:r>
      <w:r>
        <w:t xml:space="preserve"> </w:t>
      </w:r>
      <w:r>
        <w:t>Additionally, the commitment of the campaign to inclusion and diversity ensured that effective</w:t>
      </w:r>
      <w:r>
        <w:t xml:space="preserve"> </w:t>
      </w:r>
      <w:r>
        <w:t>engagement and messaging strategies resonated with the various cultural backgrounds of</w:t>
      </w:r>
      <w:r>
        <w:t xml:space="preserve"> </w:t>
      </w:r>
      <w:r>
        <w:t>Bristol’s residents. The multi-agency participation and collaboration, usually with the healthcare</w:t>
      </w:r>
      <w:r>
        <w:t xml:space="preserve"> </w:t>
      </w:r>
      <w:r>
        <w:t xml:space="preserve">providers, the National Health </w:t>
      </w:r>
      <w:r>
        <w:t>Services,</w:t>
      </w:r>
      <w:r>
        <w:t xml:space="preserve"> and local businesses, enhanced the credibility and</w:t>
      </w:r>
      <w:r>
        <w:t xml:space="preserve"> </w:t>
      </w:r>
      <w:r>
        <w:t>efficiency of the campaign, leading to a more sustainable and comprehensive engagement</w:t>
      </w:r>
      <w:r>
        <w:t xml:space="preserve"> </w:t>
      </w:r>
      <w:r>
        <w:t>process for the community. As I reflect on my best practices as an engagement practitioner, I</w:t>
      </w:r>
      <w:r>
        <w:t xml:space="preserve"> </w:t>
      </w:r>
      <w:r>
        <w:t xml:space="preserve">realise the significance of learning and development. While the Bristol Donor Face </w:t>
      </w:r>
      <w:r>
        <w:t>Campaign was</w:t>
      </w:r>
      <w:r>
        <w:t xml:space="preserve"> completed successfully, there are various opportunities for growth in shaping the</w:t>
      </w:r>
      <w:r>
        <w:t xml:space="preserve"> </w:t>
      </w:r>
      <w:r>
        <w:t xml:space="preserve">community, fostering deeper </w:t>
      </w:r>
      <w:r>
        <w:t>collaborations,</w:t>
      </w:r>
      <w:r>
        <w:t xml:space="preserve"> and addressing significant issues to blood donation</w:t>
      </w:r>
      <w:r>
        <w:t xml:space="preserve"> </w:t>
      </w:r>
      <w:r>
        <w:t>with local organisations. Entirely, this campaign serves as a beneficial testament to the power of</w:t>
      </w:r>
      <w:r>
        <w:t xml:space="preserve"> </w:t>
      </w:r>
      <w:r>
        <w:t>community in driving a meaningful shift. By prioritising transparency, inclusivity, and</w:t>
      </w:r>
      <w:r>
        <w:t xml:space="preserve"> </w:t>
      </w:r>
      <w:r>
        <w:t>collaboration, this campaign not just identified the shortage of blood but also established a sense</w:t>
      </w:r>
      <w:r>
        <w:t xml:space="preserve"> </w:t>
      </w:r>
      <w:r>
        <w:t>of collected responsibility and community unity for the help of others. However, I will carry the</w:t>
      </w:r>
      <w:r>
        <w:t xml:space="preserve"> </w:t>
      </w:r>
      <w:r>
        <w:t>powerful and valuable lesson from this journey to create more sustainable and impactful steps</w:t>
      </w:r>
      <w:r>
        <w:t xml:space="preserve"> </w:t>
      </w:r>
      <w:r>
        <w:t>that empower entire communities as well as make a difference in individuals’ lives.</w:t>
      </w:r>
    </w:p>
    <w:p w14:paraId="0ACDCB59" w14:textId="77777777" w:rsidR="005E2261" w:rsidRDefault="005E2261" w:rsidP="005E2261">
      <w:pPr>
        <w:spacing w:line="360" w:lineRule="auto"/>
        <w:jc w:val="both"/>
      </w:pPr>
    </w:p>
    <w:p w14:paraId="331C5FD5" w14:textId="77777777" w:rsidR="005E2261" w:rsidRDefault="005E2261" w:rsidP="005E2261">
      <w:pPr>
        <w:spacing w:line="360" w:lineRule="auto"/>
        <w:jc w:val="both"/>
      </w:pPr>
    </w:p>
    <w:p w14:paraId="1531104F" w14:textId="77777777" w:rsidR="005E2261" w:rsidRDefault="005E2261" w:rsidP="005E2261">
      <w:pPr>
        <w:spacing w:line="360" w:lineRule="auto"/>
        <w:jc w:val="both"/>
      </w:pPr>
    </w:p>
    <w:p w14:paraId="67449A2F" w14:textId="77777777" w:rsidR="005E2261" w:rsidRDefault="005E2261" w:rsidP="005E2261">
      <w:pPr>
        <w:spacing w:line="360" w:lineRule="auto"/>
        <w:jc w:val="both"/>
      </w:pPr>
    </w:p>
    <w:p w14:paraId="669B881D" w14:textId="77777777" w:rsidR="00392839" w:rsidRDefault="00392839" w:rsidP="005E2261">
      <w:pPr>
        <w:spacing w:line="360" w:lineRule="auto"/>
        <w:jc w:val="both"/>
      </w:pPr>
    </w:p>
    <w:p w14:paraId="6EA52EAC" w14:textId="77777777" w:rsidR="00392839" w:rsidRDefault="00392839" w:rsidP="005E2261">
      <w:pPr>
        <w:spacing w:line="360" w:lineRule="auto"/>
        <w:jc w:val="both"/>
      </w:pPr>
    </w:p>
    <w:bookmarkStart w:id="10" w:name="_Toc144027796" w:displacedByCustomXml="next"/>
    <w:sdt>
      <w:sdtPr>
        <w:id w:val="-233161587"/>
        <w:docPartObj>
          <w:docPartGallery w:val="Bibliographies"/>
          <w:docPartUnique/>
        </w:docPartObj>
      </w:sdtPr>
      <w:sdtEndPr>
        <w:rPr>
          <w:rFonts w:eastAsiaTheme="minorHAnsi" w:cstheme="minorBidi"/>
          <w:b w:val="0"/>
          <w:sz w:val="22"/>
          <w:szCs w:val="22"/>
        </w:rPr>
      </w:sdtEndPr>
      <w:sdtContent>
        <w:p w14:paraId="0ED96C99" w14:textId="71523024" w:rsidR="00336EC5" w:rsidRDefault="00336EC5">
          <w:pPr>
            <w:pStyle w:val="Heading1"/>
          </w:pPr>
          <w:r>
            <w:t>References</w:t>
          </w:r>
          <w:bookmarkEnd w:id="10"/>
        </w:p>
        <w:sdt>
          <w:sdtPr>
            <w:id w:val="-573587230"/>
            <w:bibliography/>
          </w:sdtPr>
          <w:sdtContent>
            <w:p w14:paraId="4DF2D1C7" w14:textId="77777777" w:rsidR="00336EC5" w:rsidRDefault="00336EC5" w:rsidP="00336EC5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Avery, P. et al., 2020. </w:t>
              </w:r>
              <w:r>
                <w:rPr>
                  <w:i/>
                  <w:iCs/>
                  <w:noProof/>
                </w:rPr>
                <w:t xml:space="preserve">Whole blood transfusion versus component therapy in adult trauma patients with acute major haemorrhage.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https://pubmed.ncbi.nlm.nih.gov/32376677/</w:t>
              </w:r>
              <w:r>
                <w:rPr>
                  <w:noProof/>
                </w:rPr>
                <w:br/>
                <w:t>[Accessed 26 08 2023].</w:t>
              </w:r>
            </w:p>
            <w:p w14:paraId="77668F2A" w14:textId="77777777" w:rsidR="00336EC5" w:rsidRDefault="00336EC5" w:rsidP="00336EC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Gibbs, G., 1988. </w:t>
              </w:r>
              <w:r>
                <w:rPr>
                  <w:i/>
                  <w:iCs/>
                  <w:noProof/>
                </w:rPr>
                <w:t xml:space="preserve">LEARNING BY DOING. </w:t>
              </w:r>
              <w:r>
                <w:rPr>
                  <w:noProof/>
                </w:rPr>
                <w:t>First edition ed. Oxford: Further Education Unit.</w:t>
              </w:r>
            </w:p>
            <w:p w14:paraId="348F303A" w14:textId="77777777" w:rsidR="00336EC5" w:rsidRDefault="00336EC5" w:rsidP="00336EC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Laaser, K., 2019. ‘Customers were not objects to suck blood from’: Social relations in UK retail banks under changing performance management systems. </w:t>
              </w:r>
              <w:r>
                <w:rPr>
                  <w:i/>
                  <w:iCs/>
                  <w:noProof/>
                </w:rPr>
                <w:t xml:space="preserve">Industrial Relations Jurnal, </w:t>
              </w:r>
              <w:r>
                <w:rPr>
                  <w:noProof/>
                </w:rPr>
                <w:t>50(5-6), pp. 532-547.</w:t>
              </w:r>
            </w:p>
            <w:p w14:paraId="7439DF2F" w14:textId="77777777" w:rsidR="00336EC5" w:rsidRDefault="00336EC5" w:rsidP="00336EC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Lunn, M. R. et al., 2019. A digital health research platform for community engagement, recruitment, and retention of sexual and gender minority adults in a national longitudinal cohort study–—The PRIDE Study. </w:t>
              </w:r>
              <w:r>
                <w:rPr>
                  <w:i/>
                  <w:iCs/>
                  <w:noProof/>
                </w:rPr>
                <w:t xml:space="preserve">Oxford Academic, </w:t>
              </w:r>
              <w:r>
                <w:rPr>
                  <w:noProof/>
                </w:rPr>
                <w:t>26(8-9), p. 737–748.</w:t>
              </w:r>
            </w:p>
            <w:p w14:paraId="6B33FE2A" w14:textId="77777777" w:rsidR="00336EC5" w:rsidRDefault="00336EC5" w:rsidP="00336EC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Mao, G., Fernandes-Jesus, M., Ntontis, E. &amp; Drury, J., 2021. What have we learned about COVID-19. </w:t>
              </w:r>
              <w:r>
                <w:rPr>
                  <w:i/>
                  <w:iCs/>
                  <w:noProof/>
                </w:rPr>
                <w:t xml:space="preserve">BMC Public Health, </w:t>
              </w:r>
              <w:r>
                <w:rPr>
                  <w:noProof/>
                </w:rPr>
                <w:t>Volume 21, p. 1470.</w:t>
              </w:r>
            </w:p>
            <w:p w14:paraId="44AA8745" w14:textId="77777777" w:rsidR="00336EC5" w:rsidRDefault="00336EC5" w:rsidP="00336EC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Salmon, R. &amp; Roop, H., 2019. </w:t>
              </w:r>
              <w:r>
                <w:rPr>
                  <w:i/>
                  <w:iCs/>
                  <w:noProof/>
                </w:rPr>
                <w:t xml:space="preserve">Bridging the gap between science communication practice and theory: Reflecting on a decade of practitioner experience using polar outreach case studies to develop a new framework for public engagement design.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https://www.google.co.uk/search?q=%282019%29.+Bridging+the+gap+between+science+communication+practice%0D%0Aand+theory%3A+Reflecting+on+a+decade+of+practitioner+experience+using+polar+outreach+case+studies+to%0D%0Adevelop+a+new+framework+for+public+engagem</w:t>
              </w:r>
              <w:r>
                <w:rPr>
                  <w:noProof/>
                </w:rPr>
                <w:br/>
                <w:t>[Accessed 24 08 2023].</w:t>
              </w:r>
            </w:p>
            <w:p w14:paraId="5D143F33" w14:textId="77777777" w:rsidR="00336EC5" w:rsidRDefault="00336EC5" w:rsidP="00336EC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Sung, W. &amp; Kim, C., 2021. A Study on the Effect of Change Management on Organizational Innovation: Focusing on the Mediating Effect of Members’ Innovative Behavior. </w:t>
              </w:r>
              <w:r>
                <w:rPr>
                  <w:i/>
                  <w:iCs/>
                  <w:noProof/>
                </w:rPr>
                <w:t xml:space="preserve">Sustainability, </w:t>
              </w:r>
              <w:r>
                <w:rPr>
                  <w:noProof/>
                </w:rPr>
                <w:t>13(4), p. 2079.</w:t>
              </w:r>
            </w:p>
            <w:p w14:paraId="4627D677" w14:textId="013BE1CD" w:rsidR="00336EC5" w:rsidRDefault="00336EC5" w:rsidP="00336EC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B00A4EF" w14:textId="144963EA" w:rsidR="005E2261" w:rsidRPr="005E2261" w:rsidRDefault="005E2261" w:rsidP="005E2261">
      <w:pPr>
        <w:pStyle w:val="Heading1"/>
      </w:pPr>
    </w:p>
    <w:sectPr w:rsidR="005E2261" w:rsidRPr="005E2261" w:rsidSect="00336EC5">
      <w:footerReference w:type="default" r:id="rId8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41B225" w14:textId="77777777" w:rsidR="00F47CB9" w:rsidRDefault="00F47CB9" w:rsidP="00336EC5">
      <w:pPr>
        <w:spacing w:after="0" w:line="240" w:lineRule="auto"/>
      </w:pPr>
      <w:r>
        <w:separator/>
      </w:r>
    </w:p>
  </w:endnote>
  <w:endnote w:type="continuationSeparator" w:id="0">
    <w:p w14:paraId="34C30ED4" w14:textId="77777777" w:rsidR="00F47CB9" w:rsidRDefault="00F47CB9" w:rsidP="00336E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9949805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D6C7B51" w14:textId="51637F77" w:rsidR="00336EC5" w:rsidRDefault="00336EC5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536AADA" w14:textId="77777777" w:rsidR="00336EC5" w:rsidRDefault="00336EC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1ACDA9" w14:textId="77777777" w:rsidR="00F47CB9" w:rsidRDefault="00F47CB9" w:rsidP="00336EC5">
      <w:pPr>
        <w:spacing w:after="0" w:line="240" w:lineRule="auto"/>
      </w:pPr>
      <w:r>
        <w:separator/>
      </w:r>
    </w:p>
  </w:footnote>
  <w:footnote w:type="continuationSeparator" w:id="0">
    <w:p w14:paraId="333AE034" w14:textId="77777777" w:rsidR="00F47CB9" w:rsidRDefault="00F47CB9" w:rsidP="00336EC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1939"/>
    <w:rsid w:val="00191939"/>
    <w:rsid w:val="00336EC5"/>
    <w:rsid w:val="00392839"/>
    <w:rsid w:val="004357D3"/>
    <w:rsid w:val="00514DD3"/>
    <w:rsid w:val="005E2261"/>
    <w:rsid w:val="006502DF"/>
    <w:rsid w:val="0066089D"/>
    <w:rsid w:val="007900F6"/>
    <w:rsid w:val="007E4257"/>
    <w:rsid w:val="009D6BB0"/>
    <w:rsid w:val="00C36A56"/>
    <w:rsid w:val="00D1139A"/>
    <w:rsid w:val="00E754AB"/>
    <w:rsid w:val="00F47C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A4504E"/>
  <w15:chartTrackingRefBased/>
  <w15:docId w15:val="{8C479D5C-451B-4E97-826F-AB69FD4694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91939"/>
    <w:rPr>
      <w:rFonts w:ascii="Arial" w:hAnsi="Arial"/>
      <w:color w:val="000000" w:themeColor="text1"/>
    </w:rPr>
  </w:style>
  <w:style w:type="paragraph" w:styleId="Heading1">
    <w:name w:val="heading 1"/>
    <w:basedOn w:val="Normal"/>
    <w:next w:val="Normal"/>
    <w:link w:val="Heading1Char"/>
    <w:uiPriority w:val="9"/>
    <w:qFormat/>
    <w:rsid w:val="00191939"/>
    <w:pPr>
      <w:keepNext/>
      <w:keepLines/>
      <w:spacing w:before="240" w:after="0"/>
      <w:outlineLvl w:val="0"/>
    </w:pPr>
    <w:rPr>
      <w:rFonts w:eastAsiaTheme="majorEastAsia" w:cstheme="majorBidi"/>
      <w:b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91939"/>
    <w:pPr>
      <w:keepNext/>
      <w:keepLines/>
      <w:spacing w:before="40" w:after="0"/>
      <w:outlineLvl w:val="1"/>
    </w:pPr>
    <w:rPr>
      <w:rFonts w:eastAsiaTheme="majorEastAsia" w:cstheme="majorBidi"/>
      <w:sz w:val="24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1939"/>
    <w:rPr>
      <w:rFonts w:ascii="Arial" w:eastAsiaTheme="majorEastAsia" w:hAnsi="Arial" w:cstheme="majorBidi"/>
      <w:b/>
      <w:color w:val="000000" w:themeColor="text1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91939"/>
    <w:rPr>
      <w:rFonts w:ascii="Arial" w:eastAsiaTheme="majorEastAsia" w:hAnsi="Arial" w:cstheme="majorBidi"/>
      <w:color w:val="000000" w:themeColor="text1"/>
      <w:sz w:val="24"/>
      <w:szCs w:val="26"/>
    </w:rPr>
  </w:style>
  <w:style w:type="paragraph" w:styleId="Header">
    <w:name w:val="header"/>
    <w:basedOn w:val="Normal"/>
    <w:link w:val="HeaderChar"/>
    <w:uiPriority w:val="99"/>
    <w:unhideWhenUsed/>
    <w:rsid w:val="00336E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6EC5"/>
    <w:rPr>
      <w:rFonts w:ascii="Arial" w:hAnsi="Arial"/>
      <w:color w:val="000000" w:themeColor="text1"/>
    </w:rPr>
  </w:style>
  <w:style w:type="paragraph" w:styleId="Footer">
    <w:name w:val="footer"/>
    <w:basedOn w:val="Normal"/>
    <w:link w:val="FooterChar"/>
    <w:uiPriority w:val="99"/>
    <w:unhideWhenUsed/>
    <w:rsid w:val="00336E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6EC5"/>
    <w:rPr>
      <w:rFonts w:ascii="Arial" w:hAnsi="Arial"/>
      <w:color w:val="000000" w:themeColor="text1"/>
    </w:rPr>
  </w:style>
  <w:style w:type="paragraph" w:styleId="TOCHeading">
    <w:name w:val="TOC Heading"/>
    <w:basedOn w:val="Heading1"/>
    <w:next w:val="Normal"/>
    <w:uiPriority w:val="39"/>
    <w:unhideWhenUsed/>
    <w:qFormat/>
    <w:rsid w:val="00336EC5"/>
    <w:pPr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336EC5"/>
    <w:pPr>
      <w:spacing w:after="100"/>
      <w:ind w:left="220"/>
    </w:pPr>
    <w:rPr>
      <w:rFonts w:asciiTheme="minorHAnsi" w:eastAsiaTheme="minorEastAsia" w:hAnsiTheme="minorHAnsi" w:cs="Times New Roman"/>
      <w:color w:val="auto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36EC5"/>
    <w:pPr>
      <w:spacing w:after="100"/>
    </w:pPr>
    <w:rPr>
      <w:rFonts w:asciiTheme="minorHAnsi" w:eastAsiaTheme="minorEastAsia" w:hAnsiTheme="minorHAnsi" w:cs="Times New Roman"/>
      <w:color w:val="auto"/>
      <w:kern w:val="0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336EC5"/>
    <w:pPr>
      <w:spacing w:after="100"/>
      <w:ind w:left="440"/>
    </w:pPr>
    <w:rPr>
      <w:rFonts w:asciiTheme="minorHAnsi" w:eastAsiaTheme="minorEastAsia" w:hAnsiTheme="minorHAnsi" w:cs="Times New Roman"/>
      <w:color w:val="auto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336EC5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336E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75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8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4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93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835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044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489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3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869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68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97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98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11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17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73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606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876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46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770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17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02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91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79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32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Gra88</b:Tag>
    <b:SourceType>Book</b:SourceType>
    <b:Guid>{31B5FA23-7E41-4627-B6CD-E24211D1F9AE}</b:Guid>
    <b:Title>LEARNING BY DOING</b:Title>
    <b:Year>1988</b:Year>
    <b:Author>
      <b:Author>
        <b:NameList>
          <b:Person>
            <b:Last>Gibbs</b:Last>
            <b:First>Graham</b:First>
          </b:Person>
        </b:NameList>
      </b:Author>
    </b:Author>
    <b:City>Oxford</b:City>
    <b:Publisher>Further Education Unit</b:Publisher>
    <b:Edition>First edition</b:Edition>
    <b:RefOrder>2</b:RefOrder>
  </b:Source>
  <b:Source>
    <b:Tag>Ave20</b:Tag>
    <b:SourceType>InternetSite</b:SourceType>
    <b:Guid>{DE3CABDF-4E13-48A3-9CE5-360D80CF81B9}</b:Guid>
    <b:Author>
      <b:Author>
        <b:NameList>
          <b:Person>
            <b:Last>Avery</b:Last>
            <b:First>Pascale</b:First>
          </b:Person>
          <b:Person>
            <b:Last>Morton</b:Last>
            <b:First>Sarah</b:First>
          </b:Person>
          <b:Person>
            <b:Last>Tucker</b:Last>
            <b:First>Harriet</b:First>
          </b:Person>
          <b:Person>
            <b:Last>Green</b:Last>
            <b:First>Laura</b:First>
          </b:Person>
          <b:Person>
            <b:Last>Weaver</b:Last>
            <b:First>Anne</b:First>
          </b:Person>
          <b:Person>
            <b:Last>Davenport</b:Last>
            <b:First>Ross</b:First>
          </b:Person>
        </b:NameList>
      </b:Author>
    </b:Author>
    <b:Title>Whole blood transfusion versus component therapy in adult trauma patients with acute major haemorrhage</b:Title>
    <b:Year>2020</b:Year>
    <b:JournalName>Emergency Medicine Journal,</b:JournalName>
    <b:Pages>370–378.</b:Pages>
    <b:YearAccessed>2023</b:YearAccessed>
    <b:MonthAccessed>08</b:MonthAccessed>
    <b:DayAccessed>26</b:DayAccessed>
    <b:URL>https://pubmed.ncbi.nlm.nih.gov/32376677/</b:URL>
    <b:RefOrder>1</b:RefOrder>
  </b:Source>
  <b:Source>
    <b:Tag>Rhi19</b:Tag>
    <b:SourceType>DocumentFromInternetSite</b:SourceType>
    <b:Guid>{8F57A528-7D60-49C8-B807-43140462969B}</b:Guid>
    <b:Title>Bridging the gap between science communication practice and theory: Reflecting on a decade of practitioner experience using polar outreach case studies to develop a new framework for public engagement design</b:Title>
    <b:Year>2019</b:Year>
    <b:YearAccessed>2023</b:YearAccessed>
    <b:MonthAccessed>08</b:MonthAccessed>
    <b:DayAccessed>24</b:DayAccessed>
    <b:URL>https://www.google.co.uk/search?q=%282019%29.+Bridging+the+gap+between+science+communication+practice%0D%0Aand+theory%3A+Reflecting+on+a+decade+of+practitioner+experience+using+polar+outreach+case+studies+to%0D%0Adevelop+a+new+framework+for+public+engagem</b:URL>
    <b:Author>
      <b:Author>
        <b:NameList>
          <b:Person>
            <b:Last>Salmon</b:Last>
            <b:First>Rhian</b:First>
          </b:Person>
          <b:Person>
            <b:Last>Roop</b:Last>
            <b:First>Heidi</b:First>
          </b:Person>
        </b:NameList>
      </b:Author>
    </b:Author>
    <b:Month>03</b:Month>
    <b:Day>20</b:Day>
    <b:RefOrder>3</b:RefOrder>
  </b:Source>
  <b:Source>
    <b:Tag>Woo21</b:Tag>
    <b:SourceType>JournalArticle</b:SourceType>
    <b:Guid>{C956A216-9429-46CF-A5B2-65BFF219909D}</b:Guid>
    <b:Title>A Study on the Effect of Change Management on Organizational Innovation: Focusing on the Mediating Effect of Members’ Innovative Behavior</b:Title>
    <b:Year>2021</b:Year>
    <b:YearAccessed>2023</b:YearAccessed>
    <b:MonthAccessed>07</b:MonthAccessed>
    <b:DayAccessed>11</b:DayAccessed>
    <b:URL>https://doi.org/10.3390/su13042079</b:URL>
    <b:Author>
      <b:Author>
        <b:NameList>
          <b:Person>
            <b:Last>Sung</b:Last>
            <b:First>Wookjoon</b:First>
          </b:Person>
          <b:Person>
            <b:Last>Kim</b:Last>
            <b:First>Changil</b:First>
          </b:Person>
        </b:NameList>
      </b:Author>
    </b:Author>
    <b:Pages>2079</b:Pages>
    <b:JournalName>Sustainability</b:JournalName>
    <b:Volume>13</b:Volume>
    <b:Issue>4</b:Issue>
    <b:RefOrder>4</b:RefOrder>
  </b:Source>
  <b:Source>
    <b:Tag>Knu19</b:Tag>
    <b:SourceType>JournalArticle</b:SourceType>
    <b:Guid>{CA65520F-0188-4A18-86D0-0E64726F7AB0}</b:Guid>
    <b:Author>
      <b:Author>
        <b:NameList>
          <b:Person>
            <b:Last>Laaser</b:Last>
            <b:First>Knut</b:First>
          </b:Person>
        </b:NameList>
      </b:Author>
    </b:Author>
    <b:Title>‘Customers were not objects to suck blood from’: Social relations in UK retail banks under changing performance management systems</b:Title>
    <b:JournalName>Industrial Relations Jurnal</b:JournalName>
    <b:Year>2019</b:Year>
    <b:Pages>532-547</b:Pages>
    <b:Volume>50</b:Volume>
    <b:Issue>5-6</b:Issue>
    <b:RefOrder>5</b:RefOrder>
  </b:Source>
  <b:Source>
    <b:Tag>Gua21</b:Tag>
    <b:SourceType>JournalArticle</b:SourceType>
    <b:Guid>{B951EF1B-66BD-46E7-AC9B-5A62891E04E0}</b:Guid>
    <b:Author>
      <b:Author>
        <b:NameList>
          <b:Person>
            <b:Last>Mao</b:Last>
            <b:First>Guanlan</b:First>
          </b:Person>
          <b:Person>
            <b:Last>Fernandes-Jesus</b:Last>
            <b:First>Maria</b:First>
          </b:Person>
          <b:Person>
            <b:Last>Ntontis</b:Last>
            <b:First>Evangelos</b:First>
          </b:Person>
          <b:Person>
            <b:Last>Drury</b:Last>
            <b:First>John</b:First>
          </b:Person>
        </b:NameList>
      </b:Author>
    </b:Author>
    <b:Title>What have we learned about COVID-19</b:Title>
    <b:JournalName>BMC Public Health</b:JournalName>
    <b:Year>2021</b:Year>
    <b:Pages>1470</b:Pages>
    <b:Volume>21</b:Volume>
    <b:RefOrder>6</b:RefOrder>
  </b:Source>
  <b:Source>
    <b:Tag>Mit19</b:Tag>
    <b:SourceType>JournalArticle</b:SourceType>
    <b:Guid>{733FCFE4-35E9-438C-AA9D-B7B7FC66A856}</b:Guid>
    <b:Author>
      <b:Author>
        <b:NameList>
          <b:Person>
            <b:Last>Lunn</b:Last>
            <b:First>Mitchell</b:First>
            <b:Middle>R</b:Middle>
          </b:Person>
          <b:Person>
            <b:Last>Lubensky</b:Last>
            <b:First>Micah</b:First>
          </b:Person>
          <b:Person>
            <b:Last>Hunt</b:Last>
            <b:First>Carolyn</b:First>
          </b:Person>
          <b:Person>
            <b:Last>Flentje</b:Last>
            <b:First>Annesa</b:First>
          </b:Person>
          <b:Person>
            <b:Last>Capriotti</b:Last>
            <b:First>Matthew</b:First>
            <b:Middle>R</b:Middle>
          </b:Person>
          <b:Person>
            <b:Last>Sooksaman</b:Last>
            <b:First>Chollada</b:First>
          </b:Person>
          <b:Person>
            <b:Last>Harnett</b:Last>
            <b:First>Todd</b:First>
          </b:Person>
          <b:Person>
            <b:Last>Currie</b:Last>
            <b:First>Del</b:First>
          </b:Person>
          <b:Person>
            <b:Last>Neal</b:Last>
            <b:First>Chris</b:First>
          </b:Person>
          <b:Person>
            <b:Last>Obedin-Maliver</b:Last>
            <b:First>Juno</b:First>
          </b:Person>
        </b:NameList>
      </b:Author>
    </b:Author>
    <b:Title>A digital health research platform for community engagement, recruitment, and retention of sexual and gender minority adults in a national longitudinal cohort study–—The PRIDE Study</b:Title>
    <b:JournalName>Oxford Academic</b:JournalName>
    <b:Year>2019</b:Year>
    <b:Pages> 737–748</b:Pages>
    <b:Volume>26</b:Volume>
    <b:Issue>8-9</b:Issue>
    <b:RefOrder>7</b:RefOrder>
  </b:Source>
</b:Sources>
</file>

<file path=customXml/itemProps1.xml><?xml version="1.0" encoding="utf-8"?>
<ds:datastoreItem xmlns:ds="http://schemas.openxmlformats.org/officeDocument/2006/customXml" ds:itemID="{D51F6B8C-E67B-431D-B57A-6A960FB102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</TotalTime>
  <Pages>1</Pages>
  <Words>2577</Words>
  <Characters>14694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BRAHAMADALINA@outlook.com</dc:creator>
  <cp:keywords/>
  <dc:description/>
  <cp:lastModifiedBy>BRAHAMADALINA@outlook.com</cp:lastModifiedBy>
  <cp:revision>3</cp:revision>
  <dcterms:created xsi:type="dcterms:W3CDTF">2023-08-27T08:24:00Z</dcterms:created>
  <dcterms:modified xsi:type="dcterms:W3CDTF">2023-08-27T10:24:00Z</dcterms:modified>
</cp:coreProperties>
</file>