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2D6" w:rsidRDefault="003022D6" w:rsidP="003022D6">
      <w:pPr>
        <w:spacing w:line="360" w:lineRule="auto"/>
        <w:jc w:val="center"/>
        <w:rPr>
          <w:rFonts w:ascii="Times New Roman" w:hAnsi="Times New Roman" w:cs="Times New Roman"/>
          <w:b/>
          <w:i/>
          <w:color w:val="000000" w:themeColor="text1"/>
          <w:sz w:val="36"/>
          <w:szCs w:val="24"/>
        </w:rPr>
      </w:pPr>
    </w:p>
    <w:p w:rsidR="003022D6" w:rsidRDefault="003022D6" w:rsidP="003022D6">
      <w:pPr>
        <w:spacing w:line="360" w:lineRule="auto"/>
        <w:jc w:val="center"/>
        <w:rPr>
          <w:rFonts w:ascii="Times New Roman" w:hAnsi="Times New Roman" w:cs="Times New Roman"/>
          <w:b/>
          <w:i/>
          <w:color w:val="000000" w:themeColor="text1"/>
          <w:sz w:val="36"/>
          <w:szCs w:val="24"/>
        </w:rPr>
      </w:pPr>
    </w:p>
    <w:p w:rsidR="003022D6" w:rsidRDefault="003022D6" w:rsidP="003022D6">
      <w:pPr>
        <w:spacing w:line="360" w:lineRule="auto"/>
        <w:jc w:val="center"/>
        <w:rPr>
          <w:rFonts w:ascii="Times New Roman" w:hAnsi="Times New Roman" w:cs="Times New Roman"/>
          <w:b/>
          <w:i/>
          <w:color w:val="000000" w:themeColor="text1"/>
          <w:sz w:val="36"/>
          <w:szCs w:val="24"/>
        </w:rPr>
      </w:pPr>
    </w:p>
    <w:p w:rsidR="003022D6" w:rsidRDefault="003022D6" w:rsidP="003022D6">
      <w:pPr>
        <w:spacing w:line="360" w:lineRule="auto"/>
        <w:jc w:val="center"/>
        <w:rPr>
          <w:rFonts w:ascii="Times New Roman" w:hAnsi="Times New Roman" w:cs="Times New Roman"/>
          <w:b/>
          <w:i/>
          <w:color w:val="000000" w:themeColor="text1"/>
          <w:sz w:val="36"/>
          <w:szCs w:val="24"/>
        </w:rPr>
      </w:pPr>
    </w:p>
    <w:p w:rsidR="003022D6" w:rsidRDefault="003022D6" w:rsidP="003022D6">
      <w:pPr>
        <w:spacing w:line="360" w:lineRule="auto"/>
        <w:jc w:val="center"/>
        <w:rPr>
          <w:rFonts w:ascii="Times New Roman" w:hAnsi="Times New Roman" w:cs="Times New Roman"/>
          <w:b/>
          <w:i/>
          <w:color w:val="000000" w:themeColor="text1"/>
          <w:sz w:val="36"/>
          <w:szCs w:val="24"/>
        </w:rPr>
      </w:pPr>
    </w:p>
    <w:p w:rsidR="003022D6" w:rsidRDefault="003022D6" w:rsidP="003022D6">
      <w:pPr>
        <w:spacing w:line="360" w:lineRule="auto"/>
        <w:jc w:val="center"/>
        <w:rPr>
          <w:rFonts w:ascii="Times New Roman" w:hAnsi="Times New Roman" w:cs="Times New Roman"/>
          <w:b/>
          <w:i/>
          <w:color w:val="000000" w:themeColor="text1"/>
          <w:sz w:val="36"/>
          <w:szCs w:val="24"/>
        </w:rPr>
      </w:pPr>
    </w:p>
    <w:p w:rsidR="003022D6" w:rsidRPr="003022D6" w:rsidRDefault="003022D6" w:rsidP="003022D6">
      <w:pPr>
        <w:spacing w:line="360" w:lineRule="auto"/>
        <w:jc w:val="center"/>
        <w:rPr>
          <w:rFonts w:ascii="Times New Roman" w:hAnsi="Times New Roman" w:cs="Times New Roman"/>
          <w:b/>
          <w:i/>
          <w:color w:val="000000" w:themeColor="text1"/>
          <w:sz w:val="36"/>
          <w:szCs w:val="24"/>
        </w:rPr>
      </w:pPr>
      <w:r w:rsidRPr="003022D6">
        <w:rPr>
          <w:rFonts w:ascii="Times New Roman" w:hAnsi="Times New Roman" w:cs="Times New Roman"/>
          <w:b/>
          <w:i/>
          <w:color w:val="000000" w:themeColor="text1"/>
          <w:sz w:val="36"/>
          <w:szCs w:val="24"/>
        </w:rPr>
        <w:t>Management Accounting for Managers</w:t>
      </w:r>
    </w:p>
    <w:p w:rsidR="00900E5B" w:rsidRPr="00900E5B" w:rsidRDefault="003022D6" w:rsidP="003022D6">
      <w:pPr>
        <w:spacing w:line="360" w:lineRule="auto"/>
        <w:jc w:val="center"/>
        <w:rPr>
          <w:rFonts w:ascii="Times New Roman" w:eastAsiaTheme="majorEastAsia" w:hAnsi="Times New Roman" w:cs="Times New Roman"/>
          <w:b/>
          <w:bCs/>
          <w:color w:val="000000" w:themeColor="text1"/>
          <w:sz w:val="24"/>
          <w:szCs w:val="24"/>
        </w:rPr>
      </w:pPr>
      <w:r w:rsidRPr="003022D6">
        <w:rPr>
          <w:rFonts w:ascii="Times New Roman" w:hAnsi="Times New Roman" w:cs="Times New Roman"/>
          <w:b/>
          <w:i/>
          <w:color w:val="000000" w:themeColor="text1"/>
          <w:sz w:val="36"/>
          <w:szCs w:val="24"/>
        </w:rPr>
        <w:t>Individual Report</w:t>
      </w:r>
      <w:r w:rsidRPr="003022D6">
        <w:rPr>
          <w:rFonts w:ascii="Times New Roman" w:hAnsi="Times New Roman" w:cs="Times New Roman"/>
          <w:color w:val="000000" w:themeColor="text1"/>
          <w:sz w:val="36"/>
          <w:szCs w:val="24"/>
        </w:rPr>
        <w:t xml:space="preserve"> </w:t>
      </w:r>
      <w:r w:rsidR="00900E5B" w:rsidRPr="00900E5B">
        <w:rPr>
          <w:rFonts w:ascii="Times New Roman" w:hAnsi="Times New Roman" w:cs="Times New Roman"/>
          <w:color w:val="000000" w:themeColor="text1"/>
          <w:sz w:val="24"/>
          <w:szCs w:val="24"/>
        </w:rPr>
        <w:br w:type="page"/>
      </w:r>
    </w:p>
    <w:sdt>
      <w:sdtPr>
        <w:rPr>
          <w:rFonts w:ascii="Times New Roman" w:hAnsi="Times New Roman" w:cs="Times New Roman"/>
          <w:color w:val="000000" w:themeColor="text1"/>
          <w:sz w:val="24"/>
          <w:szCs w:val="24"/>
        </w:rPr>
        <w:id w:val="10558460"/>
        <w:docPartObj>
          <w:docPartGallery w:val="Table of Contents"/>
          <w:docPartUnique/>
        </w:docPartObj>
      </w:sdtPr>
      <w:sdtEndPr>
        <w:rPr>
          <w:rFonts w:eastAsiaTheme="minorHAnsi"/>
          <w:b w:val="0"/>
          <w:bCs w:val="0"/>
        </w:rPr>
      </w:sdtEndPr>
      <w:sdtContent>
        <w:p w:rsidR="00900E5B" w:rsidRPr="00900E5B" w:rsidRDefault="00900E5B" w:rsidP="00900E5B">
          <w:pPr>
            <w:pStyle w:val="TOCHeading"/>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Table of Contents</w:t>
          </w:r>
        </w:p>
        <w:p w:rsidR="00900E5B" w:rsidRPr="00900E5B" w:rsidRDefault="00900E5B" w:rsidP="00900E5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900E5B">
            <w:rPr>
              <w:rFonts w:ascii="Times New Roman" w:hAnsi="Times New Roman" w:cs="Times New Roman"/>
              <w:color w:val="000000" w:themeColor="text1"/>
              <w:sz w:val="24"/>
              <w:szCs w:val="24"/>
            </w:rPr>
            <w:fldChar w:fldCharType="begin"/>
          </w:r>
          <w:r w:rsidRPr="00900E5B">
            <w:rPr>
              <w:rFonts w:ascii="Times New Roman" w:hAnsi="Times New Roman" w:cs="Times New Roman"/>
              <w:color w:val="000000" w:themeColor="text1"/>
              <w:sz w:val="24"/>
              <w:szCs w:val="24"/>
            </w:rPr>
            <w:instrText xml:space="preserve"> TOC \o "1-3" \h \z \u </w:instrText>
          </w:r>
          <w:r w:rsidRPr="00900E5B">
            <w:rPr>
              <w:rFonts w:ascii="Times New Roman" w:hAnsi="Times New Roman" w:cs="Times New Roman"/>
              <w:color w:val="000000" w:themeColor="text1"/>
              <w:sz w:val="24"/>
              <w:szCs w:val="24"/>
            </w:rPr>
            <w:fldChar w:fldCharType="separate"/>
          </w:r>
          <w:hyperlink w:anchor="_Toc213066756" w:history="1">
            <w:r w:rsidRPr="00900E5B">
              <w:rPr>
                <w:rStyle w:val="Hyperlink"/>
                <w:rFonts w:ascii="Times New Roman" w:hAnsi="Times New Roman" w:cs="Times New Roman"/>
                <w:noProof/>
                <w:color w:val="000000" w:themeColor="text1"/>
                <w:sz w:val="24"/>
                <w:szCs w:val="24"/>
              </w:rPr>
              <w:t>1. Introduction</w:t>
            </w:r>
            <w:r w:rsidRPr="00900E5B">
              <w:rPr>
                <w:rFonts w:ascii="Times New Roman" w:hAnsi="Times New Roman" w:cs="Times New Roman"/>
                <w:noProof/>
                <w:webHidden/>
                <w:color w:val="000000" w:themeColor="text1"/>
                <w:sz w:val="24"/>
                <w:szCs w:val="24"/>
              </w:rPr>
              <w:tab/>
            </w:r>
            <w:r w:rsidRPr="00900E5B">
              <w:rPr>
                <w:rFonts w:ascii="Times New Roman" w:hAnsi="Times New Roman" w:cs="Times New Roman"/>
                <w:noProof/>
                <w:webHidden/>
                <w:color w:val="000000" w:themeColor="text1"/>
                <w:sz w:val="24"/>
                <w:szCs w:val="24"/>
              </w:rPr>
              <w:fldChar w:fldCharType="begin"/>
            </w:r>
            <w:r w:rsidRPr="00900E5B">
              <w:rPr>
                <w:rFonts w:ascii="Times New Roman" w:hAnsi="Times New Roman" w:cs="Times New Roman"/>
                <w:noProof/>
                <w:webHidden/>
                <w:color w:val="000000" w:themeColor="text1"/>
                <w:sz w:val="24"/>
                <w:szCs w:val="24"/>
              </w:rPr>
              <w:instrText xml:space="preserve"> PAGEREF _Toc213066756 \h </w:instrText>
            </w:r>
            <w:r w:rsidRPr="00900E5B">
              <w:rPr>
                <w:rFonts w:ascii="Times New Roman" w:hAnsi="Times New Roman" w:cs="Times New Roman"/>
                <w:noProof/>
                <w:webHidden/>
                <w:color w:val="000000" w:themeColor="text1"/>
                <w:sz w:val="24"/>
                <w:szCs w:val="24"/>
              </w:rPr>
            </w:r>
            <w:r w:rsidRPr="00900E5B">
              <w:rPr>
                <w:rFonts w:ascii="Times New Roman" w:hAnsi="Times New Roman" w:cs="Times New Roman"/>
                <w:noProof/>
                <w:webHidden/>
                <w:color w:val="000000" w:themeColor="text1"/>
                <w:sz w:val="24"/>
                <w:szCs w:val="24"/>
              </w:rPr>
              <w:fldChar w:fldCharType="separate"/>
            </w:r>
            <w:r w:rsidRPr="00900E5B">
              <w:rPr>
                <w:rFonts w:ascii="Times New Roman" w:hAnsi="Times New Roman" w:cs="Times New Roman"/>
                <w:noProof/>
                <w:webHidden/>
                <w:color w:val="000000" w:themeColor="text1"/>
                <w:sz w:val="24"/>
                <w:szCs w:val="24"/>
              </w:rPr>
              <w:t>3</w:t>
            </w:r>
            <w:r w:rsidRPr="00900E5B">
              <w:rPr>
                <w:rFonts w:ascii="Times New Roman" w:hAnsi="Times New Roman" w:cs="Times New Roman"/>
                <w:noProof/>
                <w:webHidden/>
                <w:color w:val="000000" w:themeColor="text1"/>
                <w:sz w:val="24"/>
                <w:szCs w:val="24"/>
              </w:rPr>
              <w:fldChar w:fldCharType="end"/>
            </w:r>
          </w:hyperlink>
        </w:p>
        <w:p w:rsidR="00900E5B" w:rsidRPr="00900E5B" w:rsidRDefault="00900E5B" w:rsidP="00900E5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13066757" w:history="1">
            <w:r w:rsidRPr="00900E5B">
              <w:rPr>
                <w:rStyle w:val="Hyperlink"/>
                <w:rFonts w:ascii="Times New Roman" w:hAnsi="Times New Roman" w:cs="Times New Roman"/>
                <w:noProof/>
                <w:color w:val="000000" w:themeColor="text1"/>
                <w:sz w:val="24"/>
                <w:szCs w:val="24"/>
              </w:rPr>
              <w:t>2. Cost analysis and business model</w:t>
            </w:r>
            <w:r w:rsidRPr="00900E5B">
              <w:rPr>
                <w:rFonts w:ascii="Times New Roman" w:hAnsi="Times New Roman" w:cs="Times New Roman"/>
                <w:noProof/>
                <w:webHidden/>
                <w:color w:val="000000" w:themeColor="text1"/>
                <w:sz w:val="24"/>
                <w:szCs w:val="24"/>
              </w:rPr>
              <w:tab/>
            </w:r>
            <w:r w:rsidRPr="00900E5B">
              <w:rPr>
                <w:rFonts w:ascii="Times New Roman" w:hAnsi="Times New Roman" w:cs="Times New Roman"/>
                <w:noProof/>
                <w:webHidden/>
                <w:color w:val="000000" w:themeColor="text1"/>
                <w:sz w:val="24"/>
                <w:szCs w:val="24"/>
              </w:rPr>
              <w:fldChar w:fldCharType="begin"/>
            </w:r>
            <w:r w:rsidRPr="00900E5B">
              <w:rPr>
                <w:rFonts w:ascii="Times New Roman" w:hAnsi="Times New Roman" w:cs="Times New Roman"/>
                <w:noProof/>
                <w:webHidden/>
                <w:color w:val="000000" w:themeColor="text1"/>
                <w:sz w:val="24"/>
                <w:szCs w:val="24"/>
              </w:rPr>
              <w:instrText xml:space="preserve"> PAGEREF _Toc213066757 \h </w:instrText>
            </w:r>
            <w:r w:rsidRPr="00900E5B">
              <w:rPr>
                <w:rFonts w:ascii="Times New Roman" w:hAnsi="Times New Roman" w:cs="Times New Roman"/>
                <w:noProof/>
                <w:webHidden/>
                <w:color w:val="000000" w:themeColor="text1"/>
                <w:sz w:val="24"/>
                <w:szCs w:val="24"/>
              </w:rPr>
            </w:r>
            <w:r w:rsidRPr="00900E5B">
              <w:rPr>
                <w:rFonts w:ascii="Times New Roman" w:hAnsi="Times New Roman" w:cs="Times New Roman"/>
                <w:noProof/>
                <w:webHidden/>
                <w:color w:val="000000" w:themeColor="text1"/>
                <w:sz w:val="24"/>
                <w:szCs w:val="24"/>
              </w:rPr>
              <w:fldChar w:fldCharType="separate"/>
            </w:r>
            <w:r w:rsidRPr="00900E5B">
              <w:rPr>
                <w:rFonts w:ascii="Times New Roman" w:hAnsi="Times New Roman" w:cs="Times New Roman"/>
                <w:noProof/>
                <w:webHidden/>
                <w:color w:val="000000" w:themeColor="text1"/>
                <w:sz w:val="24"/>
                <w:szCs w:val="24"/>
              </w:rPr>
              <w:t>3</w:t>
            </w:r>
            <w:r w:rsidRPr="00900E5B">
              <w:rPr>
                <w:rFonts w:ascii="Times New Roman" w:hAnsi="Times New Roman" w:cs="Times New Roman"/>
                <w:noProof/>
                <w:webHidden/>
                <w:color w:val="000000" w:themeColor="text1"/>
                <w:sz w:val="24"/>
                <w:szCs w:val="24"/>
              </w:rPr>
              <w:fldChar w:fldCharType="end"/>
            </w:r>
          </w:hyperlink>
        </w:p>
        <w:p w:rsidR="00900E5B" w:rsidRPr="00900E5B" w:rsidRDefault="00900E5B" w:rsidP="00900E5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13066758" w:history="1">
            <w:r w:rsidRPr="00900E5B">
              <w:rPr>
                <w:rStyle w:val="Hyperlink"/>
                <w:rFonts w:ascii="Times New Roman" w:eastAsia="Times New Roman" w:hAnsi="Times New Roman" w:cs="Times New Roman"/>
                <w:noProof/>
                <w:color w:val="000000" w:themeColor="text1"/>
                <w:sz w:val="24"/>
                <w:szCs w:val="24"/>
              </w:rPr>
              <w:t>3. Budgeting and Financial planning</w:t>
            </w:r>
            <w:r w:rsidRPr="00900E5B">
              <w:rPr>
                <w:rFonts w:ascii="Times New Roman" w:hAnsi="Times New Roman" w:cs="Times New Roman"/>
                <w:noProof/>
                <w:webHidden/>
                <w:color w:val="000000" w:themeColor="text1"/>
                <w:sz w:val="24"/>
                <w:szCs w:val="24"/>
              </w:rPr>
              <w:tab/>
            </w:r>
            <w:r w:rsidRPr="00900E5B">
              <w:rPr>
                <w:rFonts w:ascii="Times New Roman" w:hAnsi="Times New Roman" w:cs="Times New Roman"/>
                <w:noProof/>
                <w:webHidden/>
                <w:color w:val="000000" w:themeColor="text1"/>
                <w:sz w:val="24"/>
                <w:szCs w:val="24"/>
              </w:rPr>
              <w:fldChar w:fldCharType="begin"/>
            </w:r>
            <w:r w:rsidRPr="00900E5B">
              <w:rPr>
                <w:rFonts w:ascii="Times New Roman" w:hAnsi="Times New Roman" w:cs="Times New Roman"/>
                <w:noProof/>
                <w:webHidden/>
                <w:color w:val="000000" w:themeColor="text1"/>
                <w:sz w:val="24"/>
                <w:szCs w:val="24"/>
              </w:rPr>
              <w:instrText xml:space="preserve"> PAGEREF _Toc213066758 \h </w:instrText>
            </w:r>
            <w:r w:rsidRPr="00900E5B">
              <w:rPr>
                <w:rFonts w:ascii="Times New Roman" w:hAnsi="Times New Roman" w:cs="Times New Roman"/>
                <w:noProof/>
                <w:webHidden/>
                <w:color w:val="000000" w:themeColor="text1"/>
                <w:sz w:val="24"/>
                <w:szCs w:val="24"/>
              </w:rPr>
            </w:r>
            <w:r w:rsidRPr="00900E5B">
              <w:rPr>
                <w:rFonts w:ascii="Times New Roman" w:hAnsi="Times New Roman" w:cs="Times New Roman"/>
                <w:noProof/>
                <w:webHidden/>
                <w:color w:val="000000" w:themeColor="text1"/>
                <w:sz w:val="24"/>
                <w:szCs w:val="24"/>
              </w:rPr>
              <w:fldChar w:fldCharType="separate"/>
            </w:r>
            <w:r w:rsidRPr="00900E5B">
              <w:rPr>
                <w:rFonts w:ascii="Times New Roman" w:hAnsi="Times New Roman" w:cs="Times New Roman"/>
                <w:noProof/>
                <w:webHidden/>
                <w:color w:val="000000" w:themeColor="text1"/>
                <w:sz w:val="24"/>
                <w:szCs w:val="24"/>
              </w:rPr>
              <w:t>4</w:t>
            </w:r>
            <w:r w:rsidRPr="00900E5B">
              <w:rPr>
                <w:rFonts w:ascii="Times New Roman" w:hAnsi="Times New Roman" w:cs="Times New Roman"/>
                <w:noProof/>
                <w:webHidden/>
                <w:color w:val="000000" w:themeColor="text1"/>
                <w:sz w:val="24"/>
                <w:szCs w:val="24"/>
              </w:rPr>
              <w:fldChar w:fldCharType="end"/>
            </w:r>
          </w:hyperlink>
        </w:p>
        <w:p w:rsidR="00900E5B" w:rsidRPr="00900E5B" w:rsidRDefault="00900E5B" w:rsidP="00900E5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13066759" w:history="1">
            <w:r w:rsidRPr="00900E5B">
              <w:rPr>
                <w:rStyle w:val="Hyperlink"/>
                <w:rFonts w:ascii="Times New Roman" w:hAnsi="Times New Roman" w:cs="Times New Roman"/>
                <w:noProof/>
                <w:color w:val="000000" w:themeColor="text1"/>
                <w:sz w:val="24"/>
                <w:szCs w:val="24"/>
              </w:rPr>
              <w:t>4. Performance Measurement and Decision Making</w:t>
            </w:r>
            <w:r w:rsidRPr="00900E5B">
              <w:rPr>
                <w:rFonts w:ascii="Times New Roman" w:hAnsi="Times New Roman" w:cs="Times New Roman"/>
                <w:noProof/>
                <w:webHidden/>
                <w:color w:val="000000" w:themeColor="text1"/>
                <w:sz w:val="24"/>
                <w:szCs w:val="24"/>
              </w:rPr>
              <w:tab/>
            </w:r>
            <w:r w:rsidRPr="00900E5B">
              <w:rPr>
                <w:rFonts w:ascii="Times New Roman" w:hAnsi="Times New Roman" w:cs="Times New Roman"/>
                <w:noProof/>
                <w:webHidden/>
                <w:color w:val="000000" w:themeColor="text1"/>
                <w:sz w:val="24"/>
                <w:szCs w:val="24"/>
              </w:rPr>
              <w:fldChar w:fldCharType="begin"/>
            </w:r>
            <w:r w:rsidRPr="00900E5B">
              <w:rPr>
                <w:rFonts w:ascii="Times New Roman" w:hAnsi="Times New Roman" w:cs="Times New Roman"/>
                <w:noProof/>
                <w:webHidden/>
                <w:color w:val="000000" w:themeColor="text1"/>
                <w:sz w:val="24"/>
                <w:szCs w:val="24"/>
              </w:rPr>
              <w:instrText xml:space="preserve"> PAGEREF _Toc213066759 \h </w:instrText>
            </w:r>
            <w:r w:rsidRPr="00900E5B">
              <w:rPr>
                <w:rFonts w:ascii="Times New Roman" w:hAnsi="Times New Roman" w:cs="Times New Roman"/>
                <w:noProof/>
                <w:webHidden/>
                <w:color w:val="000000" w:themeColor="text1"/>
                <w:sz w:val="24"/>
                <w:szCs w:val="24"/>
              </w:rPr>
            </w:r>
            <w:r w:rsidRPr="00900E5B">
              <w:rPr>
                <w:rFonts w:ascii="Times New Roman" w:hAnsi="Times New Roman" w:cs="Times New Roman"/>
                <w:noProof/>
                <w:webHidden/>
                <w:color w:val="000000" w:themeColor="text1"/>
                <w:sz w:val="24"/>
                <w:szCs w:val="24"/>
              </w:rPr>
              <w:fldChar w:fldCharType="separate"/>
            </w:r>
            <w:r w:rsidRPr="00900E5B">
              <w:rPr>
                <w:rFonts w:ascii="Times New Roman" w:hAnsi="Times New Roman" w:cs="Times New Roman"/>
                <w:noProof/>
                <w:webHidden/>
                <w:color w:val="000000" w:themeColor="text1"/>
                <w:sz w:val="24"/>
                <w:szCs w:val="24"/>
              </w:rPr>
              <w:t>5</w:t>
            </w:r>
            <w:r w:rsidRPr="00900E5B">
              <w:rPr>
                <w:rFonts w:ascii="Times New Roman" w:hAnsi="Times New Roman" w:cs="Times New Roman"/>
                <w:noProof/>
                <w:webHidden/>
                <w:color w:val="000000" w:themeColor="text1"/>
                <w:sz w:val="24"/>
                <w:szCs w:val="24"/>
              </w:rPr>
              <w:fldChar w:fldCharType="end"/>
            </w:r>
          </w:hyperlink>
        </w:p>
        <w:p w:rsidR="00900E5B" w:rsidRPr="00900E5B" w:rsidRDefault="00900E5B" w:rsidP="00900E5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13066760" w:history="1">
            <w:r w:rsidRPr="00900E5B">
              <w:rPr>
                <w:rStyle w:val="Hyperlink"/>
                <w:rFonts w:ascii="Times New Roman" w:hAnsi="Times New Roman" w:cs="Times New Roman"/>
                <w:noProof/>
                <w:color w:val="000000" w:themeColor="text1"/>
                <w:sz w:val="24"/>
                <w:szCs w:val="24"/>
              </w:rPr>
              <w:t>5. Sustainability and Ethical Considerations – Tesla</w:t>
            </w:r>
            <w:r w:rsidRPr="00900E5B">
              <w:rPr>
                <w:rFonts w:ascii="Times New Roman" w:hAnsi="Times New Roman" w:cs="Times New Roman"/>
                <w:noProof/>
                <w:webHidden/>
                <w:color w:val="000000" w:themeColor="text1"/>
                <w:sz w:val="24"/>
                <w:szCs w:val="24"/>
              </w:rPr>
              <w:tab/>
            </w:r>
            <w:r w:rsidRPr="00900E5B">
              <w:rPr>
                <w:rFonts w:ascii="Times New Roman" w:hAnsi="Times New Roman" w:cs="Times New Roman"/>
                <w:noProof/>
                <w:webHidden/>
                <w:color w:val="000000" w:themeColor="text1"/>
                <w:sz w:val="24"/>
                <w:szCs w:val="24"/>
              </w:rPr>
              <w:fldChar w:fldCharType="begin"/>
            </w:r>
            <w:r w:rsidRPr="00900E5B">
              <w:rPr>
                <w:rFonts w:ascii="Times New Roman" w:hAnsi="Times New Roman" w:cs="Times New Roman"/>
                <w:noProof/>
                <w:webHidden/>
                <w:color w:val="000000" w:themeColor="text1"/>
                <w:sz w:val="24"/>
                <w:szCs w:val="24"/>
              </w:rPr>
              <w:instrText xml:space="preserve"> PAGEREF _Toc213066760 \h </w:instrText>
            </w:r>
            <w:r w:rsidRPr="00900E5B">
              <w:rPr>
                <w:rFonts w:ascii="Times New Roman" w:hAnsi="Times New Roman" w:cs="Times New Roman"/>
                <w:noProof/>
                <w:webHidden/>
                <w:color w:val="000000" w:themeColor="text1"/>
                <w:sz w:val="24"/>
                <w:szCs w:val="24"/>
              </w:rPr>
            </w:r>
            <w:r w:rsidRPr="00900E5B">
              <w:rPr>
                <w:rFonts w:ascii="Times New Roman" w:hAnsi="Times New Roman" w:cs="Times New Roman"/>
                <w:noProof/>
                <w:webHidden/>
                <w:color w:val="000000" w:themeColor="text1"/>
                <w:sz w:val="24"/>
                <w:szCs w:val="24"/>
              </w:rPr>
              <w:fldChar w:fldCharType="separate"/>
            </w:r>
            <w:r w:rsidRPr="00900E5B">
              <w:rPr>
                <w:rFonts w:ascii="Times New Roman" w:hAnsi="Times New Roman" w:cs="Times New Roman"/>
                <w:noProof/>
                <w:webHidden/>
                <w:color w:val="000000" w:themeColor="text1"/>
                <w:sz w:val="24"/>
                <w:szCs w:val="24"/>
              </w:rPr>
              <w:t>6</w:t>
            </w:r>
            <w:r w:rsidRPr="00900E5B">
              <w:rPr>
                <w:rFonts w:ascii="Times New Roman" w:hAnsi="Times New Roman" w:cs="Times New Roman"/>
                <w:noProof/>
                <w:webHidden/>
                <w:color w:val="000000" w:themeColor="text1"/>
                <w:sz w:val="24"/>
                <w:szCs w:val="24"/>
              </w:rPr>
              <w:fldChar w:fldCharType="end"/>
            </w:r>
          </w:hyperlink>
        </w:p>
        <w:p w:rsidR="00900E5B" w:rsidRPr="00900E5B" w:rsidRDefault="00900E5B" w:rsidP="00900E5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13066761" w:history="1">
            <w:r w:rsidRPr="00900E5B">
              <w:rPr>
                <w:rStyle w:val="Hyperlink"/>
                <w:rFonts w:ascii="Times New Roman" w:hAnsi="Times New Roman" w:cs="Times New Roman"/>
                <w:noProof/>
                <w:color w:val="000000" w:themeColor="text1"/>
                <w:sz w:val="24"/>
                <w:szCs w:val="24"/>
              </w:rPr>
              <w:t>6. Conclusion and Recommendations</w:t>
            </w:r>
            <w:r w:rsidRPr="00900E5B">
              <w:rPr>
                <w:rFonts w:ascii="Times New Roman" w:hAnsi="Times New Roman" w:cs="Times New Roman"/>
                <w:noProof/>
                <w:webHidden/>
                <w:color w:val="000000" w:themeColor="text1"/>
                <w:sz w:val="24"/>
                <w:szCs w:val="24"/>
              </w:rPr>
              <w:tab/>
            </w:r>
            <w:r w:rsidRPr="00900E5B">
              <w:rPr>
                <w:rFonts w:ascii="Times New Roman" w:hAnsi="Times New Roman" w:cs="Times New Roman"/>
                <w:noProof/>
                <w:webHidden/>
                <w:color w:val="000000" w:themeColor="text1"/>
                <w:sz w:val="24"/>
                <w:szCs w:val="24"/>
              </w:rPr>
              <w:fldChar w:fldCharType="begin"/>
            </w:r>
            <w:r w:rsidRPr="00900E5B">
              <w:rPr>
                <w:rFonts w:ascii="Times New Roman" w:hAnsi="Times New Roman" w:cs="Times New Roman"/>
                <w:noProof/>
                <w:webHidden/>
                <w:color w:val="000000" w:themeColor="text1"/>
                <w:sz w:val="24"/>
                <w:szCs w:val="24"/>
              </w:rPr>
              <w:instrText xml:space="preserve"> PAGEREF _Toc213066761 \h </w:instrText>
            </w:r>
            <w:r w:rsidRPr="00900E5B">
              <w:rPr>
                <w:rFonts w:ascii="Times New Roman" w:hAnsi="Times New Roman" w:cs="Times New Roman"/>
                <w:noProof/>
                <w:webHidden/>
                <w:color w:val="000000" w:themeColor="text1"/>
                <w:sz w:val="24"/>
                <w:szCs w:val="24"/>
              </w:rPr>
            </w:r>
            <w:r w:rsidRPr="00900E5B">
              <w:rPr>
                <w:rFonts w:ascii="Times New Roman" w:hAnsi="Times New Roman" w:cs="Times New Roman"/>
                <w:noProof/>
                <w:webHidden/>
                <w:color w:val="000000" w:themeColor="text1"/>
                <w:sz w:val="24"/>
                <w:szCs w:val="24"/>
              </w:rPr>
              <w:fldChar w:fldCharType="separate"/>
            </w:r>
            <w:r w:rsidRPr="00900E5B">
              <w:rPr>
                <w:rFonts w:ascii="Times New Roman" w:hAnsi="Times New Roman" w:cs="Times New Roman"/>
                <w:noProof/>
                <w:webHidden/>
                <w:color w:val="000000" w:themeColor="text1"/>
                <w:sz w:val="24"/>
                <w:szCs w:val="24"/>
              </w:rPr>
              <w:t>7</w:t>
            </w:r>
            <w:r w:rsidRPr="00900E5B">
              <w:rPr>
                <w:rFonts w:ascii="Times New Roman" w:hAnsi="Times New Roman" w:cs="Times New Roman"/>
                <w:noProof/>
                <w:webHidden/>
                <w:color w:val="000000" w:themeColor="text1"/>
                <w:sz w:val="24"/>
                <w:szCs w:val="24"/>
              </w:rPr>
              <w:fldChar w:fldCharType="end"/>
            </w:r>
          </w:hyperlink>
        </w:p>
        <w:p w:rsidR="00900E5B" w:rsidRPr="00900E5B" w:rsidRDefault="00900E5B" w:rsidP="00900E5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213066762" w:history="1">
            <w:r w:rsidRPr="00900E5B">
              <w:rPr>
                <w:rStyle w:val="Hyperlink"/>
                <w:rFonts w:ascii="Times New Roman" w:hAnsi="Times New Roman" w:cs="Times New Roman"/>
                <w:noProof/>
                <w:color w:val="000000" w:themeColor="text1"/>
                <w:sz w:val="24"/>
                <w:szCs w:val="24"/>
              </w:rPr>
              <w:t>References</w:t>
            </w:r>
            <w:r w:rsidRPr="00900E5B">
              <w:rPr>
                <w:rFonts w:ascii="Times New Roman" w:hAnsi="Times New Roman" w:cs="Times New Roman"/>
                <w:noProof/>
                <w:webHidden/>
                <w:color w:val="000000" w:themeColor="text1"/>
                <w:sz w:val="24"/>
                <w:szCs w:val="24"/>
              </w:rPr>
              <w:tab/>
            </w:r>
            <w:r w:rsidRPr="00900E5B">
              <w:rPr>
                <w:rFonts w:ascii="Times New Roman" w:hAnsi="Times New Roman" w:cs="Times New Roman"/>
                <w:noProof/>
                <w:webHidden/>
                <w:color w:val="000000" w:themeColor="text1"/>
                <w:sz w:val="24"/>
                <w:szCs w:val="24"/>
              </w:rPr>
              <w:fldChar w:fldCharType="begin"/>
            </w:r>
            <w:r w:rsidRPr="00900E5B">
              <w:rPr>
                <w:rFonts w:ascii="Times New Roman" w:hAnsi="Times New Roman" w:cs="Times New Roman"/>
                <w:noProof/>
                <w:webHidden/>
                <w:color w:val="000000" w:themeColor="text1"/>
                <w:sz w:val="24"/>
                <w:szCs w:val="24"/>
              </w:rPr>
              <w:instrText xml:space="preserve"> PAGEREF _Toc213066762 \h </w:instrText>
            </w:r>
            <w:r w:rsidRPr="00900E5B">
              <w:rPr>
                <w:rFonts w:ascii="Times New Roman" w:hAnsi="Times New Roman" w:cs="Times New Roman"/>
                <w:noProof/>
                <w:webHidden/>
                <w:color w:val="000000" w:themeColor="text1"/>
                <w:sz w:val="24"/>
                <w:szCs w:val="24"/>
              </w:rPr>
            </w:r>
            <w:r w:rsidRPr="00900E5B">
              <w:rPr>
                <w:rFonts w:ascii="Times New Roman" w:hAnsi="Times New Roman" w:cs="Times New Roman"/>
                <w:noProof/>
                <w:webHidden/>
                <w:color w:val="000000" w:themeColor="text1"/>
                <w:sz w:val="24"/>
                <w:szCs w:val="24"/>
              </w:rPr>
              <w:fldChar w:fldCharType="separate"/>
            </w:r>
            <w:r w:rsidRPr="00900E5B">
              <w:rPr>
                <w:rFonts w:ascii="Times New Roman" w:hAnsi="Times New Roman" w:cs="Times New Roman"/>
                <w:noProof/>
                <w:webHidden/>
                <w:color w:val="000000" w:themeColor="text1"/>
                <w:sz w:val="24"/>
                <w:szCs w:val="24"/>
              </w:rPr>
              <w:t>8</w:t>
            </w:r>
            <w:r w:rsidRPr="00900E5B">
              <w:rPr>
                <w:rFonts w:ascii="Times New Roman" w:hAnsi="Times New Roman" w:cs="Times New Roman"/>
                <w:noProof/>
                <w:webHidden/>
                <w:color w:val="000000" w:themeColor="text1"/>
                <w:sz w:val="24"/>
                <w:szCs w:val="24"/>
              </w:rPr>
              <w:fldChar w:fldCharType="end"/>
            </w:r>
          </w:hyperlink>
        </w:p>
        <w:p w:rsidR="00900E5B" w:rsidRPr="00900E5B" w:rsidRDefault="00900E5B"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fldChar w:fldCharType="end"/>
          </w:r>
        </w:p>
      </w:sdtContent>
    </w:sdt>
    <w:p w:rsidR="00900E5B" w:rsidRPr="00900E5B" w:rsidRDefault="00900E5B" w:rsidP="00900E5B">
      <w:pPr>
        <w:spacing w:line="360" w:lineRule="auto"/>
        <w:jc w:val="both"/>
        <w:rPr>
          <w:rFonts w:ascii="Times New Roman" w:eastAsiaTheme="majorEastAsia" w:hAnsi="Times New Roman" w:cs="Times New Roman"/>
          <w:b/>
          <w:bCs/>
          <w:color w:val="000000" w:themeColor="text1"/>
          <w:sz w:val="24"/>
          <w:szCs w:val="24"/>
        </w:rPr>
      </w:pPr>
      <w:r w:rsidRPr="00900E5B">
        <w:rPr>
          <w:rFonts w:ascii="Times New Roman" w:hAnsi="Times New Roman" w:cs="Times New Roman"/>
          <w:color w:val="000000" w:themeColor="text1"/>
          <w:sz w:val="24"/>
          <w:szCs w:val="24"/>
        </w:rPr>
        <w:br w:type="page"/>
      </w:r>
    </w:p>
    <w:p w:rsidR="00B00B87" w:rsidRPr="00900E5B" w:rsidRDefault="00B00B87" w:rsidP="00900E5B">
      <w:pPr>
        <w:pStyle w:val="Heading1"/>
        <w:spacing w:line="360" w:lineRule="auto"/>
        <w:jc w:val="both"/>
        <w:rPr>
          <w:rFonts w:ascii="Times New Roman" w:hAnsi="Times New Roman" w:cs="Times New Roman"/>
          <w:color w:val="000000" w:themeColor="text1"/>
          <w:sz w:val="24"/>
          <w:szCs w:val="24"/>
        </w:rPr>
      </w:pPr>
      <w:bookmarkStart w:id="0" w:name="_Toc213066756"/>
      <w:r w:rsidRPr="00900E5B">
        <w:rPr>
          <w:rFonts w:ascii="Times New Roman" w:hAnsi="Times New Roman" w:cs="Times New Roman"/>
          <w:color w:val="000000" w:themeColor="text1"/>
          <w:sz w:val="24"/>
          <w:szCs w:val="24"/>
        </w:rPr>
        <w:lastRenderedPageBreak/>
        <w:t>1. Introduction</w:t>
      </w:r>
      <w:bookmarkEnd w:id="0"/>
    </w:p>
    <w:p w:rsidR="00B00B87" w:rsidRPr="00900E5B" w:rsidRDefault="00B00B87"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Tesla, Inc. is a major clean energy and automotive company in America that was established in 2003 and is based in Texas. It develops and produces electric vehicles, battery energy storage systems, solar panels, and software services in connection. Tesla is currently among the largest electric vehicle producers in the world, employing more than 140000 people in different countries.</w:t>
      </w:r>
    </w:p>
    <w:p w:rsidR="00900E5B" w:rsidRDefault="00B00B87"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Managing accounting in contemporary business ventures, such as Tesla, has been a critical part of financial planning, cost management, and decision-making processes. It assists the managers to demonstrate the budget accordingly, gauge performance based on the key financial ratios, and make valid judgments on pricing, sustainability, and allocation of resources to long-term profitability and growth.</w:t>
      </w:r>
      <w:bookmarkStart w:id="1" w:name="_Toc213066757"/>
    </w:p>
    <w:p w:rsidR="00E70B29" w:rsidRPr="00900E5B" w:rsidRDefault="00B27A77"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b/>
          <w:color w:val="000000" w:themeColor="text1"/>
          <w:sz w:val="24"/>
          <w:szCs w:val="24"/>
        </w:rPr>
        <w:t>2. Cost analysis and business model</w:t>
      </w:r>
      <w:bookmarkEnd w:id="1"/>
      <w:r w:rsidRPr="00900E5B">
        <w:rPr>
          <w:rFonts w:ascii="Times New Roman" w:hAnsi="Times New Roman" w:cs="Times New Roman"/>
          <w:b/>
          <w:color w:val="000000" w:themeColor="text1"/>
          <w:sz w:val="24"/>
          <w:szCs w:val="24"/>
        </w:rPr>
        <w:t xml:space="preserve"> </w:t>
      </w:r>
    </w:p>
    <w:p w:rsidR="00900E5B" w:rsidRDefault="00E95F0E" w:rsidP="00900E5B">
      <w:pPr>
        <w:spacing w:line="360" w:lineRule="auto"/>
        <w:jc w:val="both"/>
        <w:rPr>
          <w:rFonts w:ascii="Times New Roman" w:eastAsia="Times New Roman" w:hAnsi="Times New Roman" w:cs="Times New Roman"/>
          <w:b/>
          <w:bCs/>
          <w:color w:val="000000" w:themeColor="text1"/>
          <w:sz w:val="24"/>
          <w:szCs w:val="24"/>
        </w:rPr>
      </w:pPr>
      <w:r w:rsidRPr="00900E5B">
        <w:rPr>
          <w:rFonts w:ascii="Times New Roman" w:eastAsia="Times New Roman" w:hAnsi="Times New Roman" w:cs="Times New Roman"/>
          <w:b/>
          <w:bCs/>
          <w:color w:val="000000" w:themeColor="text1"/>
          <w:sz w:val="24"/>
          <w:szCs w:val="24"/>
        </w:rPr>
        <w:t>Revenue model (how Tesla makes money)</w:t>
      </w:r>
    </w:p>
    <w:p w:rsidR="00E95F0E" w:rsidRPr="00900E5B" w:rsidRDefault="00067E34" w:rsidP="00900E5B">
      <w:pPr>
        <w:spacing w:line="360" w:lineRule="auto"/>
        <w:jc w:val="both"/>
        <w:rPr>
          <w:rFonts w:ascii="Times New Roman" w:eastAsia="Times New Roman" w:hAnsi="Times New Roman" w:cs="Times New Roman"/>
          <w:b/>
          <w:bCs/>
          <w:color w:val="000000" w:themeColor="text1"/>
          <w:sz w:val="24"/>
          <w:szCs w:val="24"/>
        </w:rPr>
      </w:pPr>
      <w:r w:rsidRPr="00900E5B">
        <w:rPr>
          <w:rFonts w:ascii="Times New Roman" w:eastAsia="Times New Roman" w:hAnsi="Times New Roman" w:cs="Times New Roman"/>
          <w:color w:val="000000" w:themeColor="text1"/>
          <w:sz w:val="24"/>
          <w:szCs w:val="24"/>
        </w:rPr>
        <w:t xml:space="preserve">The automobile sales, supported by the related services and software, regulatory credit sales, and energy products are the main sources of Tesla revenue. As of 2024, Tesla also registered revenue of </w:t>
      </w:r>
      <w:r w:rsidRPr="00900E5B">
        <w:rPr>
          <w:rFonts w:ascii="Times New Roman" w:eastAsia="Times New Roman" w:hAnsi="Times New Roman" w:cs="Times New Roman"/>
          <w:b/>
          <w:bCs/>
          <w:color w:val="000000" w:themeColor="text1"/>
          <w:sz w:val="24"/>
          <w:szCs w:val="24"/>
        </w:rPr>
        <w:t>$97,690 million</w:t>
      </w:r>
      <w:r w:rsidRPr="00900E5B">
        <w:rPr>
          <w:rFonts w:ascii="Times New Roman" w:eastAsia="Times New Roman" w:hAnsi="Times New Roman" w:cs="Times New Roman"/>
          <w:bCs/>
          <w:color w:val="000000" w:themeColor="text1"/>
          <w:sz w:val="24"/>
          <w:szCs w:val="24"/>
        </w:rPr>
        <w:t>, with its various components being: Automotive sales (</w:t>
      </w:r>
      <w:r w:rsidRPr="00900E5B">
        <w:rPr>
          <w:rFonts w:ascii="Times New Roman" w:eastAsia="Times New Roman" w:hAnsi="Times New Roman" w:cs="Times New Roman"/>
          <w:color w:val="000000" w:themeColor="text1"/>
          <w:sz w:val="24"/>
          <w:szCs w:val="24"/>
        </w:rPr>
        <w:t>($72,480M)</w:t>
      </w:r>
      <w:r w:rsidRPr="00900E5B">
        <w:rPr>
          <w:rFonts w:ascii="Times New Roman" w:eastAsia="Times New Roman" w:hAnsi="Times New Roman" w:cs="Times New Roman"/>
          <w:bCs/>
          <w:color w:val="000000" w:themeColor="text1"/>
          <w:sz w:val="24"/>
          <w:szCs w:val="24"/>
        </w:rPr>
        <w:t xml:space="preserve">, automotive regulatory credit </w:t>
      </w:r>
      <w:r w:rsidRPr="00900E5B">
        <w:rPr>
          <w:rFonts w:ascii="Times New Roman" w:eastAsia="Times New Roman" w:hAnsi="Times New Roman" w:cs="Times New Roman"/>
          <w:color w:val="000000" w:themeColor="text1"/>
          <w:sz w:val="24"/>
          <w:szCs w:val="24"/>
        </w:rPr>
        <w:t>($2,763M), Energy generation and storage sales ($9,564M), and services and other ($10,534M). Recurring software/service revenues are attained by Tesla through full self driving (FSD) software, supercharging, insurance and vehicle service these enhance lifetime customer value and margins compared with car sales. The company manages a direct-t</w:t>
      </w:r>
      <w:r w:rsidR="0042314D">
        <w:rPr>
          <w:rFonts w:ascii="Times New Roman" w:eastAsia="Times New Roman" w:hAnsi="Times New Roman" w:cs="Times New Roman"/>
          <w:color w:val="000000" w:themeColor="text1"/>
          <w:sz w:val="24"/>
          <w:szCs w:val="24"/>
        </w:rPr>
        <w:t>o</w:t>
      </w:r>
      <w:r w:rsidRPr="00900E5B">
        <w:rPr>
          <w:rFonts w:ascii="Times New Roman" w:eastAsia="Times New Roman" w:hAnsi="Times New Roman" w:cs="Times New Roman"/>
          <w:color w:val="000000" w:themeColor="text1"/>
          <w:sz w:val="24"/>
          <w:szCs w:val="24"/>
        </w:rPr>
        <w:t>-customer (online orders and company stores) distribution models, which decreases the margins at the dealer level and assists in maintain better control over the prices as well as information and relationships with the customers</w:t>
      </w:r>
      <w:r w:rsidR="00E80683" w:rsidRPr="00900E5B">
        <w:rPr>
          <w:rFonts w:ascii="Times New Roman" w:eastAsia="Times New Roman" w:hAnsi="Times New Roman" w:cs="Times New Roman"/>
          <w:color w:val="000000" w:themeColor="text1"/>
          <w:sz w:val="24"/>
          <w:szCs w:val="24"/>
        </w:rPr>
        <w:t xml:space="preserve"> </w:t>
      </w:r>
      <w:r w:rsidR="00E80683" w:rsidRPr="00900E5B">
        <w:rPr>
          <w:rFonts w:ascii="Times New Roman" w:hAnsi="Times New Roman" w:cs="Times New Roman"/>
          <w:color w:val="000000" w:themeColor="text1"/>
          <w:sz w:val="24"/>
          <w:szCs w:val="24"/>
          <w:shd w:val="clear" w:color="auto" w:fill="FFFFFF"/>
        </w:rPr>
        <w:t>(Wang, 2023)</w:t>
      </w:r>
      <w:r w:rsidRPr="00900E5B">
        <w:rPr>
          <w:rFonts w:ascii="Times New Roman" w:eastAsia="Times New Roman" w:hAnsi="Times New Roman" w:cs="Times New Roman"/>
          <w:color w:val="000000" w:themeColor="text1"/>
          <w:sz w:val="24"/>
          <w:szCs w:val="24"/>
        </w:rPr>
        <w:t xml:space="preserve">. </w:t>
      </w:r>
    </w:p>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Revenue breakdown (2024)</w:t>
      </w:r>
    </w:p>
    <w:tbl>
      <w:tblPr>
        <w:tblStyle w:val="TableGrid"/>
        <w:tblW w:w="0" w:type="auto"/>
        <w:tblLook w:val="04A0"/>
      </w:tblPr>
      <w:tblGrid>
        <w:gridCol w:w="3509"/>
        <w:gridCol w:w="2217"/>
      </w:tblGrid>
      <w:tr w:rsidR="00E95F0E" w:rsidRPr="00900E5B" w:rsidTr="00E95F0E">
        <w:tc>
          <w:tcPr>
            <w:tcW w:w="0" w:type="auto"/>
            <w:hideMark/>
          </w:tcPr>
          <w:p w:rsidR="00E95F0E" w:rsidRPr="00900E5B" w:rsidRDefault="00E95F0E" w:rsidP="00900E5B">
            <w:pPr>
              <w:spacing w:line="360" w:lineRule="auto"/>
              <w:jc w:val="both"/>
              <w:rPr>
                <w:rFonts w:ascii="Times New Roman" w:eastAsia="Times New Roman" w:hAnsi="Times New Roman" w:cs="Times New Roman"/>
                <w:b/>
                <w:bCs/>
                <w:color w:val="000000" w:themeColor="text1"/>
                <w:sz w:val="24"/>
                <w:szCs w:val="24"/>
              </w:rPr>
            </w:pPr>
            <w:r w:rsidRPr="00900E5B">
              <w:rPr>
                <w:rFonts w:ascii="Times New Roman" w:eastAsia="Times New Roman" w:hAnsi="Times New Roman" w:cs="Times New Roman"/>
                <w:b/>
                <w:bCs/>
                <w:color w:val="000000" w:themeColor="text1"/>
                <w:sz w:val="24"/>
                <w:szCs w:val="24"/>
              </w:rPr>
              <w:t>Component</w:t>
            </w:r>
          </w:p>
        </w:tc>
        <w:tc>
          <w:tcPr>
            <w:tcW w:w="0" w:type="auto"/>
            <w:hideMark/>
          </w:tcPr>
          <w:p w:rsidR="00E95F0E" w:rsidRPr="00900E5B" w:rsidRDefault="00E95F0E" w:rsidP="00900E5B">
            <w:pPr>
              <w:spacing w:line="360" w:lineRule="auto"/>
              <w:jc w:val="both"/>
              <w:rPr>
                <w:rFonts w:ascii="Times New Roman" w:eastAsia="Times New Roman" w:hAnsi="Times New Roman" w:cs="Times New Roman"/>
                <w:b/>
                <w:bCs/>
                <w:color w:val="000000" w:themeColor="text1"/>
                <w:sz w:val="24"/>
                <w:szCs w:val="24"/>
              </w:rPr>
            </w:pPr>
            <w:r w:rsidRPr="00900E5B">
              <w:rPr>
                <w:rFonts w:ascii="Times New Roman" w:eastAsia="Times New Roman" w:hAnsi="Times New Roman" w:cs="Times New Roman"/>
                <w:b/>
                <w:bCs/>
                <w:color w:val="000000" w:themeColor="text1"/>
                <w:sz w:val="24"/>
                <w:szCs w:val="24"/>
              </w:rPr>
              <w:t>2024 (US$ millions)</w:t>
            </w:r>
          </w:p>
        </w:tc>
      </w:tr>
      <w:tr w:rsidR="00E95F0E" w:rsidRPr="00900E5B" w:rsidTr="00E95F0E">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color w:val="000000" w:themeColor="text1"/>
                <w:sz w:val="24"/>
                <w:szCs w:val="24"/>
              </w:rPr>
              <w:t>Automotive sales</w:t>
            </w:r>
          </w:p>
        </w:tc>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color w:val="000000" w:themeColor="text1"/>
                <w:sz w:val="24"/>
                <w:szCs w:val="24"/>
              </w:rPr>
              <w:t>72,480</w:t>
            </w:r>
          </w:p>
        </w:tc>
      </w:tr>
      <w:tr w:rsidR="00E95F0E" w:rsidRPr="00900E5B" w:rsidTr="00E95F0E">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color w:val="000000" w:themeColor="text1"/>
                <w:sz w:val="24"/>
                <w:szCs w:val="24"/>
              </w:rPr>
              <w:t>Automotive regulatory credits</w:t>
            </w:r>
          </w:p>
        </w:tc>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color w:val="000000" w:themeColor="text1"/>
                <w:sz w:val="24"/>
                <w:szCs w:val="24"/>
              </w:rPr>
              <w:t>2,763</w:t>
            </w:r>
          </w:p>
        </w:tc>
      </w:tr>
      <w:tr w:rsidR="00E95F0E" w:rsidRPr="00900E5B" w:rsidTr="00E95F0E">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color w:val="000000" w:themeColor="text1"/>
                <w:sz w:val="24"/>
                <w:szCs w:val="24"/>
              </w:rPr>
              <w:t>Energy generation &amp; storage sales</w:t>
            </w:r>
          </w:p>
        </w:tc>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color w:val="000000" w:themeColor="text1"/>
                <w:sz w:val="24"/>
                <w:szCs w:val="24"/>
              </w:rPr>
              <w:t>9,564</w:t>
            </w:r>
          </w:p>
        </w:tc>
      </w:tr>
      <w:tr w:rsidR="00E95F0E" w:rsidRPr="00900E5B" w:rsidTr="00E95F0E">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color w:val="000000" w:themeColor="text1"/>
                <w:sz w:val="24"/>
                <w:szCs w:val="24"/>
              </w:rPr>
              <w:lastRenderedPageBreak/>
              <w:t>Services &amp; other</w:t>
            </w:r>
          </w:p>
        </w:tc>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color w:val="000000" w:themeColor="text1"/>
                <w:sz w:val="24"/>
                <w:szCs w:val="24"/>
              </w:rPr>
              <w:t>10,534</w:t>
            </w:r>
          </w:p>
        </w:tc>
      </w:tr>
      <w:tr w:rsidR="00E95F0E" w:rsidRPr="00900E5B" w:rsidTr="00E95F0E">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Total revenues</w:t>
            </w:r>
          </w:p>
        </w:tc>
        <w:tc>
          <w:tcPr>
            <w:tcW w:w="0" w:type="auto"/>
            <w:hideMark/>
          </w:tcPr>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97,690</w:t>
            </w:r>
          </w:p>
        </w:tc>
      </w:tr>
    </w:tbl>
    <w:p w:rsidR="006634E9" w:rsidRDefault="006634E9" w:rsidP="00900E5B">
      <w:pPr>
        <w:spacing w:line="360" w:lineRule="auto"/>
        <w:jc w:val="both"/>
        <w:rPr>
          <w:rFonts w:ascii="Times New Roman" w:eastAsia="Times New Roman" w:hAnsi="Times New Roman" w:cs="Times New Roman"/>
          <w:b/>
          <w:bCs/>
          <w:color w:val="000000" w:themeColor="text1"/>
          <w:sz w:val="24"/>
          <w:szCs w:val="24"/>
        </w:rPr>
      </w:pPr>
    </w:p>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 xml:space="preserve">Key cost structures — fixed </w:t>
      </w:r>
      <w:r w:rsidR="004D3636" w:rsidRPr="00900E5B">
        <w:rPr>
          <w:rFonts w:ascii="Times New Roman" w:eastAsia="Times New Roman" w:hAnsi="Times New Roman" w:cs="Times New Roman"/>
          <w:b/>
          <w:bCs/>
          <w:color w:val="000000" w:themeColor="text1"/>
          <w:sz w:val="24"/>
          <w:szCs w:val="24"/>
        </w:rPr>
        <w:t>vs.</w:t>
      </w:r>
      <w:r w:rsidRPr="00900E5B">
        <w:rPr>
          <w:rFonts w:ascii="Times New Roman" w:eastAsia="Times New Roman" w:hAnsi="Times New Roman" w:cs="Times New Roman"/>
          <w:b/>
          <w:bCs/>
          <w:color w:val="000000" w:themeColor="text1"/>
          <w:sz w:val="24"/>
          <w:szCs w:val="24"/>
        </w:rPr>
        <w:t xml:space="preserve"> variable</w:t>
      </w:r>
    </w:p>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Fixed costs (largely capacity / period costs):</w:t>
      </w:r>
      <w:r w:rsidR="00C36073" w:rsidRPr="00900E5B">
        <w:rPr>
          <w:rFonts w:ascii="Times New Roman" w:eastAsia="Times New Roman" w:hAnsi="Times New Roman" w:cs="Times New Roman"/>
          <w:color w:val="000000" w:themeColor="text1"/>
          <w:sz w:val="24"/>
          <w:szCs w:val="24"/>
        </w:rPr>
        <w:t xml:space="preserve"> Factory depreciation, property/plant/</w:t>
      </w:r>
      <w:r w:rsidR="00F15E9D" w:rsidRPr="00900E5B">
        <w:rPr>
          <w:rFonts w:ascii="Times New Roman" w:eastAsia="Times New Roman" w:hAnsi="Times New Roman" w:cs="Times New Roman"/>
          <w:color w:val="000000" w:themeColor="text1"/>
          <w:sz w:val="24"/>
          <w:szCs w:val="24"/>
        </w:rPr>
        <w:t>equipment,</w:t>
      </w:r>
      <w:r w:rsidR="00C36073" w:rsidRPr="00900E5B">
        <w:rPr>
          <w:rFonts w:ascii="Times New Roman" w:eastAsia="Times New Roman" w:hAnsi="Times New Roman" w:cs="Times New Roman"/>
          <w:color w:val="000000" w:themeColor="text1"/>
          <w:sz w:val="24"/>
          <w:szCs w:val="24"/>
        </w:rPr>
        <w:t xml:space="preserve"> factory overhead, salaried manufacturing engineering, salaried factory overhead, and large R&amp;D capitalization (elements). Based on fixed investment in Gigafactories and AI infrastructure, Tesla spends </w:t>
      </w:r>
      <w:r w:rsidR="00C36073" w:rsidRPr="00900E5B">
        <w:rPr>
          <w:rFonts w:ascii="Times New Roman" w:eastAsia="Times New Roman" w:hAnsi="Times New Roman" w:cs="Times New Roman"/>
          <w:b/>
          <w:bCs/>
          <w:color w:val="000000" w:themeColor="text1"/>
          <w:sz w:val="24"/>
          <w:szCs w:val="24"/>
        </w:rPr>
        <w:t xml:space="preserve">$11.34 billion </w:t>
      </w:r>
      <w:r w:rsidR="00C36073" w:rsidRPr="00900E5B">
        <w:rPr>
          <w:rFonts w:ascii="Times New Roman" w:eastAsia="Times New Roman" w:hAnsi="Times New Roman" w:cs="Times New Roman"/>
          <w:bCs/>
          <w:color w:val="000000" w:themeColor="text1"/>
          <w:sz w:val="24"/>
          <w:szCs w:val="24"/>
        </w:rPr>
        <w:t>capital expenditure in 2024, which is mostly fixed in the short term and the operating leverage.</w:t>
      </w:r>
      <w:r w:rsidR="005B44BE" w:rsidRPr="00900E5B">
        <w:rPr>
          <w:rFonts w:ascii="Times New Roman" w:eastAsia="Times New Roman" w:hAnsi="Times New Roman" w:cs="Times New Roman"/>
          <w:color w:val="000000" w:themeColor="text1"/>
          <w:sz w:val="24"/>
          <w:szCs w:val="24"/>
        </w:rPr>
        <w:t xml:space="preserve"> </w:t>
      </w:r>
    </w:p>
    <w:p w:rsidR="005D3682"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Variable costs (product / volume driven):</w:t>
      </w:r>
      <w:r w:rsidRPr="00900E5B">
        <w:rPr>
          <w:rFonts w:ascii="Times New Roman" w:eastAsia="Times New Roman" w:hAnsi="Times New Roman" w:cs="Times New Roman"/>
          <w:color w:val="000000" w:themeColor="text1"/>
          <w:sz w:val="24"/>
          <w:szCs w:val="24"/>
        </w:rPr>
        <w:t xml:space="preserve"> </w:t>
      </w:r>
      <w:r w:rsidR="00C36073" w:rsidRPr="00900E5B">
        <w:rPr>
          <w:rFonts w:ascii="Times New Roman" w:eastAsia="Times New Roman" w:hAnsi="Times New Roman" w:cs="Times New Roman"/>
          <w:color w:val="000000" w:themeColor="text1"/>
          <w:sz w:val="24"/>
          <w:szCs w:val="24"/>
        </w:rPr>
        <w:t>battery cells and raw materials (nickel, lithium, and aluminum), semiconductors, direct labor per vehicle, logistics, warranty, and parts - they go with a change in the volume and mix of production. The cost of revenue (COGS) incorporates warranty, parts, plus vehicle components; Tesla has made inventory write-downs of $190 million in 2024 (a variable-based expense).</w:t>
      </w:r>
      <w:r w:rsidR="005B44BE" w:rsidRPr="00900E5B">
        <w:rPr>
          <w:rFonts w:ascii="Times New Roman" w:eastAsia="Times New Roman" w:hAnsi="Times New Roman" w:cs="Times New Roman"/>
          <w:color w:val="000000" w:themeColor="text1"/>
          <w:sz w:val="24"/>
          <w:szCs w:val="24"/>
        </w:rPr>
        <w:t xml:space="preserve"> </w:t>
      </w:r>
    </w:p>
    <w:p w:rsidR="005D3682" w:rsidRPr="005D3682" w:rsidRDefault="00E95F0E"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Operating cost highlights</w:t>
      </w:r>
    </w:p>
    <w:p w:rsidR="005D3682" w:rsidRDefault="00886B58" w:rsidP="005D3682">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color w:val="000000" w:themeColor="text1"/>
          <w:sz w:val="24"/>
          <w:szCs w:val="24"/>
        </w:rPr>
        <w:t xml:space="preserve">R&amp;D outlay (primarily people, prototypes, AI software) was </w:t>
      </w:r>
      <w:r w:rsidR="00387E2D" w:rsidRPr="00387E2D">
        <w:rPr>
          <w:rFonts w:ascii="Times New Roman" w:eastAsia="Times New Roman" w:hAnsi="Times New Roman" w:cs="Times New Roman"/>
          <w:color w:val="000000" w:themeColor="text1"/>
          <w:sz w:val="24"/>
          <w:szCs w:val="24"/>
        </w:rPr>
        <w:t>s $</w:t>
      </w:r>
      <w:r w:rsidRPr="00900E5B">
        <w:rPr>
          <w:rFonts w:ascii="Times New Roman" w:eastAsia="Times New Roman" w:hAnsi="Times New Roman" w:cs="Times New Roman"/>
          <w:color w:val="000000" w:themeColor="text1"/>
          <w:sz w:val="24"/>
          <w:szCs w:val="24"/>
        </w:rPr>
        <w:t xml:space="preserve">4,540M (5% of revenue) and SG&amp;A was </w:t>
      </w:r>
      <w:r w:rsidR="00387E2D" w:rsidRPr="00387E2D">
        <w:rPr>
          <w:rFonts w:ascii="Times New Roman" w:eastAsia="Times New Roman" w:hAnsi="Times New Roman" w:cs="Times New Roman"/>
          <w:color w:val="000000" w:themeColor="text1"/>
          <w:sz w:val="24"/>
          <w:szCs w:val="24"/>
        </w:rPr>
        <w:t>s $</w:t>
      </w:r>
      <w:r w:rsidRPr="00900E5B">
        <w:rPr>
          <w:rFonts w:ascii="Times New Roman" w:eastAsia="Times New Roman" w:hAnsi="Times New Roman" w:cs="Times New Roman"/>
          <w:color w:val="000000" w:themeColor="text1"/>
          <w:sz w:val="24"/>
          <w:szCs w:val="24"/>
        </w:rPr>
        <w:t>5,150M (5% of revenue) in 2024 - these are semi-fixed: they include fixed wages, but can be increased as the headcount and activity level rise. Profitability is more intense with high fixed investment when the volumes of vehicles increase, as well as when the costs of variable inputs increase or ASPs decline, as it puts a squeeze on margins rapidly</w:t>
      </w:r>
      <w:r w:rsidR="00E80683" w:rsidRPr="00900E5B">
        <w:rPr>
          <w:rFonts w:ascii="Times New Roman" w:eastAsia="Times New Roman" w:hAnsi="Times New Roman" w:cs="Times New Roman"/>
          <w:color w:val="000000" w:themeColor="text1"/>
          <w:sz w:val="24"/>
          <w:szCs w:val="24"/>
        </w:rPr>
        <w:t xml:space="preserve"> </w:t>
      </w:r>
      <w:r w:rsidR="00E80683" w:rsidRPr="00900E5B">
        <w:rPr>
          <w:rFonts w:ascii="Times New Roman" w:hAnsi="Times New Roman" w:cs="Times New Roman"/>
          <w:color w:val="000000" w:themeColor="text1"/>
          <w:sz w:val="24"/>
          <w:szCs w:val="24"/>
          <w:shd w:val="clear" w:color="auto" w:fill="FFFFFF"/>
        </w:rPr>
        <w:t>(Rashid et al., 2021)</w:t>
      </w:r>
      <w:r w:rsidRPr="00900E5B">
        <w:rPr>
          <w:rFonts w:ascii="Times New Roman" w:eastAsia="Times New Roman" w:hAnsi="Times New Roman" w:cs="Times New Roman"/>
          <w:color w:val="000000" w:themeColor="text1"/>
          <w:sz w:val="24"/>
          <w:szCs w:val="24"/>
        </w:rPr>
        <w:t>. This is a typical capital-intensive manufacturing profile, with software/recurring revenue upside.</w:t>
      </w:r>
      <w:bookmarkStart w:id="2" w:name="_Toc213066758"/>
    </w:p>
    <w:p w:rsidR="00E95F0E" w:rsidRPr="005D3682" w:rsidRDefault="00E95F0E" w:rsidP="005D3682">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b/>
          <w:color w:val="000000" w:themeColor="text1"/>
          <w:sz w:val="24"/>
          <w:szCs w:val="24"/>
        </w:rPr>
        <w:t>3. Budgeting and Financial planning</w:t>
      </w:r>
      <w:bookmarkEnd w:id="2"/>
      <w:r w:rsidRPr="00900E5B">
        <w:rPr>
          <w:rFonts w:ascii="Times New Roman" w:hAnsi="Times New Roman" w:cs="Times New Roman"/>
          <w:b/>
          <w:color w:val="000000" w:themeColor="text1"/>
          <w:sz w:val="24"/>
          <w:szCs w:val="24"/>
        </w:rPr>
        <w:t xml:space="preserve"> </w:t>
      </w:r>
    </w:p>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b/>
          <w:bCs/>
          <w:color w:val="000000" w:themeColor="text1"/>
          <w:sz w:val="24"/>
          <w:szCs w:val="24"/>
        </w:rPr>
        <w:t>Role of budgeting in Tesla’s operations</w:t>
      </w:r>
    </w:p>
    <w:p w:rsidR="00E80683" w:rsidRPr="00900E5B" w:rsidRDefault="005779A6"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 xml:space="preserve">Budgeting is critical in the operations of Tesla as it assists the company in planning, controlling and allocating finances appropriately. Tesla annually makes comprehensive budgets of production, R&amp;D sales and capital expenditure. These budgets influence choices made on the </w:t>
      </w:r>
      <w:r w:rsidRPr="00900E5B">
        <w:rPr>
          <w:rFonts w:ascii="Times New Roman" w:hAnsi="Times New Roman" w:cs="Times New Roman"/>
          <w:color w:val="000000" w:themeColor="text1"/>
          <w:sz w:val="24"/>
          <w:szCs w:val="24"/>
        </w:rPr>
        <w:lastRenderedPageBreak/>
        <w:t>amount to invest in Gigafactories, new models (like the cyber truck), and AI driven programs. During the analysis of variances, Tesla is able to compare the budgeted and the actual value to determine the misuse of resources or savings the enable managers to correct resource allocation and ensure efficiency.</w:t>
      </w:r>
    </w:p>
    <w:p w:rsidR="005B44BE" w:rsidRPr="00900E5B" w:rsidRDefault="005779A6" w:rsidP="00900E5B">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rPr>
        <w:t xml:space="preserve"> Budgeting additionally aids in the financial planning process, which includes the forecasts of the cash flow, the profit goals, and the long term investments in </w:t>
      </w:r>
      <w:r w:rsidR="004C10D5" w:rsidRPr="00900E5B">
        <w:rPr>
          <w:rFonts w:ascii="Times New Roman" w:hAnsi="Times New Roman" w:cs="Times New Roman"/>
          <w:color w:val="000000" w:themeColor="text1"/>
          <w:sz w:val="24"/>
          <w:szCs w:val="24"/>
        </w:rPr>
        <w:t>manufacturing and energy storage</w:t>
      </w:r>
      <w:r w:rsidR="00E80683" w:rsidRPr="00900E5B">
        <w:rPr>
          <w:rFonts w:ascii="Times New Roman" w:hAnsi="Times New Roman" w:cs="Times New Roman"/>
          <w:color w:val="000000" w:themeColor="text1"/>
          <w:sz w:val="24"/>
          <w:szCs w:val="24"/>
        </w:rPr>
        <w:t xml:space="preserve"> </w:t>
      </w:r>
      <w:r w:rsidR="00E80683" w:rsidRPr="00900E5B">
        <w:rPr>
          <w:rFonts w:ascii="Times New Roman" w:hAnsi="Times New Roman" w:cs="Times New Roman"/>
          <w:color w:val="000000" w:themeColor="text1"/>
          <w:sz w:val="24"/>
          <w:szCs w:val="24"/>
          <w:shd w:val="clear" w:color="auto" w:fill="FFFFFF"/>
        </w:rPr>
        <w:t>(Qin et al., 2021)</w:t>
      </w:r>
      <w:r w:rsidR="004C10D5" w:rsidRPr="00900E5B">
        <w:rPr>
          <w:rFonts w:ascii="Times New Roman" w:hAnsi="Times New Roman" w:cs="Times New Roman"/>
          <w:color w:val="000000" w:themeColor="text1"/>
          <w:sz w:val="24"/>
          <w:szCs w:val="24"/>
        </w:rPr>
        <w:t xml:space="preserve">. It aids Tesla in being ready for an unknown market environment, like fluctuations in demand or material costs, through the use of flexibility in budgets. On the whole, the budgeting system of Tesla is connected with strategic objectives (innovation, expansion, sustainability) and financial discipline, as all operations are efficient and are aimed at meeting the expectations of shareholders. </w:t>
      </w:r>
    </w:p>
    <w:p w:rsidR="005B44B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b/>
          <w:bCs/>
          <w:color w:val="000000" w:themeColor="text1"/>
          <w:sz w:val="24"/>
          <w:szCs w:val="24"/>
        </w:rPr>
        <w:t>Operating expense trend and influencing factors</w:t>
      </w:r>
    </w:p>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 xml:space="preserve">In 2024, Tesla’s total operating expenses were </w:t>
      </w:r>
      <w:r w:rsidRPr="00900E5B">
        <w:rPr>
          <w:rFonts w:ascii="Times New Roman" w:hAnsi="Times New Roman" w:cs="Times New Roman"/>
          <w:b/>
          <w:bCs/>
          <w:color w:val="000000" w:themeColor="text1"/>
          <w:sz w:val="24"/>
          <w:szCs w:val="24"/>
        </w:rPr>
        <w:t>US $90.61 billion</w:t>
      </w:r>
      <w:r w:rsidRPr="00900E5B">
        <w:rPr>
          <w:rFonts w:ascii="Times New Roman" w:hAnsi="Times New Roman" w:cs="Times New Roman"/>
          <w:color w:val="000000" w:themeColor="text1"/>
          <w:sz w:val="24"/>
          <w:szCs w:val="24"/>
        </w:rPr>
        <w:t xml:space="preserve">, up from </w:t>
      </w:r>
      <w:r w:rsidRPr="00900E5B">
        <w:rPr>
          <w:rFonts w:ascii="Times New Roman" w:hAnsi="Times New Roman" w:cs="Times New Roman"/>
          <w:b/>
          <w:bCs/>
          <w:color w:val="000000" w:themeColor="text1"/>
          <w:sz w:val="24"/>
          <w:szCs w:val="24"/>
        </w:rPr>
        <w:t>US $87.88 billion</w:t>
      </w:r>
      <w:r w:rsidRPr="00900E5B">
        <w:rPr>
          <w:rFonts w:ascii="Times New Roman" w:hAnsi="Times New Roman" w:cs="Times New Roman"/>
          <w:color w:val="000000" w:themeColor="text1"/>
          <w:sz w:val="24"/>
          <w:szCs w:val="24"/>
        </w:rPr>
        <w:t xml:space="preserve"> in 2023—an increase of around </w:t>
      </w:r>
      <w:r w:rsidRPr="00900E5B">
        <w:rPr>
          <w:rFonts w:ascii="Times New Roman" w:hAnsi="Times New Roman" w:cs="Times New Roman"/>
          <w:b/>
          <w:bCs/>
          <w:color w:val="000000" w:themeColor="text1"/>
          <w:sz w:val="24"/>
          <w:szCs w:val="24"/>
        </w:rPr>
        <w:t>3.1 % year-on-year</w:t>
      </w:r>
      <w:r w:rsidR="005B44BE" w:rsidRPr="00900E5B">
        <w:rPr>
          <w:rFonts w:ascii="Times New Roman" w:hAnsi="Times New Roman" w:cs="Times New Roman"/>
          <w:color w:val="000000" w:themeColor="text1"/>
          <w:sz w:val="24"/>
          <w:szCs w:val="24"/>
        </w:rPr>
        <w:t xml:space="preserve">. </w:t>
      </w:r>
      <w:r w:rsidRPr="00900E5B">
        <w:rPr>
          <w:rFonts w:ascii="Times New Roman" w:hAnsi="Times New Roman" w:cs="Times New Roman"/>
          <w:color w:val="000000" w:themeColor="text1"/>
          <w:sz w:val="24"/>
          <w:szCs w:val="24"/>
        </w:rPr>
        <w:t>This increase mainly resulted from higher research and development (R&amp;D) and selling, general, and administrative (SG&amp;A) spending.</w:t>
      </w:r>
    </w:p>
    <w:p w:rsidR="002545A2" w:rsidRPr="00900E5B" w:rsidRDefault="002545A2"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 xml:space="preserve">The overall operating costs at Tesla were </w:t>
      </w:r>
      <w:r w:rsidRPr="00900E5B">
        <w:rPr>
          <w:rFonts w:ascii="Times New Roman" w:hAnsi="Times New Roman" w:cs="Times New Roman"/>
          <w:b/>
          <w:bCs/>
          <w:color w:val="000000" w:themeColor="text1"/>
          <w:sz w:val="24"/>
          <w:szCs w:val="24"/>
        </w:rPr>
        <w:t xml:space="preserve">US $90.61 </w:t>
      </w:r>
      <w:r w:rsidRPr="00900E5B">
        <w:rPr>
          <w:rFonts w:ascii="Times New Roman" w:hAnsi="Times New Roman" w:cs="Times New Roman"/>
          <w:bCs/>
          <w:color w:val="000000" w:themeColor="text1"/>
          <w:sz w:val="24"/>
          <w:szCs w:val="24"/>
        </w:rPr>
        <w:t xml:space="preserve">billion in 2024, compared to </w:t>
      </w:r>
      <w:r w:rsidRPr="00900E5B">
        <w:rPr>
          <w:rFonts w:ascii="Times New Roman" w:hAnsi="Times New Roman" w:cs="Times New Roman"/>
          <w:b/>
          <w:bCs/>
          <w:color w:val="000000" w:themeColor="text1"/>
          <w:sz w:val="24"/>
          <w:szCs w:val="24"/>
        </w:rPr>
        <w:t xml:space="preserve">US $87.88 billion </w:t>
      </w:r>
      <w:r w:rsidRPr="00900E5B">
        <w:rPr>
          <w:rFonts w:ascii="Times New Roman" w:hAnsi="Times New Roman" w:cs="Times New Roman"/>
          <w:bCs/>
          <w:color w:val="000000" w:themeColor="text1"/>
          <w:sz w:val="24"/>
          <w:szCs w:val="24"/>
        </w:rPr>
        <w:t xml:space="preserve">in 2023-a growth of approximately 3.1% per anum. This growth was primarily due to growth in research and development (R&amp;D) and selling, general, and administrative (SG&amp;A) expenditure. </w:t>
      </w:r>
    </w:p>
    <w:tbl>
      <w:tblPr>
        <w:tblStyle w:val="TableGrid"/>
        <w:tblW w:w="0" w:type="auto"/>
        <w:tblLook w:val="04A0"/>
      </w:tblPr>
      <w:tblGrid>
        <w:gridCol w:w="1713"/>
        <w:gridCol w:w="1618"/>
        <w:gridCol w:w="1618"/>
        <w:gridCol w:w="1184"/>
        <w:gridCol w:w="3443"/>
      </w:tblGrid>
      <w:tr w:rsidR="00E95F0E" w:rsidRPr="00900E5B" w:rsidTr="00E95F0E">
        <w:tc>
          <w:tcPr>
            <w:tcW w:w="0" w:type="auto"/>
            <w:hideMark/>
          </w:tcPr>
          <w:p w:rsidR="00E95F0E" w:rsidRPr="00B503A0" w:rsidRDefault="00E95F0E"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Expense Category</w:t>
            </w:r>
          </w:p>
        </w:tc>
        <w:tc>
          <w:tcPr>
            <w:tcW w:w="0" w:type="auto"/>
            <w:hideMark/>
          </w:tcPr>
          <w:p w:rsidR="00E95F0E" w:rsidRPr="00B503A0" w:rsidRDefault="00E95F0E"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2023 (US$ billion)</w:t>
            </w:r>
          </w:p>
        </w:tc>
        <w:tc>
          <w:tcPr>
            <w:tcW w:w="0" w:type="auto"/>
            <w:hideMark/>
          </w:tcPr>
          <w:p w:rsidR="00E95F0E" w:rsidRPr="00B503A0" w:rsidRDefault="00E95F0E"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2024 (US$ billion)</w:t>
            </w:r>
          </w:p>
        </w:tc>
        <w:tc>
          <w:tcPr>
            <w:tcW w:w="0" w:type="auto"/>
            <w:hideMark/>
          </w:tcPr>
          <w:p w:rsidR="00E95F0E" w:rsidRPr="00B503A0" w:rsidRDefault="00E95F0E"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 Change</w:t>
            </w:r>
          </w:p>
        </w:tc>
        <w:tc>
          <w:tcPr>
            <w:tcW w:w="0" w:type="auto"/>
            <w:hideMark/>
          </w:tcPr>
          <w:p w:rsidR="00E95F0E" w:rsidRPr="00B503A0" w:rsidRDefault="00E95F0E"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Key Reasons</w:t>
            </w:r>
          </w:p>
        </w:tc>
      </w:tr>
      <w:tr w:rsidR="00E95F0E" w:rsidRPr="00900E5B" w:rsidTr="00E95F0E">
        <w:tc>
          <w:tcPr>
            <w:tcW w:w="0" w:type="auto"/>
            <w:hideMark/>
          </w:tcPr>
          <w:p w:rsidR="00E95F0E" w:rsidRPr="00B503A0" w:rsidRDefault="00E95F0E"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R&amp;D</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3.99</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4.54</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+13.8 %</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Investment in AI, battery tech, and new models</w:t>
            </w:r>
          </w:p>
        </w:tc>
      </w:tr>
      <w:tr w:rsidR="00E95F0E" w:rsidRPr="00900E5B" w:rsidTr="00E95F0E">
        <w:tc>
          <w:tcPr>
            <w:tcW w:w="0" w:type="auto"/>
            <w:hideMark/>
          </w:tcPr>
          <w:p w:rsidR="00E95F0E" w:rsidRPr="00B503A0" w:rsidRDefault="00E95F0E"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SG&amp;A</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4.83</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5.15</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+6.6 %</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Expansion of sales/service centers, marketing</w:t>
            </w:r>
          </w:p>
        </w:tc>
      </w:tr>
      <w:tr w:rsidR="00E95F0E" w:rsidRPr="00900E5B" w:rsidTr="00E95F0E">
        <w:tc>
          <w:tcPr>
            <w:tcW w:w="0" w:type="auto"/>
            <w:hideMark/>
          </w:tcPr>
          <w:p w:rsidR="00E95F0E" w:rsidRPr="00B503A0" w:rsidRDefault="00E95F0E"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Total OPEX</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87.88</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90.61</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+3.1 %</w:t>
            </w:r>
          </w:p>
        </w:tc>
        <w:tc>
          <w:tcPr>
            <w:tcW w:w="0" w:type="auto"/>
            <w:hideMark/>
          </w:tcPr>
          <w:p w:rsidR="00E95F0E" w:rsidRPr="00900E5B" w:rsidRDefault="00E95F0E"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Cost control despite inflation &amp; supply issues</w:t>
            </w:r>
          </w:p>
        </w:tc>
      </w:tr>
    </w:tbl>
    <w:p w:rsidR="005B44BE" w:rsidRPr="00900E5B" w:rsidRDefault="005B44BE" w:rsidP="00900E5B">
      <w:pPr>
        <w:spacing w:line="360" w:lineRule="auto"/>
        <w:jc w:val="both"/>
        <w:rPr>
          <w:rFonts w:ascii="Times New Roman" w:hAnsi="Times New Roman" w:cs="Times New Roman"/>
          <w:bCs/>
          <w:color w:val="000000" w:themeColor="text1"/>
          <w:sz w:val="24"/>
          <w:szCs w:val="24"/>
        </w:rPr>
      </w:pPr>
    </w:p>
    <w:p w:rsidR="005D3682" w:rsidRDefault="002545A2" w:rsidP="005D3682">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bCs/>
          <w:color w:val="000000" w:themeColor="text1"/>
          <w:sz w:val="24"/>
          <w:szCs w:val="24"/>
        </w:rPr>
        <w:lastRenderedPageBreak/>
        <w:t>On the internal side, cost was increased by decisions taken by management, like increasing the R&amp;D workforce and updating manufacturing premises. On the outside, costs were also affected by the inflation of raw materials, increased logistic expenses, and the fluctuation of currency. In spite of such pressures, Tesla had managed to ensure high cost control as a result of automation and scale of production</w:t>
      </w:r>
      <w:r w:rsidR="00E80683" w:rsidRPr="00900E5B">
        <w:rPr>
          <w:rFonts w:ascii="Times New Roman" w:hAnsi="Times New Roman" w:cs="Times New Roman"/>
          <w:bCs/>
          <w:color w:val="000000" w:themeColor="text1"/>
          <w:sz w:val="24"/>
          <w:szCs w:val="24"/>
        </w:rPr>
        <w:t xml:space="preserve"> </w:t>
      </w:r>
      <w:r w:rsidR="00E80683" w:rsidRPr="00900E5B">
        <w:rPr>
          <w:rFonts w:ascii="Times New Roman" w:hAnsi="Times New Roman" w:cs="Times New Roman"/>
          <w:color w:val="000000" w:themeColor="text1"/>
          <w:sz w:val="24"/>
          <w:szCs w:val="24"/>
          <w:shd w:val="clear" w:color="auto" w:fill="FFFFFF"/>
        </w:rPr>
        <w:t>(Liu, 2022)</w:t>
      </w:r>
      <w:r w:rsidRPr="00900E5B">
        <w:rPr>
          <w:rFonts w:ascii="Times New Roman" w:hAnsi="Times New Roman" w:cs="Times New Roman"/>
          <w:bCs/>
          <w:color w:val="000000" w:themeColor="text1"/>
          <w:sz w:val="24"/>
          <w:szCs w:val="24"/>
        </w:rPr>
        <w:t>. To conclude, it is possible to note that budgeting helps Tesla strike a balance between innovation</w:t>
      </w:r>
      <w:r w:rsidR="00387E2D">
        <w:rPr>
          <w:rFonts w:ascii="Times New Roman" w:hAnsi="Times New Roman" w:cs="Times New Roman"/>
          <w:bCs/>
          <w:color w:val="000000" w:themeColor="text1"/>
          <w:sz w:val="24"/>
          <w:szCs w:val="24"/>
        </w:rPr>
        <w:t xml:space="preserve"> and profitability. The small 3% </w:t>
      </w:r>
      <w:r w:rsidRPr="00900E5B">
        <w:rPr>
          <w:rFonts w:ascii="Times New Roman" w:hAnsi="Times New Roman" w:cs="Times New Roman"/>
          <w:bCs/>
          <w:color w:val="000000" w:themeColor="text1"/>
          <w:sz w:val="24"/>
          <w:szCs w:val="24"/>
        </w:rPr>
        <w:t>increase in operating costs indicates the disciplined budget stance of Tesla as it goes on to invest in technology and market expansion.</w:t>
      </w:r>
      <w:r w:rsidR="00E95F0E" w:rsidRPr="00900E5B">
        <w:rPr>
          <w:rFonts w:ascii="Times New Roman" w:hAnsi="Times New Roman" w:cs="Times New Roman"/>
          <w:color w:val="000000" w:themeColor="text1"/>
          <w:sz w:val="24"/>
          <w:szCs w:val="24"/>
        </w:rPr>
        <w:t>.</w:t>
      </w:r>
      <w:bookmarkStart w:id="3" w:name="_Toc213066759"/>
    </w:p>
    <w:p w:rsidR="00330850" w:rsidRPr="005D3682" w:rsidRDefault="00330850" w:rsidP="005D3682">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b/>
          <w:color w:val="000000" w:themeColor="text1"/>
          <w:sz w:val="24"/>
          <w:szCs w:val="24"/>
        </w:rPr>
        <w:t>4. Performance Measurement and Decision Making</w:t>
      </w:r>
      <w:bookmarkEnd w:id="3"/>
      <w:r w:rsidRPr="00900E5B">
        <w:rPr>
          <w:rFonts w:ascii="Times New Roman" w:hAnsi="Times New Roman" w:cs="Times New Roman"/>
          <w:b/>
          <w:color w:val="000000" w:themeColor="text1"/>
          <w:sz w:val="24"/>
          <w:szCs w:val="24"/>
        </w:rPr>
        <w:t xml:space="preserve"> </w:t>
      </w:r>
    </w:p>
    <w:p w:rsidR="00925BF0" w:rsidRPr="00900E5B" w:rsidRDefault="00925BF0" w:rsidP="00900E5B">
      <w:pPr>
        <w:spacing w:line="360" w:lineRule="auto"/>
        <w:jc w:val="both"/>
        <w:rPr>
          <w:rFonts w:ascii="Times New Roman" w:hAnsi="Times New Roman" w:cs="Times New Roman"/>
          <w:b/>
          <w:color w:val="000000" w:themeColor="text1"/>
          <w:sz w:val="24"/>
          <w:szCs w:val="24"/>
        </w:rPr>
      </w:pPr>
      <w:r w:rsidRPr="00900E5B">
        <w:rPr>
          <w:rFonts w:ascii="Times New Roman" w:hAnsi="Times New Roman" w:cs="Times New Roman"/>
          <w:b/>
          <w:color w:val="000000" w:themeColor="text1"/>
          <w:sz w:val="24"/>
          <w:szCs w:val="24"/>
        </w:rPr>
        <w:t>Financial and Non-Financial KPIs</w:t>
      </w:r>
    </w:p>
    <w:p w:rsidR="005C14B0" w:rsidRPr="00900E5B" w:rsidRDefault="005C14B0" w:rsidP="00900E5B">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rPr>
        <w:t>Tesla utilizes both financial and non-financial key performance indicators (KPIs) to evaluate the business performance and inform strategic decisions. Financial KPIs are based on profitability, liquidity, and efficiency, whereas the non-financial KPIs are based on customer satisfaction, innovation and operational growth</w:t>
      </w:r>
      <w:r w:rsidR="00E80683" w:rsidRPr="00900E5B">
        <w:rPr>
          <w:rFonts w:ascii="Times New Roman" w:hAnsi="Times New Roman" w:cs="Times New Roman"/>
          <w:color w:val="000000" w:themeColor="text1"/>
          <w:sz w:val="24"/>
          <w:szCs w:val="24"/>
        </w:rPr>
        <w:t xml:space="preserve"> </w:t>
      </w:r>
      <w:r w:rsidR="00E80683" w:rsidRPr="00900E5B">
        <w:rPr>
          <w:rFonts w:ascii="Times New Roman" w:hAnsi="Times New Roman" w:cs="Times New Roman"/>
          <w:color w:val="000000" w:themeColor="text1"/>
          <w:sz w:val="24"/>
          <w:szCs w:val="24"/>
          <w:shd w:val="clear" w:color="auto" w:fill="FFFFFF"/>
        </w:rPr>
        <w:t>(Li, 2025)</w:t>
      </w:r>
      <w:r w:rsidRPr="00900E5B">
        <w:rPr>
          <w:rFonts w:ascii="Times New Roman" w:hAnsi="Times New Roman" w:cs="Times New Roman"/>
          <w:color w:val="000000" w:themeColor="text1"/>
          <w:sz w:val="24"/>
          <w:szCs w:val="24"/>
        </w:rPr>
        <w:t xml:space="preserve">. </w:t>
      </w:r>
    </w:p>
    <w:p w:rsidR="00D154F4" w:rsidRPr="00900E5B" w:rsidRDefault="00D154F4" w:rsidP="00900E5B">
      <w:pPr>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r w:rsidRPr="00900E5B">
        <w:rPr>
          <w:rFonts w:ascii="Times New Roman" w:eastAsia="Times New Roman" w:hAnsi="Times New Roman" w:cs="Times New Roman"/>
          <w:b/>
          <w:color w:val="000000" w:themeColor="text1"/>
          <w:sz w:val="24"/>
          <w:szCs w:val="24"/>
        </w:rPr>
        <w:t>Financial KPIs</w:t>
      </w:r>
    </w:p>
    <w:tbl>
      <w:tblPr>
        <w:tblStyle w:val="TableGrid"/>
        <w:tblW w:w="0" w:type="auto"/>
        <w:tblLook w:val="04A0"/>
      </w:tblPr>
      <w:tblGrid>
        <w:gridCol w:w="1950"/>
        <w:gridCol w:w="2447"/>
        <w:gridCol w:w="1063"/>
        <w:gridCol w:w="4116"/>
      </w:tblGrid>
      <w:tr w:rsidR="00966085" w:rsidRPr="00966085" w:rsidTr="00966085">
        <w:tc>
          <w:tcPr>
            <w:tcW w:w="0" w:type="auto"/>
            <w:hideMark/>
          </w:tcPr>
          <w:p w:rsidR="00966085" w:rsidRPr="00966085" w:rsidRDefault="00966085" w:rsidP="00900E5B">
            <w:pPr>
              <w:spacing w:line="360" w:lineRule="auto"/>
              <w:jc w:val="both"/>
              <w:rPr>
                <w:rFonts w:ascii="Times New Roman" w:eastAsia="Times New Roman" w:hAnsi="Times New Roman" w:cs="Times New Roman"/>
                <w:b/>
                <w:bCs/>
                <w:color w:val="000000" w:themeColor="text1"/>
                <w:sz w:val="24"/>
                <w:szCs w:val="24"/>
              </w:rPr>
            </w:pPr>
            <w:r w:rsidRPr="00900E5B">
              <w:rPr>
                <w:rFonts w:ascii="Times New Roman" w:eastAsia="Times New Roman" w:hAnsi="Times New Roman" w:cs="Times New Roman"/>
                <w:b/>
                <w:bCs/>
                <w:color w:val="000000" w:themeColor="text1"/>
                <w:sz w:val="24"/>
                <w:szCs w:val="24"/>
              </w:rPr>
              <w:t>Financial KPI</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b/>
                <w:bCs/>
                <w:color w:val="000000" w:themeColor="text1"/>
                <w:sz w:val="24"/>
                <w:szCs w:val="24"/>
              </w:rPr>
            </w:pPr>
            <w:r w:rsidRPr="00900E5B">
              <w:rPr>
                <w:rFonts w:ascii="Times New Roman" w:eastAsia="Times New Roman" w:hAnsi="Times New Roman" w:cs="Times New Roman"/>
                <w:b/>
                <w:bCs/>
                <w:color w:val="000000" w:themeColor="text1"/>
                <w:sz w:val="24"/>
                <w:szCs w:val="24"/>
              </w:rPr>
              <w:t>Formula / Definition</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b/>
                <w:bCs/>
                <w:color w:val="000000" w:themeColor="text1"/>
                <w:sz w:val="24"/>
                <w:szCs w:val="24"/>
              </w:rPr>
            </w:pPr>
            <w:r w:rsidRPr="00900E5B">
              <w:rPr>
                <w:rFonts w:ascii="Times New Roman" w:eastAsia="Times New Roman" w:hAnsi="Times New Roman" w:cs="Times New Roman"/>
                <w:b/>
                <w:bCs/>
                <w:color w:val="000000" w:themeColor="text1"/>
                <w:sz w:val="24"/>
                <w:szCs w:val="24"/>
              </w:rPr>
              <w:t>2024 Value</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b/>
                <w:bCs/>
                <w:color w:val="000000" w:themeColor="text1"/>
                <w:sz w:val="24"/>
                <w:szCs w:val="24"/>
              </w:rPr>
            </w:pPr>
            <w:r w:rsidRPr="00900E5B">
              <w:rPr>
                <w:rFonts w:ascii="Times New Roman" w:eastAsia="Times New Roman" w:hAnsi="Times New Roman" w:cs="Times New Roman"/>
                <w:b/>
                <w:bCs/>
                <w:color w:val="000000" w:themeColor="text1"/>
                <w:sz w:val="24"/>
                <w:szCs w:val="24"/>
              </w:rPr>
              <w:t>Interpretation</w:t>
            </w:r>
          </w:p>
        </w:tc>
      </w:tr>
      <w:tr w:rsidR="00966085" w:rsidRPr="00966085" w:rsidTr="00966085">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Net Profit Margin</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Net Income ÷ Revenue</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7.3 %</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Measures profitability; lower than 2023 due to global price reductions.</w:t>
            </w:r>
          </w:p>
        </w:tc>
      </w:tr>
      <w:tr w:rsidR="00966085" w:rsidRPr="00966085" w:rsidTr="00966085">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Operating Margin</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Operating Income ÷ Revenue</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7.2 %</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Shows how efficiently Tesla runs core operations.</w:t>
            </w:r>
          </w:p>
        </w:tc>
      </w:tr>
      <w:tr w:rsidR="00966085" w:rsidRPr="00966085" w:rsidTr="00966085">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Current Ratio</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Current Assets ÷ Current Liabilities</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2.03 ×</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Indicates strong short-term liquidity.</w:t>
            </w:r>
          </w:p>
        </w:tc>
      </w:tr>
      <w:tr w:rsidR="00966085" w:rsidRPr="00966085" w:rsidTr="00966085">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Inventory Turnover</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Cost of Revenue ÷ Average Inventory</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6.3 ×</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Reflects how quickly inventory is sold; good operational efficiency.</w:t>
            </w:r>
          </w:p>
        </w:tc>
      </w:tr>
      <w:tr w:rsidR="00966085" w:rsidRPr="00966085" w:rsidTr="00966085">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00E5B">
              <w:rPr>
                <w:rFonts w:ascii="Times New Roman" w:eastAsia="Times New Roman" w:hAnsi="Times New Roman" w:cs="Times New Roman"/>
                <w:b/>
                <w:bCs/>
                <w:color w:val="000000" w:themeColor="text1"/>
                <w:sz w:val="24"/>
                <w:szCs w:val="24"/>
              </w:rPr>
              <w:t>Return on Equity (ROE)</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Net Income ÷ Average Equity</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10.6 %</w:t>
            </w:r>
          </w:p>
        </w:tc>
        <w:tc>
          <w:tcPr>
            <w:tcW w:w="0" w:type="auto"/>
            <w:hideMark/>
          </w:tcPr>
          <w:p w:rsidR="00966085" w:rsidRPr="00966085" w:rsidRDefault="00966085" w:rsidP="00900E5B">
            <w:pPr>
              <w:spacing w:line="360" w:lineRule="auto"/>
              <w:jc w:val="both"/>
              <w:rPr>
                <w:rFonts w:ascii="Times New Roman" w:eastAsia="Times New Roman" w:hAnsi="Times New Roman" w:cs="Times New Roman"/>
                <w:color w:val="000000" w:themeColor="text1"/>
                <w:sz w:val="24"/>
                <w:szCs w:val="24"/>
              </w:rPr>
            </w:pPr>
            <w:r w:rsidRPr="00966085">
              <w:rPr>
                <w:rFonts w:ascii="Times New Roman" w:eastAsia="Times New Roman" w:hAnsi="Times New Roman" w:cs="Times New Roman"/>
                <w:color w:val="000000" w:themeColor="text1"/>
                <w:sz w:val="24"/>
                <w:szCs w:val="24"/>
              </w:rPr>
              <w:t>Shows shareholder return from operations.</w:t>
            </w:r>
          </w:p>
        </w:tc>
      </w:tr>
    </w:tbl>
    <w:p w:rsidR="00966085" w:rsidRPr="00900E5B" w:rsidRDefault="00D154F4" w:rsidP="00900E5B">
      <w:pPr>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r w:rsidRPr="00900E5B">
        <w:rPr>
          <w:rFonts w:ascii="Times New Roman" w:eastAsia="Times New Roman" w:hAnsi="Times New Roman" w:cs="Times New Roman"/>
          <w:b/>
          <w:color w:val="000000" w:themeColor="text1"/>
          <w:sz w:val="24"/>
          <w:szCs w:val="24"/>
        </w:rPr>
        <w:lastRenderedPageBreak/>
        <w:t>Non Financial KPIs</w:t>
      </w:r>
    </w:p>
    <w:tbl>
      <w:tblPr>
        <w:tblStyle w:val="TableGrid"/>
        <w:tblW w:w="0" w:type="auto"/>
        <w:tblLook w:val="04A0"/>
      </w:tblPr>
      <w:tblGrid>
        <w:gridCol w:w="2159"/>
        <w:gridCol w:w="3133"/>
        <w:gridCol w:w="1333"/>
        <w:gridCol w:w="2951"/>
      </w:tblGrid>
      <w:tr w:rsidR="00D154F4" w:rsidRPr="00900E5B" w:rsidTr="00D154F4">
        <w:tc>
          <w:tcPr>
            <w:tcW w:w="0" w:type="auto"/>
            <w:hideMark/>
          </w:tcPr>
          <w:p w:rsidR="00D154F4" w:rsidRPr="00B503A0" w:rsidRDefault="00D154F4"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Non-Financial KPI</w:t>
            </w:r>
          </w:p>
        </w:tc>
        <w:tc>
          <w:tcPr>
            <w:tcW w:w="0" w:type="auto"/>
            <w:hideMark/>
          </w:tcPr>
          <w:p w:rsidR="00D154F4" w:rsidRPr="00B503A0" w:rsidRDefault="00D154F4"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Measure / Description</w:t>
            </w:r>
          </w:p>
        </w:tc>
        <w:tc>
          <w:tcPr>
            <w:tcW w:w="0" w:type="auto"/>
            <w:hideMark/>
          </w:tcPr>
          <w:p w:rsidR="00D154F4" w:rsidRPr="00B503A0" w:rsidRDefault="00D154F4"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2024 Value</w:t>
            </w:r>
          </w:p>
        </w:tc>
        <w:tc>
          <w:tcPr>
            <w:tcW w:w="0" w:type="auto"/>
            <w:hideMark/>
          </w:tcPr>
          <w:p w:rsidR="00D154F4" w:rsidRPr="00B503A0" w:rsidRDefault="00D154F4"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Strategic Importance</w:t>
            </w:r>
          </w:p>
        </w:tc>
      </w:tr>
      <w:tr w:rsidR="00D154F4" w:rsidRPr="00900E5B" w:rsidTr="00D154F4">
        <w:tc>
          <w:tcPr>
            <w:tcW w:w="0" w:type="auto"/>
            <w:hideMark/>
          </w:tcPr>
          <w:p w:rsidR="00D154F4" w:rsidRPr="00B503A0" w:rsidRDefault="00D154F4"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Vehicle Deliveries</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Total annual vehicles sold</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~1.79 million</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Key growth and volume indicator.</w:t>
            </w:r>
          </w:p>
        </w:tc>
      </w:tr>
      <w:tr w:rsidR="00D154F4" w:rsidRPr="00900E5B" w:rsidTr="00D154F4">
        <w:tc>
          <w:tcPr>
            <w:tcW w:w="0" w:type="auto"/>
            <w:hideMark/>
          </w:tcPr>
          <w:p w:rsidR="00D154F4" w:rsidRPr="00B503A0" w:rsidRDefault="00D154F4"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Energy Storage Deployed</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Total GWh of energy storage installed</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31.4 GWh</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Tracks success of Tesla Energy segment.</w:t>
            </w:r>
          </w:p>
        </w:tc>
      </w:tr>
      <w:tr w:rsidR="00D154F4" w:rsidRPr="00900E5B" w:rsidTr="00D154F4">
        <w:tc>
          <w:tcPr>
            <w:tcW w:w="0" w:type="auto"/>
            <w:hideMark/>
          </w:tcPr>
          <w:p w:rsidR="00D154F4" w:rsidRPr="00B503A0" w:rsidRDefault="00D154F4"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Supercharger Network</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Charging connectors worldwide</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70,000 +</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Improves customer convenience and brand loyalty.</w:t>
            </w:r>
          </w:p>
        </w:tc>
      </w:tr>
      <w:tr w:rsidR="00D154F4" w:rsidRPr="00900E5B" w:rsidTr="00D154F4">
        <w:tc>
          <w:tcPr>
            <w:tcW w:w="0" w:type="auto"/>
            <w:hideMark/>
          </w:tcPr>
          <w:p w:rsidR="00D154F4" w:rsidRPr="00B503A0" w:rsidRDefault="00D154F4"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Retail &amp; Service Locations</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Global outlets and service centres</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~1,350</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Measures infrastructure expansion.</w:t>
            </w:r>
          </w:p>
        </w:tc>
      </w:tr>
      <w:tr w:rsidR="00D154F4" w:rsidRPr="00900E5B" w:rsidTr="00D154F4">
        <w:tc>
          <w:tcPr>
            <w:tcW w:w="0" w:type="auto"/>
            <w:hideMark/>
          </w:tcPr>
          <w:p w:rsidR="00D154F4" w:rsidRPr="00B503A0" w:rsidRDefault="00D154F4" w:rsidP="00900E5B">
            <w:pPr>
              <w:spacing w:line="360" w:lineRule="auto"/>
              <w:jc w:val="both"/>
              <w:rPr>
                <w:rFonts w:ascii="Times New Roman" w:hAnsi="Times New Roman" w:cs="Times New Roman"/>
                <w:b/>
                <w:color w:val="000000" w:themeColor="text1"/>
                <w:sz w:val="24"/>
                <w:szCs w:val="24"/>
              </w:rPr>
            </w:pPr>
            <w:r w:rsidRPr="00B503A0">
              <w:rPr>
                <w:rFonts w:ascii="Times New Roman" w:hAnsi="Times New Roman" w:cs="Times New Roman"/>
                <w:b/>
                <w:color w:val="000000" w:themeColor="text1"/>
                <w:sz w:val="24"/>
                <w:szCs w:val="24"/>
              </w:rPr>
              <w:t>FSD / Software Adoption</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 of users purchasing or subscribing to Full Self-Driving</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Low–moderate</w:t>
            </w:r>
          </w:p>
        </w:tc>
        <w:tc>
          <w:tcPr>
            <w:tcW w:w="0" w:type="auto"/>
            <w:hideMark/>
          </w:tcPr>
          <w:p w:rsidR="00D154F4" w:rsidRPr="00900E5B" w:rsidRDefault="00D154F4"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color w:val="000000" w:themeColor="text1"/>
                <w:sz w:val="24"/>
                <w:szCs w:val="24"/>
              </w:rPr>
              <w:t>Indicates recurring software revenue potential.</w:t>
            </w:r>
          </w:p>
        </w:tc>
      </w:tr>
    </w:tbl>
    <w:p w:rsidR="00900E5B" w:rsidRPr="00900E5B" w:rsidRDefault="00900E5B" w:rsidP="00900E5B">
      <w:pPr>
        <w:spacing w:line="360" w:lineRule="auto"/>
        <w:jc w:val="both"/>
        <w:rPr>
          <w:rFonts w:ascii="Times New Roman" w:hAnsi="Times New Roman" w:cs="Times New Roman"/>
          <w:b/>
          <w:color w:val="000000" w:themeColor="text1"/>
          <w:sz w:val="24"/>
          <w:szCs w:val="24"/>
        </w:rPr>
      </w:pPr>
    </w:p>
    <w:p w:rsidR="00234449" w:rsidRDefault="00925BF0" w:rsidP="00234449">
      <w:pPr>
        <w:spacing w:line="360" w:lineRule="auto"/>
        <w:jc w:val="both"/>
        <w:rPr>
          <w:rFonts w:ascii="Times New Roman" w:hAnsi="Times New Roman" w:cs="Times New Roman"/>
          <w:b/>
          <w:color w:val="000000" w:themeColor="text1"/>
          <w:sz w:val="24"/>
          <w:szCs w:val="24"/>
        </w:rPr>
      </w:pPr>
      <w:r w:rsidRPr="00900E5B">
        <w:rPr>
          <w:rFonts w:ascii="Times New Roman" w:hAnsi="Times New Roman" w:cs="Times New Roman"/>
          <w:b/>
          <w:color w:val="000000" w:themeColor="text1"/>
          <w:sz w:val="24"/>
          <w:szCs w:val="24"/>
        </w:rPr>
        <w:t>Strategic Decisions Based on KPI Insights</w:t>
      </w:r>
    </w:p>
    <w:p w:rsidR="00234449" w:rsidRDefault="005C14B0" w:rsidP="00234449">
      <w:pPr>
        <w:spacing w:line="360" w:lineRule="auto"/>
        <w:jc w:val="both"/>
        <w:rPr>
          <w:rFonts w:ascii="Times New Roman" w:hAnsi="Times New Roman" w:cs="Times New Roman"/>
          <w:b/>
          <w:color w:val="000000" w:themeColor="text1"/>
          <w:sz w:val="24"/>
          <w:szCs w:val="24"/>
        </w:rPr>
      </w:pPr>
      <w:r w:rsidRPr="00900E5B">
        <w:rPr>
          <w:rFonts w:ascii="Times New Roman" w:eastAsia="Times New Roman" w:hAnsi="Times New Roman" w:cs="Times New Roman"/>
          <w:color w:val="000000" w:themeColor="text1"/>
          <w:sz w:val="24"/>
          <w:szCs w:val="24"/>
        </w:rPr>
        <w:t xml:space="preserve">Tesla considers both financial and non financial data to make the major strategic decisions: </w:t>
      </w:r>
    </w:p>
    <w:p w:rsidR="00032689" w:rsidRPr="00234449" w:rsidRDefault="00925BF0" w:rsidP="00234449">
      <w:pPr>
        <w:spacing w:line="360" w:lineRule="auto"/>
        <w:jc w:val="both"/>
        <w:rPr>
          <w:rFonts w:ascii="Times New Roman" w:hAnsi="Times New Roman" w:cs="Times New Roman"/>
          <w:b/>
          <w:color w:val="000000" w:themeColor="text1"/>
          <w:sz w:val="24"/>
          <w:szCs w:val="24"/>
        </w:rPr>
      </w:pPr>
      <w:r w:rsidRPr="00900E5B">
        <w:rPr>
          <w:rFonts w:ascii="Times New Roman" w:hAnsi="Times New Roman" w:cs="Times New Roman"/>
          <w:b/>
          <w:color w:val="000000" w:themeColor="text1"/>
          <w:sz w:val="24"/>
          <w:szCs w:val="24"/>
        </w:rPr>
        <w:t>Product Pricing and Market Expansion:</w:t>
      </w:r>
      <w:r w:rsidR="00032689" w:rsidRPr="00900E5B">
        <w:rPr>
          <w:rFonts w:ascii="Times New Roman" w:hAnsi="Times New Roman" w:cs="Times New Roman"/>
          <w:color w:val="000000" w:themeColor="text1"/>
          <w:sz w:val="24"/>
          <w:szCs w:val="24"/>
        </w:rPr>
        <w:t xml:space="preserve"> The decline in the profit margin (7.3% in 2024 compared to 11.5% in 2023) prompted Tesla to start lowering the price of its vehicles in the international market to improve deliveries and to retain its market share. This ruling considered the loss of margin in the short term against the increase in volume in the long term. </w:t>
      </w:r>
    </w:p>
    <w:p w:rsidR="00925BF0" w:rsidRPr="00900E5B" w:rsidRDefault="00925BF0" w:rsidP="00900E5B">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b/>
          <w:color w:val="000000" w:themeColor="text1"/>
          <w:sz w:val="24"/>
          <w:szCs w:val="24"/>
        </w:rPr>
        <w:t>Cost-Control and Efficiency Measures:</w:t>
      </w:r>
      <w:r w:rsidR="00032689" w:rsidRPr="00900E5B">
        <w:rPr>
          <w:rFonts w:ascii="Times New Roman" w:hAnsi="Times New Roman" w:cs="Times New Roman"/>
          <w:color w:val="000000" w:themeColor="text1"/>
          <w:sz w:val="24"/>
          <w:szCs w:val="24"/>
        </w:rPr>
        <w:t xml:space="preserve"> Less growth in SG&amp;A and R&amp;D compared to the revenue is indicative of tight budgeting and cost discipline. The 6.3x inventory turnover in Tesla prompted the management to shorten production period and minimize the unsold inventory</w:t>
      </w:r>
      <w:r w:rsidR="00E80683" w:rsidRPr="00900E5B">
        <w:rPr>
          <w:rFonts w:ascii="Times New Roman" w:hAnsi="Times New Roman" w:cs="Times New Roman"/>
          <w:color w:val="000000" w:themeColor="text1"/>
          <w:sz w:val="24"/>
          <w:szCs w:val="24"/>
        </w:rPr>
        <w:t xml:space="preserve"> </w:t>
      </w:r>
      <w:r w:rsidR="00E80683" w:rsidRPr="00900E5B">
        <w:rPr>
          <w:rFonts w:ascii="Times New Roman" w:hAnsi="Times New Roman" w:cs="Times New Roman"/>
          <w:color w:val="000000" w:themeColor="text1"/>
          <w:sz w:val="24"/>
          <w:szCs w:val="24"/>
          <w:shd w:val="clear" w:color="auto" w:fill="FFFFFF"/>
        </w:rPr>
        <w:t>(Lei, 2025)</w:t>
      </w:r>
      <w:r w:rsidR="00032689" w:rsidRPr="00900E5B">
        <w:rPr>
          <w:rFonts w:ascii="Times New Roman" w:hAnsi="Times New Roman" w:cs="Times New Roman"/>
          <w:color w:val="000000" w:themeColor="text1"/>
          <w:sz w:val="24"/>
          <w:szCs w:val="24"/>
        </w:rPr>
        <w:t xml:space="preserve">. </w:t>
      </w:r>
    </w:p>
    <w:p w:rsidR="00B33F4D" w:rsidRPr="00900E5B" w:rsidRDefault="00925BF0" w:rsidP="00900E5B">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b/>
          <w:color w:val="000000" w:themeColor="text1"/>
          <w:sz w:val="24"/>
          <w:szCs w:val="24"/>
        </w:rPr>
        <w:lastRenderedPageBreak/>
        <w:t>Energy Business Growth:</w:t>
      </w:r>
      <w:r w:rsidR="00B33F4D" w:rsidRPr="00900E5B">
        <w:rPr>
          <w:rFonts w:ascii="Times New Roman" w:hAnsi="Times New Roman" w:cs="Times New Roman"/>
          <w:color w:val="000000" w:themeColor="text1"/>
          <w:sz w:val="24"/>
          <w:szCs w:val="24"/>
        </w:rPr>
        <w:t xml:space="preserve"> The recent 31.4 GWh increase in energy storage implementation prompted greater investment by capital in Megapack energy storage production applications, where there was a change towards the support of non automotive revenue. </w:t>
      </w:r>
    </w:p>
    <w:p w:rsidR="00EB4D5B" w:rsidRPr="00900E5B" w:rsidRDefault="00925BF0" w:rsidP="00900E5B">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b/>
          <w:color w:val="000000" w:themeColor="text1"/>
          <w:sz w:val="24"/>
          <w:szCs w:val="24"/>
        </w:rPr>
        <w:t>Infrastructure and Customer Experience:</w:t>
      </w:r>
      <w:r w:rsidR="00EB4D5B" w:rsidRPr="00900E5B">
        <w:rPr>
          <w:rFonts w:ascii="Times New Roman" w:hAnsi="Times New Roman" w:cs="Times New Roman"/>
          <w:color w:val="000000" w:themeColor="text1"/>
          <w:sz w:val="24"/>
          <w:szCs w:val="24"/>
        </w:rPr>
        <w:t xml:space="preserve"> the company has well-developed infrastructure as part of its material possessions, i.e., well-maintained, high-level facilities and capacity. Non-financial KPIs data, i.e., Supercharger network expansion (70,000+ connectors), were used to make repeated investments and enhance customer satisfaction, and assist EV adoption across the world</w:t>
      </w:r>
      <w:r w:rsidR="00E80683" w:rsidRPr="00900E5B">
        <w:rPr>
          <w:rFonts w:ascii="Times New Roman" w:hAnsi="Times New Roman" w:cs="Times New Roman"/>
          <w:color w:val="000000" w:themeColor="text1"/>
          <w:sz w:val="24"/>
          <w:szCs w:val="24"/>
        </w:rPr>
        <w:t xml:space="preserve"> </w:t>
      </w:r>
      <w:r w:rsidR="00E80683" w:rsidRPr="00900E5B">
        <w:rPr>
          <w:rFonts w:ascii="Times New Roman" w:hAnsi="Times New Roman" w:cs="Times New Roman"/>
          <w:color w:val="000000" w:themeColor="text1"/>
          <w:sz w:val="24"/>
          <w:szCs w:val="24"/>
          <w:shd w:val="clear" w:color="auto" w:fill="FFFFFF"/>
        </w:rPr>
        <w:t>(Kumar et al., 2024)</w:t>
      </w:r>
      <w:r w:rsidR="00EB4D5B" w:rsidRPr="00900E5B">
        <w:rPr>
          <w:rFonts w:ascii="Times New Roman" w:hAnsi="Times New Roman" w:cs="Times New Roman"/>
          <w:color w:val="000000" w:themeColor="text1"/>
          <w:sz w:val="24"/>
          <w:szCs w:val="24"/>
        </w:rPr>
        <w:t>.</w:t>
      </w:r>
    </w:p>
    <w:p w:rsidR="005D3682" w:rsidRDefault="00925BF0" w:rsidP="005D3682">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b/>
          <w:color w:val="000000" w:themeColor="text1"/>
          <w:sz w:val="24"/>
          <w:szCs w:val="24"/>
        </w:rPr>
        <w:t>Technology Investment:</w:t>
      </w:r>
      <w:r w:rsidR="00F94208" w:rsidRPr="00900E5B">
        <w:rPr>
          <w:rFonts w:ascii="Times New Roman" w:hAnsi="Times New Roman" w:cs="Times New Roman"/>
          <w:color w:val="000000" w:themeColor="text1"/>
          <w:sz w:val="24"/>
          <w:szCs w:val="24"/>
        </w:rPr>
        <w:t xml:space="preserve"> In response to the FSD adoption rates, Tesla had to invest more in R&amp;D in terms of AI and software development to improve the way autonomous driving works and subscription revenues in the future.</w:t>
      </w:r>
      <w:bookmarkStart w:id="4" w:name="_Toc213066760"/>
    </w:p>
    <w:p w:rsidR="006B1DA6" w:rsidRPr="005D3682" w:rsidRDefault="006B1DA6" w:rsidP="005D3682">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b/>
          <w:color w:val="000000" w:themeColor="text1"/>
          <w:sz w:val="24"/>
          <w:szCs w:val="24"/>
        </w:rPr>
        <w:t xml:space="preserve">5. </w:t>
      </w:r>
      <w:r w:rsidRPr="00900E5B">
        <w:rPr>
          <w:rFonts w:ascii="Times New Roman" w:hAnsi="Times New Roman" w:cs="Times New Roman"/>
          <w:b/>
          <w:color w:val="000000" w:themeColor="text1"/>
          <w:sz w:val="24"/>
          <w:szCs w:val="24"/>
        </w:rPr>
        <w:t>Sustainability and Ethical Con</w:t>
      </w:r>
      <w:r w:rsidRPr="00900E5B">
        <w:rPr>
          <w:rFonts w:ascii="Times New Roman" w:hAnsi="Times New Roman" w:cs="Times New Roman"/>
          <w:b/>
          <w:color w:val="000000" w:themeColor="text1"/>
          <w:sz w:val="24"/>
          <w:szCs w:val="24"/>
        </w:rPr>
        <w:t>siderations – Tesla</w:t>
      </w:r>
      <w:bookmarkEnd w:id="4"/>
      <w:r w:rsidRPr="00900E5B">
        <w:rPr>
          <w:rFonts w:ascii="Times New Roman" w:hAnsi="Times New Roman" w:cs="Times New Roman"/>
          <w:b/>
          <w:color w:val="000000" w:themeColor="text1"/>
          <w:sz w:val="24"/>
          <w:szCs w:val="24"/>
        </w:rPr>
        <w:t xml:space="preserve"> </w:t>
      </w:r>
    </w:p>
    <w:p w:rsidR="006B1DA6" w:rsidRPr="00900E5B" w:rsidRDefault="006B1DA6" w:rsidP="00900E5B">
      <w:pPr>
        <w:spacing w:line="360" w:lineRule="auto"/>
        <w:jc w:val="both"/>
        <w:rPr>
          <w:rFonts w:ascii="Times New Roman" w:hAnsi="Times New Roman" w:cs="Times New Roman"/>
          <w:b/>
          <w:color w:val="000000" w:themeColor="text1"/>
          <w:sz w:val="24"/>
          <w:szCs w:val="24"/>
        </w:rPr>
      </w:pPr>
      <w:r w:rsidRPr="00900E5B">
        <w:rPr>
          <w:rFonts w:ascii="Times New Roman" w:hAnsi="Times New Roman" w:cs="Times New Roman"/>
          <w:b/>
          <w:color w:val="000000" w:themeColor="text1"/>
          <w:sz w:val="24"/>
          <w:szCs w:val="24"/>
        </w:rPr>
        <w:t>Integration of Sustainability</w:t>
      </w:r>
      <w:r w:rsidRPr="00900E5B">
        <w:rPr>
          <w:rFonts w:ascii="Times New Roman" w:hAnsi="Times New Roman" w:cs="Times New Roman"/>
          <w:b/>
          <w:color w:val="000000" w:themeColor="text1"/>
          <w:sz w:val="24"/>
          <w:szCs w:val="24"/>
        </w:rPr>
        <w:t xml:space="preserve"> into Financial Decision-Making</w:t>
      </w:r>
    </w:p>
    <w:p w:rsidR="006B1DA6" w:rsidRPr="008A395C" w:rsidRDefault="006B1DA6" w:rsidP="00900E5B">
      <w:pPr>
        <w:spacing w:line="360" w:lineRule="auto"/>
        <w:jc w:val="both"/>
        <w:rPr>
          <w:rFonts w:ascii="Times New Roman" w:hAnsi="Times New Roman" w:cs="Times New Roman"/>
          <w:color w:val="000000" w:themeColor="text1"/>
          <w:sz w:val="24"/>
          <w:szCs w:val="24"/>
        </w:rPr>
      </w:pPr>
      <w:r w:rsidRPr="008A395C">
        <w:rPr>
          <w:rFonts w:ascii="Times New Roman" w:hAnsi="Times New Roman" w:cs="Times New Roman"/>
          <w:color w:val="000000" w:themeColor="text1"/>
          <w:sz w:val="24"/>
          <w:szCs w:val="24"/>
        </w:rPr>
        <w:t>Tesla’s financial decision-making is strongly guided by its sustainability mission: to accelerate the world’s transition to sustainable energy. Every major investment, production plan, or pricing decision reflects this environmental focus.</w:t>
      </w:r>
    </w:p>
    <w:p w:rsidR="008A395C" w:rsidRPr="008A395C" w:rsidRDefault="008A395C" w:rsidP="008A395C">
      <w:pPr>
        <w:spacing w:line="360" w:lineRule="auto"/>
        <w:jc w:val="both"/>
        <w:rPr>
          <w:rFonts w:ascii="Times New Roman" w:hAnsi="Times New Roman" w:cs="Times New Roman"/>
          <w:color w:val="000000" w:themeColor="text1"/>
          <w:sz w:val="24"/>
          <w:szCs w:val="24"/>
        </w:rPr>
      </w:pPr>
      <w:r w:rsidRPr="008A395C">
        <w:rPr>
          <w:rFonts w:ascii="Times New Roman" w:hAnsi="Times New Roman" w:cs="Times New Roman"/>
          <w:color w:val="000000" w:themeColor="text1"/>
          <w:sz w:val="24"/>
          <w:szCs w:val="24"/>
        </w:rPr>
        <w:t>As an example, Tesla is investing most of its capital resources in renewable energy products like solar panels, Powerwall, and Megapack systems. In 2024, the company committed to extensive investments in new Gigafactories and energy storage plants that would operate on renewable energy sources and would cause less carbon emissions. These investments entail additional short-term expenditure but help to financially conserve in the long term by efficiency in energy and lessening environmental risks (Gimenez, 2022).</w:t>
      </w:r>
    </w:p>
    <w:p w:rsidR="008A395C" w:rsidRPr="008A395C" w:rsidRDefault="008A395C" w:rsidP="008A395C">
      <w:pPr>
        <w:spacing w:line="360" w:lineRule="auto"/>
        <w:jc w:val="both"/>
        <w:rPr>
          <w:rFonts w:ascii="Times New Roman" w:hAnsi="Times New Roman" w:cs="Times New Roman"/>
          <w:color w:val="000000" w:themeColor="text1"/>
          <w:sz w:val="24"/>
          <w:szCs w:val="24"/>
        </w:rPr>
      </w:pPr>
      <w:r w:rsidRPr="008A395C">
        <w:rPr>
          <w:rFonts w:ascii="Times New Roman" w:hAnsi="Times New Roman" w:cs="Times New Roman"/>
          <w:color w:val="000000" w:themeColor="text1"/>
          <w:sz w:val="24"/>
          <w:szCs w:val="24"/>
        </w:rPr>
        <w:t>Sustainability is also included in the supply chain decision-making at Tesla. The budget of the company accommodates the expenses of sourcing materials that are mined with moral ethics (such as lithium, nickel, and cobalt) and the recycling of used batteries. Recycling raw materials reduces the cost of production and the environmental effects of Tesla.</w:t>
      </w:r>
    </w:p>
    <w:p w:rsidR="008A395C" w:rsidRPr="008A395C" w:rsidRDefault="008A395C" w:rsidP="008A395C">
      <w:pPr>
        <w:spacing w:line="360" w:lineRule="auto"/>
        <w:jc w:val="both"/>
        <w:rPr>
          <w:rFonts w:ascii="Times New Roman" w:hAnsi="Times New Roman" w:cs="Times New Roman"/>
          <w:color w:val="000000" w:themeColor="text1"/>
          <w:sz w:val="24"/>
          <w:szCs w:val="24"/>
        </w:rPr>
      </w:pPr>
    </w:p>
    <w:p w:rsidR="008A395C" w:rsidRPr="008A395C" w:rsidRDefault="008A395C" w:rsidP="008A395C">
      <w:pPr>
        <w:spacing w:line="360" w:lineRule="auto"/>
        <w:jc w:val="both"/>
        <w:rPr>
          <w:rFonts w:ascii="Times New Roman" w:hAnsi="Times New Roman" w:cs="Times New Roman"/>
          <w:color w:val="000000" w:themeColor="text1"/>
          <w:sz w:val="24"/>
          <w:szCs w:val="24"/>
        </w:rPr>
      </w:pPr>
      <w:r w:rsidRPr="008A395C">
        <w:rPr>
          <w:rFonts w:ascii="Times New Roman" w:hAnsi="Times New Roman" w:cs="Times New Roman"/>
          <w:color w:val="000000" w:themeColor="text1"/>
          <w:sz w:val="24"/>
          <w:szCs w:val="24"/>
        </w:rPr>
        <w:lastRenderedPageBreak/>
        <w:t>In addition, the sustainability objectives affect the Tesla product development budgets. Increased investment is made in the more efficient use of batteries and lowering waste in production, which corresponds to the cost control and long-term green innovations. These economic decisions support the Tesla image of a green brand and find environmentally aware investors (Fang, 2024).</w:t>
      </w:r>
    </w:p>
    <w:p w:rsidR="006B1DA6" w:rsidRPr="009D404A" w:rsidRDefault="006B1DA6" w:rsidP="008A395C">
      <w:pPr>
        <w:spacing w:line="360" w:lineRule="auto"/>
        <w:jc w:val="both"/>
        <w:rPr>
          <w:rFonts w:ascii="Times New Roman" w:hAnsi="Times New Roman" w:cs="Times New Roman"/>
          <w:b/>
          <w:color w:val="000000" w:themeColor="text1"/>
          <w:sz w:val="24"/>
          <w:szCs w:val="24"/>
        </w:rPr>
      </w:pPr>
      <w:r w:rsidRPr="009D404A">
        <w:rPr>
          <w:rFonts w:ascii="Times New Roman" w:hAnsi="Times New Roman" w:cs="Times New Roman"/>
          <w:b/>
          <w:color w:val="000000" w:themeColor="text1"/>
          <w:sz w:val="24"/>
          <w:szCs w:val="24"/>
        </w:rPr>
        <w:t>Ethical Considerations in Cost Management and Pricing</w:t>
      </w:r>
    </w:p>
    <w:p w:rsidR="009D404A" w:rsidRPr="009D404A" w:rsidRDefault="009D404A" w:rsidP="009D404A">
      <w:pPr>
        <w:spacing w:line="360" w:lineRule="auto"/>
        <w:jc w:val="both"/>
        <w:rPr>
          <w:rFonts w:ascii="Times New Roman" w:hAnsi="Times New Roman" w:cs="Times New Roman"/>
          <w:color w:val="000000" w:themeColor="text1"/>
          <w:sz w:val="24"/>
          <w:szCs w:val="24"/>
        </w:rPr>
      </w:pPr>
      <w:bookmarkStart w:id="5" w:name="_Toc213066761"/>
      <w:r w:rsidRPr="009D404A">
        <w:rPr>
          <w:rFonts w:ascii="Times New Roman" w:hAnsi="Times New Roman" w:cs="Times New Roman"/>
          <w:color w:val="000000" w:themeColor="text1"/>
          <w:sz w:val="24"/>
          <w:szCs w:val="24"/>
        </w:rPr>
        <w:t>There are a number of ethical issues that Tesla encounters in cost and pricing management. The ethical practices applied in cost management include fair labor standards in the international supply chain and responsible sourcing of raw materials. This firm has also made an effort to audit the suppliers to avoid child labor and hazardous working conditions, particularly in the mining areas. Although these measures cause operational expenses to rise, they prevent the negative impact on the ethical reputation of Tesla and ensure that the company complies with international sustainability standards (Datar et al., 2022).</w:t>
      </w:r>
    </w:p>
    <w:p w:rsidR="009D404A" w:rsidRPr="009D404A" w:rsidRDefault="009D404A" w:rsidP="009D404A">
      <w:pPr>
        <w:spacing w:line="360" w:lineRule="auto"/>
        <w:jc w:val="both"/>
        <w:rPr>
          <w:rFonts w:ascii="Times New Roman" w:hAnsi="Times New Roman" w:cs="Times New Roman"/>
          <w:color w:val="000000" w:themeColor="text1"/>
          <w:sz w:val="24"/>
          <w:szCs w:val="24"/>
        </w:rPr>
      </w:pPr>
      <w:r w:rsidRPr="009D404A">
        <w:rPr>
          <w:rFonts w:ascii="Times New Roman" w:hAnsi="Times New Roman" w:cs="Times New Roman"/>
          <w:color w:val="000000" w:themeColor="text1"/>
          <w:sz w:val="24"/>
          <w:szCs w:val="24"/>
        </w:rPr>
        <w:t>Tesla is fair in pricing, but affordable. Its recent move to reduce the prices of its vehicles to more customers around the world is a sign of an ethical effort to bring more customers to electric mobility. Nevertheless, Tesla should also take into consideration such fairness as profitability to investors and employees. In general, the cost and pricing policies at Tesla reflect an attempt to implement an ethical responsibility and performance at the same time, making sure that growth complies with the environment and social values.</w:t>
      </w:r>
    </w:p>
    <w:p w:rsidR="009C3DF9" w:rsidRPr="004878F8" w:rsidRDefault="00900E5B" w:rsidP="009D404A">
      <w:pPr>
        <w:spacing w:line="360" w:lineRule="auto"/>
        <w:jc w:val="both"/>
        <w:rPr>
          <w:rFonts w:ascii="Times New Roman" w:hAnsi="Times New Roman" w:cs="Times New Roman"/>
          <w:color w:val="000000" w:themeColor="text1"/>
          <w:sz w:val="24"/>
          <w:szCs w:val="24"/>
        </w:rPr>
      </w:pPr>
      <w:r w:rsidRPr="004878F8">
        <w:rPr>
          <w:rFonts w:ascii="Times New Roman" w:hAnsi="Times New Roman" w:cs="Times New Roman"/>
          <w:b/>
          <w:color w:val="000000" w:themeColor="text1"/>
          <w:sz w:val="24"/>
          <w:szCs w:val="24"/>
        </w:rPr>
        <w:t xml:space="preserve">6. </w:t>
      </w:r>
      <w:r w:rsidR="009C3DF9" w:rsidRPr="004878F8">
        <w:rPr>
          <w:rFonts w:ascii="Times New Roman" w:hAnsi="Times New Roman" w:cs="Times New Roman"/>
          <w:b/>
          <w:color w:val="000000" w:themeColor="text1"/>
          <w:sz w:val="24"/>
          <w:szCs w:val="24"/>
        </w:rPr>
        <w:t>Conclusion and Recommendations</w:t>
      </w:r>
      <w:bookmarkEnd w:id="5"/>
    </w:p>
    <w:p w:rsidR="004878F8" w:rsidRPr="004878F8" w:rsidRDefault="004878F8" w:rsidP="005D3682">
      <w:pPr>
        <w:spacing w:line="360" w:lineRule="auto"/>
        <w:jc w:val="both"/>
        <w:rPr>
          <w:rFonts w:ascii="Times New Roman" w:hAnsi="Times New Roman" w:cs="Times New Roman"/>
          <w:color w:val="000000" w:themeColor="text1"/>
          <w:sz w:val="24"/>
          <w:szCs w:val="24"/>
        </w:rPr>
      </w:pPr>
      <w:bookmarkStart w:id="6" w:name="_Toc213066762"/>
      <w:r>
        <w:rPr>
          <w:rFonts w:ascii="Times New Roman" w:hAnsi="Times New Roman" w:cs="Times New Roman"/>
          <w:color w:val="000000" w:themeColor="text1"/>
          <w:sz w:val="24"/>
          <w:szCs w:val="24"/>
        </w:rPr>
        <w:t xml:space="preserve">The Tesla Company also properly applies the management accounting tools like budgeting, cost analysis, and performance measurement in making strategic decisions. The sustainability orientation and cost ethics of the company improve the competitiveness and image of the company based on the financial information. One of the aspects that Tesla should attempt to utilize the transparency of cost reporting is to provide consistency in the costs of production and the costs of the supply chain. Activity based costing can be implemented to assist the firm in determining processes that are expensive and improving their efficiency. Tesla should continue connecting the sustainability objectives with the budget and investment decisions to ensure financial and environmental performance in the long run. Such measure will be favorable to healthy and evidence-based decision making and robust development. </w:t>
      </w:r>
    </w:p>
    <w:p w:rsidR="00CB3D3B" w:rsidRPr="005D3682" w:rsidRDefault="00CB3D3B" w:rsidP="005D3682">
      <w:pPr>
        <w:spacing w:line="360" w:lineRule="auto"/>
        <w:jc w:val="both"/>
        <w:rPr>
          <w:rFonts w:ascii="Times New Roman" w:hAnsi="Times New Roman" w:cs="Times New Roman"/>
          <w:color w:val="000000" w:themeColor="text1"/>
          <w:sz w:val="24"/>
          <w:szCs w:val="24"/>
        </w:rPr>
      </w:pPr>
      <w:r w:rsidRPr="00900E5B">
        <w:rPr>
          <w:rFonts w:ascii="Times New Roman" w:hAnsi="Times New Roman" w:cs="Times New Roman"/>
          <w:b/>
          <w:color w:val="000000" w:themeColor="text1"/>
          <w:sz w:val="24"/>
          <w:szCs w:val="24"/>
        </w:rPr>
        <w:lastRenderedPageBreak/>
        <w:t>References</w:t>
      </w:r>
      <w:bookmarkEnd w:id="6"/>
      <w:r w:rsidRPr="00900E5B">
        <w:rPr>
          <w:rFonts w:ascii="Times New Roman" w:hAnsi="Times New Roman" w:cs="Times New Roman"/>
          <w:b/>
          <w:color w:val="000000" w:themeColor="text1"/>
          <w:sz w:val="24"/>
          <w:szCs w:val="24"/>
        </w:rPr>
        <w:t xml:space="preserve"> </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t xml:space="preserve">Datar, S. M., Rajan, M. V., Beaubien, L. A., </w:t>
      </w:r>
      <w:r>
        <w:rPr>
          <w:rFonts w:ascii="Times New Roman" w:hAnsi="Times New Roman" w:cs="Times New Roman"/>
          <w:color w:val="000000" w:themeColor="text1"/>
          <w:sz w:val="24"/>
          <w:szCs w:val="24"/>
          <w:shd w:val="clear" w:color="auto" w:fill="FFFFFF"/>
        </w:rPr>
        <w:t>and</w:t>
      </w:r>
      <w:r w:rsidRPr="00900E5B">
        <w:rPr>
          <w:rFonts w:ascii="Times New Roman" w:hAnsi="Times New Roman" w:cs="Times New Roman"/>
          <w:color w:val="000000" w:themeColor="text1"/>
          <w:sz w:val="24"/>
          <w:szCs w:val="24"/>
          <w:shd w:val="clear" w:color="auto" w:fill="FFFFFF"/>
        </w:rPr>
        <w:t xml:space="preserve"> Janz, S. (2022). </w:t>
      </w:r>
      <w:r w:rsidRPr="00900E5B">
        <w:rPr>
          <w:rFonts w:ascii="Times New Roman" w:hAnsi="Times New Roman" w:cs="Times New Roman"/>
          <w:i/>
          <w:iCs/>
          <w:color w:val="000000" w:themeColor="text1"/>
          <w:sz w:val="24"/>
          <w:szCs w:val="24"/>
          <w:shd w:val="clear" w:color="auto" w:fill="FFFFFF"/>
        </w:rPr>
        <w:t>Horngren's cost accounting: A managerial emphasis</w:t>
      </w:r>
      <w:r w:rsidRPr="00900E5B">
        <w:rPr>
          <w:rFonts w:ascii="Times New Roman" w:hAnsi="Times New Roman" w:cs="Times New Roman"/>
          <w:color w:val="000000" w:themeColor="text1"/>
          <w:sz w:val="24"/>
          <w:szCs w:val="24"/>
          <w:shd w:val="clear" w:color="auto" w:fill="FFFFFF"/>
        </w:rPr>
        <w:t>. Pearson Canada Incorporated.</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t>Fang, C. (2024). Tesla’s revenue forecast base on business model and financial statement analysis. In </w:t>
      </w:r>
      <w:r w:rsidRPr="00900E5B">
        <w:rPr>
          <w:rFonts w:ascii="Times New Roman" w:hAnsi="Times New Roman" w:cs="Times New Roman"/>
          <w:i/>
          <w:iCs/>
          <w:color w:val="000000" w:themeColor="text1"/>
          <w:sz w:val="24"/>
          <w:szCs w:val="24"/>
          <w:shd w:val="clear" w:color="auto" w:fill="FFFFFF"/>
        </w:rPr>
        <w:t>SHS Web of Conferences</w:t>
      </w:r>
      <w:r w:rsidRPr="00900E5B">
        <w:rPr>
          <w:rFonts w:ascii="Times New Roman" w:hAnsi="Times New Roman" w:cs="Times New Roman"/>
          <w:color w:val="000000" w:themeColor="text1"/>
          <w:sz w:val="24"/>
          <w:szCs w:val="24"/>
          <w:shd w:val="clear" w:color="auto" w:fill="FFFFFF"/>
        </w:rPr>
        <w:t> (Vol. 181, p. 02022). EDP Sciences.</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t>Giménez, M. C. (2022). Case Study: A Five Year Business Strategic Plan for Tesla.</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t xml:space="preserve">Kumar, J., Kukkillaya, A. V., Lohitha, M. N., Rahul, M., Felsia, D., </w:t>
      </w:r>
      <w:r>
        <w:rPr>
          <w:rFonts w:ascii="Times New Roman" w:hAnsi="Times New Roman" w:cs="Times New Roman"/>
          <w:color w:val="000000" w:themeColor="text1"/>
          <w:sz w:val="24"/>
          <w:szCs w:val="24"/>
          <w:shd w:val="clear" w:color="auto" w:fill="FFFFFF"/>
        </w:rPr>
        <w:t>and</w:t>
      </w:r>
      <w:r w:rsidRPr="00900E5B">
        <w:rPr>
          <w:rFonts w:ascii="Times New Roman" w:hAnsi="Times New Roman" w:cs="Times New Roman"/>
          <w:color w:val="000000" w:themeColor="text1"/>
          <w:sz w:val="24"/>
          <w:szCs w:val="24"/>
          <w:shd w:val="clear" w:color="auto" w:fill="FFFFFF"/>
        </w:rPr>
        <w:t xml:space="preserve"> Chaudhary, A. (2024). A study of revenue model for monetisation of the digital asset. </w:t>
      </w:r>
      <w:r w:rsidRPr="00900E5B">
        <w:rPr>
          <w:rFonts w:ascii="Times New Roman" w:hAnsi="Times New Roman" w:cs="Times New Roman"/>
          <w:i/>
          <w:iCs/>
          <w:color w:val="000000" w:themeColor="text1"/>
          <w:sz w:val="24"/>
          <w:szCs w:val="24"/>
          <w:shd w:val="clear" w:color="auto" w:fill="FFFFFF"/>
        </w:rPr>
        <w:t>International Journal of Business Innovation and Research</w:t>
      </w:r>
      <w:r w:rsidRPr="00900E5B">
        <w:rPr>
          <w:rFonts w:ascii="Times New Roman" w:hAnsi="Times New Roman" w:cs="Times New Roman"/>
          <w:color w:val="000000" w:themeColor="text1"/>
          <w:sz w:val="24"/>
          <w:szCs w:val="24"/>
          <w:shd w:val="clear" w:color="auto" w:fill="FFFFFF"/>
        </w:rPr>
        <w:t>, </w:t>
      </w:r>
      <w:r w:rsidRPr="00900E5B">
        <w:rPr>
          <w:rFonts w:ascii="Times New Roman" w:hAnsi="Times New Roman" w:cs="Times New Roman"/>
          <w:i/>
          <w:iCs/>
          <w:color w:val="000000" w:themeColor="text1"/>
          <w:sz w:val="24"/>
          <w:szCs w:val="24"/>
          <w:shd w:val="clear" w:color="auto" w:fill="FFFFFF"/>
        </w:rPr>
        <w:t>35</w:t>
      </w:r>
      <w:r w:rsidRPr="00900E5B">
        <w:rPr>
          <w:rFonts w:ascii="Times New Roman" w:hAnsi="Times New Roman" w:cs="Times New Roman"/>
          <w:color w:val="000000" w:themeColor="text1"/>
          <w:sz w:val="24"/>
          <w:szCs w:val="24"/>
          <w:shd w:val="clear" w:color="auto" w:fill="FFFFFF"/>
        </w:rPr>
        <w:t>(1), 17-40.</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t>Lei, C. (2025). Analysis of Tesla International Strategies. In </w:t>
      </w:r>
      <w:r w:rsidRPr="00900E5B">
        <w:rPr>
          <w:rFonts w:ascii="Times New Roman" w:hAnsi="Times New Roman" w:cs="Times New Roman"/>
          <w:i/>
          <w:iCs/>
          <w:color w:val="000000" w:themeColor="text1"/>
          <w:sz w:val="24"/>
          <w:szCs w:val="24"/>
          <w:shd w:val="clear" w:color="auto" w:fill="FFFFFF"/>
        </w:rPr>
        <w:t>Sustainable Data Management: Navigating Big Data, Communication Technology, and Business Digital Leadership. Volume 1</w:t>
      </w:r>
      <w:r w:rsidRPr="00900E5B">
        <w:rPr>
          <w:rFonts w:ascii="Times New Roman" w:hAnsi="Times New Roman" w:cs="Times New Roman"/>
          <w:color w:val="000000" w:themeColor="text1"/>
          <w:sz w:val="24"/>
          <w:szCs w:val="24"/>
          <w:shd w:val="clear" w:color="auto" w:fill="FFFFFF"/>
        </w:rPr>
        <w:t> (pp. 237-246). Cham: Springer Nature Switzerland.</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t>Li, Y. (2025, February). Financial Analysis of the Company Tesla. In </w:t>
      </w:r>
      <w:r w:rsidRPr="00900E5B">
        <w:rPr>
          <w:rFonts w:ascii="Times New Roman" w:hAnsi="Times New Roman" w:cs="Times New Roman"/>
          <w:i/>
          <w:iCs/>
          <w:color w:val="000000" w:themeColor="text1"/>
          <w:sz w:val="24"/>
          <w:szCs w:val="24"/>
          <w:shd w:val="clear" w:color="auto" w:fill="FFFFFF"/>
        </w:rPr>
        <w:t>International Workshop on Navigating the Digital Business Frontier for Sustainable Financial Innovation (ICDEBA 2024)</w:t>
      </w:r>
      <w:r w:rsidRPr="00900E5B">
        <w:rPr>
          <w:rFonts w:ascii="Times New Roman" w:hAnsi="Times New Roman" w:cs="Times New Roman"/>
          <w:color w:val="000000" w:themeColor="text1"/>
          <w:sz w:val="24"/>
          <w:szCs w:val="24"/>
          <w:shd w:val="clear" w:color="auto" w:fill="FFFFFF"/>
        </w:rPr>
        <w:t> (pp. 566-575). Atlantis Press.</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t>Liu, J. (2022, December). Research on the Tesla's Business Model Analysis. In </w:t>
      </w:r>
      <w:r w:rsidRPr="00900E5B">
        <w:rPr>
          <w:rFonts w:ascii="Times New Roman" w:hAnsi="Times New Roman" w:cs="Times New Roman"/>
          <w:i/>
          <w:iCs/>
          <w:color w:val="000000" w:themeColor="text1"/>
          <w:sz w:val="24"/>
          <w:szCs w:val="24"/>
          <w:shd w:val="clear" w:color="auto" w:fill="FFFFFF"/>
        </w:rPr>
        <w:t>2022 4th International Conference on Economic Management and Cultural Industry (ICEMCI 2022)</w:t>
      </w:r>
      <w:r w:rsidRPr="00900E5B">
        <w:rPr>
          <w:rFonts w:ascii="Times New Roman" w:hAnsi="Times New Roman" w:cs="Times New Roman"/>
          <w:color w:val="000000" w:themeColor="text1"/>
          <w:sz w:val="24"/>
          <w:szCs w:val="24"/>
          <w:shd w:val="clear" w:color="auto" w:fill="FFFFFF"/>
        </w:rPr>
        <w:t> (pp. 828-835). Atlantis Press.</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t xml:space="preserve">Qin, Y., Xiao, Y., </w:t>
      </w:r>
      <w:r>
        <w:rPr>
          <w:rFonts w:ascii="Times New Roman" w:hAnsi="Times New Roman" w:cs="Times New Roman"/>
          <w:color w:val="000000" w:themeColor="text1"/>
          <w:sz w:val="24"/>
          <w:szCs w:val="24"/>
          <w:shd w:val="clear" w:color="auto" w:fill="FFFFFF"/>
        </w:rPr>
        <w:t>and</w:t>
      </w:r>
      <w:r w:rsidRPr="00900E5B">
        <w:rPr>
          <w:rFonts w:ascii="Times New Roman" w:hAnsi="Times New Roman" w:cs="Times New Roman"/>
          <w:color w:val="000000" w:themeColor="text1"/>
          <w:sz w:val="24"/>
          <w:szCs w:val="24"/>
          <w:shd w:val="clear" w:color="auto" w:fill="FFFFFF"/>
        </w:rPr>
        <w:t xml:space="preserve"> Yuan, J. (2021, September). The comprehensive competitiveness of Tesla based on financial analysis: A case study. In </w:t>
      </w:r>
      <w:r w:rsidRPr="00900E5B">
        <w:rPr>
          <w:rFonts w:ascii="Times New Roman" w:hAnsi="Times New Roman" w:cs="Times New Roman"/>
          <w:i/>
          <w:iCs/>
          <w:color w:val="000000" w:themeColor="text1"/>
          <w:sz w:val="24"/>
          <w:szCs w:val="24"/>
          <w:shd w:val="clear" w:color="auto" w:fill="FFFFFF"/>
        </w:rPr>
        <w:t>2021 International Conference on Financial Management and Economic Transition (FMET 2021)</w:t>
      </w:r>
      <w:r w:rsidRPr="00900E5B">
        <w:rPr>
          <w:rFonts w:ascii="Times New Roman" w:hAnsi="Times New Roman" w:cs="Times New Roman"/>
          <w:color w:val="000000" w:themeColor="text1"/>
          <w:sz w:val="24"/>
          <w:szCs w:val="24"/>
          <w:shd w:val="clear" w:color="auto" w:fill="FFFFFF"/>
        </w:rPr>
        <w:t> (pp. 462-469). Atlantis Press.</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t xml:space="preserve">Rashid, M. M., Ali, M. M., </w:t>
      </w:r>
      <w:r>
        <w:rPr>
          <w:rFonts w:ascii="Times New Roman" w:hAnsi="Times New Roman" w:cs="Times New Roman"/>
          <w:color w:val="000000" w:themeColor="text1"/>
          <w:sz w:val="24"/>
          <w:szCs w:val="24"/>
          <w:shd w:val="clear" w:color="auto" w:fill="FFFFFF"/>
        </w:rPr>
        <w:t>and</w:t>
      </w:r>
      <w:r w:rsidRPr="00900E5B">
        <w:rPr>
          <w:rFonts w:ascii="Times New Roman" w:hAnsi="Times New Roman" w:cs="Times New Roman"/>
          <w:color w:val="000000" w:themeColor="text1"/>
          <w:sz w:val="24"/>
          <w:szCs w:val="24"/>
          <w:shd w:val="clear" w:color="auto" w:fill="FFFFFF"/>
        </w:rPr>
        <w:t xml:space="preserve"> Hossain, D. M. (2021). Strategic management accounting practices: a literature review and opportunity for future research. </w:t>
      </w:r>
      <w:r w:rsidRPr="00900E5B">
        <w:rPr>
          <w:rFonts w:ascii="Times New Roman" w:hAnsi="Times New Roman" w:cs="Times New Roman"/>
          <w:i/>
          <w:iCs/>
          <w:color w:val="000000" w:themeColor="text1"/>
          <w:sz w:val="24"/>
          <w:szCs w:val="24"/>
          <w:shd w:val="clear" w:color="auto" w:fill="FFFFFF"/>
        </w:rPr>
        <w:t>Asian Journal of Accounting Research</w:t>
      </w:r>
      <w:r w:rsidRPr="00900E5B">
        <w:rPr>
          <w:rFonts w:ascii="Times New Roman" w:hAnsi="Times New Roman" w:cs="Times New Roman"/>
          <w:color w:val="000000" w:themeColor="text1"/>
          <w:sz w:val="24"/>
          <w:szCs w:val="24"/>
          <w:shd w:val="clear" w:color="auto" w:fill="FFFFFF"/>
        </w:rPr>
        <w:t>, </w:t>
      </w:r>
      <w:r w:rsidRPr="00900E5B">
        <w:rPr>
          <w:rFonts w:ascii="Times New Roman" w:hAnsi="Times New Roman" w:cs="Times New Roman"/>
          <w:i/>
          <w:iCs/>
          <w:color w:val="000000" w:themeColor="text1"/>
          <w:sz w:val="24"/>
          <w:szCs w:val="24"/>
          <w:shd w:val="clear" w:color="auto" w:fill="FFFFFF"/>
        </w:rPr>
        <w:t>6</w:t>
      </w:r>
      <w:r w:rsidRPr="00900E5B">
        <w:rPr>
          <w:rFonts w:ascii="Times New Roman" w:hAnsi="Times New Roman" w:cs="Times New Roman"/>
          <w:color w:val="000000" w:themeColor="text1"/>
          <w:sz w:val="24"/>
          <w:szCs w:val="24"/>
          <w:shd w:val="clear" w:color="auto" w:fill="FFFFFF"/>
        </w:rPr>
        <w:t>(1), 109-132.</w:t>
      </w:r>
    </w:p>
    <w:p w:rsidR="00E1485A" w:rsidRPr="00900E5B" w:rsidRDefault="00E1485A" w:rsidP="00E1485A">
      <w:pPr>
        <w:spacing w:line="360" w:lineRule="auto"/>
        <w:jc w:val="both"/>
        <w:rPr>
          <w:rFonts w:ascii="Times New Roman" w:hAnsi="Times New Roman" w:cs="Times New Roman"/>
          <w:color w:val="000000" w:themeColor="text1"/>
          <w:sz w:val="24"/>
          <w:szCs w:val="24"/>
          <w:shd w:val="clear" w:color="auto" w:fill="FFFFFF"/>
        </w:rPr>
      </w:pPr>
      <w:r w:rsidRPr="00900E5B">
        <w:rPr>
          <w:rFonts w:ascii="Times New Roman" w:hAnsi="Times New Roman" w:cs="Times New Roman"/>
          <w:color w:val="000000" w:themeColor="text1"/>
          <w:sz w:val="24"/>
          <w:szCs w:val="24"/>
          <w:shd w:val="clear" w:color="auto" w:fill="FFFFFF"/>
        </w:rPr>
        <w:lastRenderedPageBreak/>
        <w:t>Wang, X. (2023, August). Financial Analysis and Strategic Forecast of Tesla, Inc. In </w:t>
      </w:r>
      <w:r w:rsidRPr="00900E5B">
        <w:rPr>
          <w:rFonts w:ascii="Times New Roman" w:hAnsi="Times New Roman" w:cs="Times New Roman"/>
          <w:i/>
          <w:iCs/>
          <w:color w:val="000000" w:themeColor="text1"/>
          <w:sz w:val="24"/>
          <w:szCs w:val="24"/>
          <w:shd w:val="clear" w:color="auto" w:fill="FFFFFF"/>
        </w:rPr>
        <w:t>International Conference on Economic Management and Green Development</w:t>
      </w:r>
      <w:r w:rsidRPr="00900E5B">
        <w:rPr>
          <w:rFonts w:ascii="Times New Roman" w:hAnsi="Times New Roman" w:cs="Times New Roman"/>
          <w:color w:val="000000" w:themeColor="text1"/>
          <w:sz w:val="24"/>
          <w:szCs w:val="24"/>
          <w:shd w:val="clear" w:color="auto" w:fill="FFFFFF"/>
        </w:rPr>
        <w:t> (pp. 1831-1841). Singapore: Springer Nature Singapore.</w:t>
      </w:r>
    </w:p>
    <w:p w:rsidR="00833480" w:rsidRPr="00900E5B" w:rsidRDefault="00EB71E3" w:rsidP="00900E5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9C3DF9" w:rsidRPr="00900E5B" w:rsidRDefault="009C3DF9" w:rsidP="00900E5B">
      <w:pPr>
        <w:spacing w:line="360" w:lineRule="auto"/>
        <w:jc w:val="both"/>
        <w:rPr>
          <w:rFonts w:ascii="Times New Roman" w:hAnsi="Times New Roman" w:cs="Times New Roman"/>
          <w:color w:val="000000" w:themeColor="text1"/>
          <w:sz w:val="24"/>
          <w:szCs w:val="24"/>
        </w:rPr>
      </w:pPr>
    </w:p>
    <w:p w:rsidR="000A63F6" w:rsidRPr="00900E5B" w:rsidRDefault="000A63F6" w:rsidP="00900E5B">
      <w:pPr>
        <w:spacing w:line="360" w:lineRule="auto"/>
        <w:jc w:val="both"/>
        <w:rPr>
          <w:rFonts w:ascii="Times New Roman" w:hAnsi="Times New Roman" w:cs="Times New Roman"/>
          <w:color w:val="000000" w:themeColor="text1"/>
          <w:sz w:val="24"/>
          <w:szCs w:val="24"/>
        </w:rPr>
      </w:pPr>
    </w:p>
    <w:p w:rsidR="00925BF0" w:rsidRPr="00900E5B" w:rsidRDefault="00925BF0" w:rsidP="00900E5B">
      <w:pPr>
        <w:spacing w:line="360" w:lineRule="auto"/>
        <w:jc w:val="both"/>
        <w:rPr>
          <w:rFonts w:ascii="Times New Roman" w:hAnsi="Times New Roman" w:cs="Times New Roman"/>
          <w:color w:val="000000" w:themeColor="text1"/>
          <w:sz w:val="24"/>
          <w:szCs w:val="24"/>
        </w:rPr>
      </w:pPr>
    </w:p>
    <w:p w:rsidR="00E95F0E" w:rsidRPr="00900E5B" w:rsidRDefault="00E95F0E" w:rsidP="00900E5B">
      <w:pPr>
        <w:spacing w:line="360" w:lineRule="auto"/>
        <w:jc w:val="both"/>
        <w:rPr>
          <w:rFonts w:ascii="Times New Roman" w:eastAsia="Times New Roman" w:hAnsi="Times New Roman" w:cs="Times New Roman"/>
          <w:color w:val="000000" w:themeColor="text1"/>
          <w:sz w:val="24"/>
          <w:szCs w:val="24"/>
        </w:rPr>
      </w:pPr>
    </w:p>
    <w:p w:rsidR="00B27A77" w:rsidRPr="00900E5B" w:rsidRDefault="00B27A77" w:rsidP="00900E5B">
      <w:pPr>
        <w:spacing w:line="360" w:lineRule="auto"/>
        <w:jc w:val="both"/>
        <w:rPr>
          <w:rFonts w:ascii="Times New Roman" w:hAnsi="Times New Roman" w:cs="Times New Roman"/>
          <w:color w:val="000000" w:themeColor="text1"/>
          <w:sz w:val="24"/>
          <w:szCs w:val="24"/>
        </w:rPr>
      </w:pPr>
    </w:p>
    <w:sectPr w:rsidR="00B27A77" w:rsidRPr="00900E5B" w:rsidSect="00E70B29">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146A" w:rsidRDefault="0086146A" w:rsidP="003022D6">
      <w:pPr>
        <w:spacing w:after="0" w:line="240" w:lineRule="auto"/>
      </w:pPr>
      <w:r>
        <w:separator/>
      </w:r>
    </w:p>
  </w:endnote>
  <w:endnote w:type="continuationSeparator" w:id="1">
    <w:p w:rsidR="0086146A" w:rsidRDefault="0086146A" w:rsidP="003022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58468"/>
      <w:docPartObj>
        <w:docPartGallery w:val="Page Numbers (Bottom of Page)"/>
        <w:docPartUnique/>
      </w:docPartObj>
    </w:sdtPr>
    <w:sdtContent>
      <w:p w:rsidR="003022D6" w:rsidRDefault="003022D6">
        <w:pPr>
          <w:pStyle w:val="Footer"/>
          <w:jc w:val="right"/>
        </w:pPr>
        <w:fldSimple w:instr=" PAGE   \* MERGEFORMAT ">
          <w:r w:rsidR="00EB71E3">
            <w:rPr>
              <w:noProof/>
            </w:rPr>
            <w:t>10</w:t>
          </w:r>
        </w:fldSimple>
      </w:p>
    </w:sdtContent>
  </w:sdt>
  <w:p w:rsidR="003022D6" w:rsidRDefault="003022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146A" w:rsidRDefault="0086146A" w:rsidP="003022D6">
      <w:pPr>
        <w:spacing w:after="0" w:line="240" w:lineRule="auto"/>
      </w:pPr>
      <w:r>
        <w:separator/>
      </w:r>
    </w:p>
  </w:footnote>
  <w:footnote w:type="continuationSeparator" w:id="1">
    <w:p w:rsidR="0086146A" w:rsidRDefault="0086146A" w:rsidP="003022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E30C2"/>
    <w:multiLevelType w:val="hybridMultilevel"/>
    <w:tmpl w:val="68CA6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040414"/>
    <w:multiLevelType w:val="multilevel"/>
    <w:tmpl w:val="6354E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C3C2116"/>
    <w:multiLevelType w:val="multilevel"/>
    <w:tmpl w:val="5B6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DE2600"/>
    <w:rsid w:val="00032689"/>
    <w:rsid w:val="00067E34"/>
    <w:rsid w:val="000A63F6"/>
    <w:rsid w:val="000A6A29"/>
    <w:rsid w:val="000B40FC"/>
    <w:rsid w:val="000D571B"/>
    <w:rsid w:val="000F7C01"/>
    <w:rsid w:val="0011016F"/>
    <w:rsid w:val="00222924"/>
    <w:rsid w:val="00234449"/>
    <w:rsid w:val="002545A2"/>
    <w:rsid w:val="002F3E1B"/>
    <w:rsid w:val="003022D6"/>
    <w:rsid w:val="00330850"/>
    <w:rsid w:val="00375E6D"/>
    <w:rsid w:val="00387E2D"/>
    <w:rsid w:val="0042314D"/>
    <w:rsid w:val="004878F8"/>
    <w:rsid w:val="004C10D5"/>
    <w:rsid w:val="004C619B"/>
    <w:rsid w:val="004D3636"/>
    <w:rsid w:val="004F4245"/>
    <w:rsid w:val="00545D22"/>
    <w:rsid w:val="00573E3B"/>
    <w:rsid w:val="005779A6"/>
    <w:rsid w:val="005B44BE"/>
    <w:rsid w:val="005C0833"/>
    <w:rsid w:val="005C14B0"/>
    <w:rsid w:val="005D3682"/>
    <w:rsid w:val="00640FFE"/>
    <w:rsid w:val="006634E9"/>
    <w:rsid w:val="006B1DA6"/>
    <w:rsid w:val="006D0A01"/>
    <w:rsid w:val="007800A6"/>
    <w:rsid w:val="007C305E"/>
    <w:rsid w:val="00833480"/>
    <w:rsid w:val="0086146A"/>
    <w:rsid w:val="00886B58"/>
    <w:rsid w:val="008A395C"/>
    <w:rsid w:val="00900E5B"/>
    <w:rsid w:val="00925BF0"/>
    <w:rsid w:val="0095443E"/>
    <w:rsid w:val="0096246D"/>
    <w:rsid w:val="00966085"/>
    <w:rsid w:val="009A4E18"/>
    <w:rsid w:val="009C3DF9"/>
    <w:rsid w:val="009D404A"/>
    <w:rsid w:val="00B00B87"/>
    <w:rsid w:val="00B27A77"/>
    <w:rsid w:val="00B33F4D"/>
    <w:rsid w:val="00B503A0"/>
    <w:rsid w:val="00C01E9C"/>
    <w:rsid w:val="00C36073"/>
    <w:rsid w:val="00C53BD1"/>
    <w:rsid w:val="00C77CEB"/>
    <w:rsid w:val="00CB3D3B"/>
    <w:rsid w:val="00D154F4"/>
    <w:rsid w:val="00DE2600"/>
    <w:rsid w:val="00E1485A"/>
    <w:rsid w:val="00E6773F"/>
    <w:rsid w:val="00E70B29"/>
    <w:rsid w:val="00E80683"/>
    <w:rsid w:val="00E95F0E"/>
    <w:rsid w:val="00EB4D5B"/>
    <w:rsid w:val="00EB71E3"/>
    <w:rsid w:val="00F15E9D"/>
    <w:rsid w:val="00F94208"/>
    <w:rsid w:val="00FD7627"/>
    <w:rsid w:val="00FE56DE"/>
    <w:rsid w:val="00FF56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B29"/>
  </w:style>
  <w:style w:type="paragraph" w:styleId="Heading1">
    <w:name w:val="heading 1"/>
    <w:basedOn w:val="Normal"/>
    <w:next w:val="Normal"/>
    <w:link w:val="Heading1Char"/>
    <w:uiPriority w:val="9"/>
    <w:qFormat/>
    <w:rsid w:val="00900E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925BF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5F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5F0E"/>
    <w:rPr>
      <w:b/>
      <w:bCs/>
    </w:rPr>
  </w:style>
  <w:style w:type="character" w:customStyle="1" w:styleId="ms-1">
    <w:name w:val="ms-1"/>
    <w:basedOn w:val="DefaultParagraphFont"/>
    <w:rsid w:val="00E95F0E"/>
  </w:style>
  <w:style w:type="character" w:customStyle="1" w:styleId="max-w-15ch">
    <w:name w:val="max-w-[15ch]"/>
    <w:basedOn w:val="DefaultParagraphFont"/>
    <w:rsid w:val="00E95F0E"/>
  </w:style>
  <w:style w:type="table" w:styleId="TableGrid">
    <w:name w:val="Table Grid"/>
    <w:basedOn w:val="TableNormal"/>
    <w:uiPriority w:val="59"/>
    <w:rsid w:val="00E95F0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E95F0E"/>
    <w:rPr>
      <w:color w:val="0000FF"/>
      <w:u w:val="single"/>
    </w:rPr>
  </w:style>
  <w:style w:type="character" w:styleId="Emphasis">
    <w:name w:val="Emphasis"/>
    <w:basedOn w:val="DefaultParagraphFont"/>
    <w:uiPriority w:val="20"/>
    <w:qFormat/>
    <w:rsid w:val="00E95F0E"/>
    <w:rPr>
      <w:i/>
      <w:iCs/>
    </w:rPr>
  </w:style>
  <w:style w:type="character" w:customStyle="1" w:styleId="Heading3Char">
    <w:name w:val="Heading 3 Char"/>
    <w:basedOn w:val="DefaultParagraphFont"/>
    <w:link w:val="Heading3"/>
    <w:uiPriority w:val="9"/>
    <w:rsid w:val="00925BF0"/>
    <w:rPr>
      <w:rFonts w:ascii="Times New Roman" w:eastAsia="Times New Roman" w:hAnsi="Times New Roman" w:cs="Times New Roman"/>
      <w:b/>
      <w:bCs/>
      <w:sz w:val="27"/>
      <w:szCs w:val="27"/>
    </w:rPr>
  </w:style>
  <w:style w:type="paragraph" w:styleId="ListParagraph">
    <w:name w:val="List Paragraph"/>
    <w:basedOn w:val="Normal"/>
    <w:uiPriority w:val="34"/>
    <w:qFormat/>
    <w:rsid w:val="00C77CEB"/>
    <w:pPr>
      <w:ind w:left="720"/>
      <w:contextualSpacing/>
    </w:pPr>
  </w:style>
  <w:style w:type="character" w:customStyle="1" w:styleId="Heading1Char">
    <w:name w:val="Heading 1 Char"/>
    <w:basedOn w:val="DefaultParagraphFont"/>
    <w:link w:val="Heading1"/>
    <w:uiPriority w:val="9"/>
    <w:rsid w:val="00900E5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00E5B"/>
    <w:pPr>
      <w:outlineLvl w:val="9"/>
    </w:pPr>
  </w:style>
  <w:style w:type="paragraph" w:styleId="TOC1">
    <w:name w:val="toc 1"/>
    <w:basedOn w:val="Normal"/>
    <w:next w:val="Normal"/>
    <w:autoRedefine/>
    <w:uiPriority w:val="39"/>
    <w:unhideWhenUsed/>
    <w:rsid w:val="00900E5B"/>
    <w:pPr>
      <w:spacing w:after="100"/>
    </w:pPr>
  </w:style>
  <w:style w:type="paragraph" w:styleId="TOC3">
    <w:name w:val="toc 3"/>
    <w:basedOn w:val="Normal"/>
    <w:next w:val="Normal"/>
    <w:autoRedefine/>
    <w:uiPriority w:val="39"/>
    <w:unhideWhenUsed/>
    <w:rsid w:val="00900E5B"/>
    <w:pPr>
      <w:spacing w:after="100"/>
      <w:ind w:left="440"/>
    </w:pPr>
  </w:style>
  <w:style w:type="paragraph" w:styleId="BalloonText">
    <w:name w:val="Balloon Text"/>
    <w:basedOn w:val="Normal"/>
    <w:link w:val="BalloonTextChar"/>
    <w:uiPriority w:val="99"/>
    <w:semiHidden/>
    <w:unhideWhenUsed/>
    <w:rsid w:val="00900E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E5B"/>
    <w:rPr>
      <w:rFonts w:ascii="Tahoma" w:hAnsi="Tahoma" w:cs="Tahoma"/>
      <w:sz w:val="16"/>
      <w:szCs w:val="16"/>
    </w:rPr>
  </w:style>
  <w:style w:type="paragraph" w:styleId="Header">
    <w:name w:val="header"/>
    <w:basedOn w:val="Normal"/>
    <w:link w:val="HeaderChar"/>
    <w:uiPriority w:val="99"/>
    <w:semiHidden/>
    <w:unhideWhenUsed/>
    <w:rsid w:val="003022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022D6"/>
  </w:style>
  <w:style w:type="paragraph" w:styleId="Footer">
    <w:name w:val="footer"/>
    <w:basedOn w:val="Normal"/>
    <w:link w:val="FooterChar"/>
    <w:uiPriority w:val="99"/>
    <w:unhideWhenUsed/>
    <w:rsid w:val="00302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2D6"/>
  </w:style>
</w:styles>
</file>

<file path=word/webSettings.xml><?xml version="1.0" encoding="utf-8"?>
<w:webSettings xmlns:r="http://schemas.openxmlformats.org/officeDocument/2006/relationships" xmlns:w="http://schemas.openxmlformats.org/wordprocessingml/2006/main">
  <w:divs>
    <w:div w:id="99112301">
      <w:bodyDiv w:val="1"/>
      <w:marLeft w:val="0"/>
      <w:marRight w:val="0"/>
      <w:marTop w:val="0"/>
      <w:marBottom w:val="0"/>
      <w:divBdr>
        <w:top w:val="none" w:sz="0" w:space="0" w:color="auto"/>
        <w:left w:val="none" w:sz="0" w:space="0" w:color="auto"/>
        <w:bottom w:val="none" w:sz="0" w:space="0" w:color="auto"/>
        <w:right w:val="none" w:sz="0" w:space="0" w:color="auto"/>
      </w:divBdr>
    </w:div>
    <w:div w:id="246381456">
      <w:bodyDiv w:val="1"/>
      <w:marLeft w:val="0"/>
      <w:marRight w:val="0"/>
      <w:marTop w:val="0"/>
      <w:marBottom w:val="0"/>
      <w:divBdr>
        <w:top w:val="none" w:sz="0" w:space="0" w:color="auto"/>
        <w:left w:val="none" w:sz="0" w:space="0" w:color="auto"/>
        <w:bottom w:val="none" w:sz="0" w:space="0" w:color="auto"/>
        <w:right w:val="none" w:sz="0" w:space="0" w:color="auto"/>
      </w:divBdr>
    </w:div>
    <w:div w:id="289942176">
      <w:bodyDiv w:val="1"/>
      <w:marLeft w:val="0"/>
      <w:marRight w:val="0"/>
      <w:marTop w:val="0"/>
      <w:marBottom w:val="0"/>
      <w:divBdr>
        <w:top w:val="none" w:sz="0" w:space="0" w:color="auto"/>
        <w:left w:val="none" w:sz="0" w:space="0" w:color="auto"/>
        <w:bottom w:val="none" w:sz="0" w:space="0" w:color="auto"/>
        <w:right w:val="none" w:sz="0" w:space="0" w:color="auto"/>
      </w:divBdr>
      <w:divsChild>
        <w:div w:id="31418459">
          <w:marLeft w:val="0"/>
          <w:marRight w:val="0"/>
          <w:marTop w:val="0"/>
          <w:marBottom w:val="0"/>
          <w:divBdr>
            <w:top w:val="none" w:sz="0" w:space="0" w:color="auto"/>
            <w:left w:val="none" w:sz="0" w:space="0" w:color="auto"/>
            <w:bottom w:val="none" w:sz="0" w:space="0" w:color="auto"/>
            <w:right w:val="none" w:sz="0" w:space="0" w:color="auto"/>
          </w:divBdr>
          <w:divsChild>
            <w:div w:id="31090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360963">
      <w:bodyDiv w:val="1"/>
      <w:marLeft w:val="0"/>
      <w:marRight w:val="0"/>
      <w:marTop w:val="0"/>
      <w:marBottom w:val="0"/>
      <w:divBdr>
        <w:top w:val="none" w:sz="0" w:space="0" w:color="auto"/>
        <w:left w:val="none" w:sz="0" w:space="0" w:color="auto"/>
        <w:bottom w:val="none" w:sz="0" w:space="0" w:color="auto"/>
        <w:right w:val="none" w:sz="0" w:space="0" w:color="auto"/>
      </w:divBdr>
      <w:divsChild>
        <w:div w:id="1362240940">
          <w:marLeft w:val="0"/>
          <w:marRight w:val="0"/>
          <w:marTop w:val="0"/>
          <w:marBottom w:val="0"/>
          <w:divBdr>
            <w:top w:val="none" w:sz="0" w:space="0" w:color="auto"/>
            <w:left w:val="none" w:sz="0" w:space="0" w:color="auto"/>
            <w:bottom w:val="none" w:sz="0" w:space="0" w:color="auto"/>
            <w:right w:val="none" w:sz="0" w:space="0" w:color="auto"/>
          </w:divBdr>
          <w:divsChild>
            <w:div w:id="21026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58239">
      <w:bodyDiv w:val="1"/>
      <w:marLeft w:val="0"/>
      <w:marRight w:val="0"/>
      <w:marTop w:val="0"/>
      <w:marBottom w:val="0"/>
      <w:divBdr>
        <w:top w:val="none" w:sz="0" w:space="0" w:color="auto"/>
        <w:left w:val="none" w:sz="0" w:space="0" w:color="auto"/>
        <w:bottom w:val="none" w:sz="0" w:space="0" w:color="auto"/>
        <w:right w:val="none" w:sz="0" w:space="0" w:color="auto"/>
      </w:divBdr>
    </w:div>
    <w:div w:id="528570380">
      <w:bodyDiv w:val="1"/>
      <w:marLeft w:val="0"/>
      <w:marRight w:val="0"/>
      <w:marTop w:val="0"/>
      <w:marBottom w:val="0"/>
      <w:divBdr>
        <w:top w:val="none" w:sz="0" w:space="0" w:color="auto"/>
        <w:left w:val="none" w:sz="0" w:space="0" w:color="auto"/>
        <w:bottom w:val="none" w:sz="0" w:space="0" w:color="auto"/>
        <w:right w:val="none" w:sz="0" w:space="0" w:color="auto"/>
      </w:divBdr>
    </w:div>
    <w:div w:id="565379509">
      <w:bodyDiv w:val="1"/>
      <w:marLeft w:val="0"/>
      <w:marRight w:val="0"/>
      <w:marTop w:val="0"/>
      <w:marBottom w:val="0"/>
      <w:divBdr>
        <w:top w:val="none" w:sz="0" w:space="0" w:color="auto"/>
        <w:left w:val="none" w:sz="0" w:space="0" w:color="auto"/>
        <w:bottom w:val="none" w:sz="0" w:space="0" w:color="auto"/>
        <w:right w:val="none" w:sz="0" w:space="0" w:color="auto"/>
      </w:divBdr>
      <w:divsChild>
        <w:div w:id="702948942">
          <w:marLeft w:val="0"/>
          <w:marRight w:val="0"/>
          <w:marTop w:val="0"/>
          <w:marBottom w:val="0"/>
          <w:divBdr>
            <w:top w:val="none" w:sz="0" w:space="0" w:color="auto"/>
            <w:left w:val="none" w:sz="0" w:space="0" w:color="auto"/>
            <w:bottom w:val="none" w:sz="0" w:space="0" w:color="auto"/>
            <w:right w:val="none" w:sz="0" w:space="0" w:color="auto"/>
          </w:divBdr>
          <w:divsChild>
            <w:div w:id="184820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868226">
      <w:bodyDiv w:val="1"/>
      <w:marLeft w:val="0"/>
      <w:marRight w:val="0"/>
      <w:marTop w:val="0"/>
      <w:marBottom w:val="0"/>
      <w:divBdr>
        <w:top w:val="none" w:sz="0" w:space="0" w:color="auto"/>
        <w:left w:val="none" w:sz="0" w:space="0" w:color="auto"/>
        <w:bottom w:val="none" w:sz="0" w:space="0" w:color="auto"/>
        <w:right w:val="none" w:sz="0" w:space="0" w:color="auto"/>
      </w:divBdr>
    </w:div>
    <w:div w:id="835805743">
      <w:bodyDiv w:val="1"/>
      <w:marLeft w:val="0"/>
      <w:marRight w:val="0"/>
      <w:marTop w:val="0"/>
      <w:marBottom w:val="0"/>
      <w:divBdr>
        <w:top w:val="none" w:sz="0" w:space="0" w:color="auto"/>
        <w:left w:val="none" w:sz="0" w:space="0" w:color="auto"/>
        <w:bottom w:val="none" w:sz="0" w:space="0" w:color="auto"/>
        <w:right w:val="none" w:sz="0" w:space="0" w:color="auto"/>
      </w:divBdr>
    </w:div>
    <w:div w:id="990790093">
      <w:bodyDiv w:val="1"/>
      <w:marLeft w:val="0"/>
      <w:marRight w:val="0"/>
      <w:marTop w:val="0"/>
      <w:marBottom w:val="0"/>
      <w:divBdr>
        <w:top w:val="none" w:sz="0" w:space="0" w:color="auto"/>
        <w:left w:val="none" w:sz="0" w:space="0" w:color="auto"/>
        <w:bottom w:val="none" w:sz="0" w:space="0" w:color="auto"/>
        <w:right w:val="none" w:sz="0" w:space="0" w:color="auto"/>
      </w:divBdr>
    </w:div>
    <w:div w:id="1138768780">
      <w:bodyDiv w:val="1"/>
      <w:marLeft w:val="0"/>
      <w:marRight w:val="0"/>
      <w:marTop w:val="0"/>
      <w:marBottom w:val="0"/>
      <w:divBdr>
        <w:top w:val="none" w:sz="0" w:space="0" w:color="auto"/>
        <w:left w:val="none" w:sz="0" w:space="0" w:color="auto"/>
        <w:bottom w:val="none" w:sz="0" w:space="0" w:color="auto"/>
        <w:right w:val="none" w:sz="0" w:space="0" w:color="auto"/>
      </w:divBdr>
      <w:divsChild>
        <w:div w:id="577792853">
          <w:marLeft w:val="0"/>
          <w:marRight w:val="0"/>
          <w:marTop w:val="0"/>
          <w:marBottom w:val="0"/>
          <w:divBdr>
            <w:top w:val="none" w:sz="0" w:space="0" w:color="auto"/>
            <w:left w:val="none" w:sz="0" w:space="0" w:color="auto"/>
            <w:bottom w:val="none" w:sz="0" w:space="0" w:color="auto"/>
            <w:right w:val="none" w:sz="0" w:space="0" w:color="auto"/>
          </w:divBdr>
          <w:divsChild>
            <w:div w:id="123569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75996">
      <w:bodyDiv w:val="1"/>
      <w:marLeft w:val="0"/>
      <w:marRight w:val="0"/>
      <w:marTop w:val="0"/>
      <w:marBottom w:val="0"/>
      <w:divBdr>
        <w:top w:val="none" w:sz="0" w:space="0" w:color="auto"/>
        <w:left w:val="none" w:sz="0" w:space="0" w:color="auto"/>
        <w:bottom w:val="none" w:sz="0" w:space="0" w:color="auto"/>
        <w:right w:val="none" w:sz="0" w:space="0" w:color="auto"/>
      </w:divBdr>
    </w:div>
    <w:div w:id="1290361741">
      <w:bodyDiv w:val="1"/>
      <w:marLeft w:val="0"/>
      <w:marRight w:val="0"/>
      <w:marTop w:val="0"/>
      <w:marBottom w:val="0"/>
      <w:divBdr>
        <w:top w:val="none" w:sz="0" w:space="0" w:color="auto"/>
        <w:left w:val="none" w:sz="0" w:space="0" w:color="auto"/>
        <w:bottom w:val="none" w:sz="0" w:space="0" w:color="auto"/>
        <w:right w:val="none" w:sz="0" w:space="0" w:color="auto"/>
      </w:divBdr>
    </w:div>
    <w:div w:id="1349330502">
      <w:bodyDiv w:val="1"/>
      <w:marLeft w:val="0"/>
      <w:marRight w:val="0"/>
      <w:marTop w:val="0"/>
      <w:marBottom w:val="0"/>
      <w:divBdr>
        <w:top w:val="none" w:sz="0" w:space="0" w:color="auto"/>
        <w:left w:val="none" w:sz="0" w:space="0" w:color="auto"/>
        <w:bottom w:val="none" w:sz="0" w:space="0" w:color="auto"/>
        <w:right w:val="none" w:sz="0" w:space="0" w:color="auto"/>
      </w:divBdr>
    </w:div>
    <w:div w:id="1459688652">
      <w:bodyDiv w:val="1"/>
      <w:marLeft w:val="0"/>
      <w:marRight w:val="0"/>
      <w:marTop w:val="0"/>
      <w:marBottom w:val="0"/>
      <w:divBdr>
        <w:top w:val="none" w:sz="0" w:space="0" w:color="auto"/>
        <w:left w:val="none" w:sz="0" w:space="0" w:color="auto"/>
        <w:bottom w:val="none" w:sz="0" w:space="0" w:color="auto"/>
        <w:right w:val="none" w:sz="0" w:space="0" w:color="auto"/>
      </w:divBdr>
    </w:div>
    <w:div w:id="1650555915">
      <w:bodyDiv w:val="1"/>
      <w:marLeft w:val="0"/>
      <w:marRight w:val="0"/>
      <w:marTop w:val="0"/>
      <w:marBottom w:val="0"/>
      <w:divBdr>
        <w:top w:val="none" w:sz="0" w:space="0" w:color="auto"/>
        <w:left w:val="none" w:sz="0" w:space="0" w:color="auto"/>
        <w:bottom w:val="none" w:sz="0" w:space="0" w:color="auto"/>
        <w:right w:val="none" w:sz="0" w:space="0" w:color="auto"/>
      </w:divBdr>
      <w:divsChild>
        <w:div w:id="897859312">
          <w:marLeft w:val="0"/>
          <w:marRight w:val="0"/>
          <w:marTop w:val="0"/>
          <w:marBottom w:val="0"/>
          <w:divBdr>
            <w:top w:val="none" w:sz="0" w:space="0" w:color="auto"/>
            <w:left w:val="none" w:sz="0" w:space="0" w:color="auto"/>
            <w:bottom w:val="none" w:sz="0" w:space="0" w:color="auto"/>
            <w:right w:val="none" w:sz="0" w:space="0" w:color="auto"/>
          </w:divBdr>
          <w:divsChild>
            <w:div w:id="190572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73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D124A-7D7C-40CE-ADAB-E5FD32EB1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11</Pages>
  <Words>2417</Words>
  <Characters>13781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70</cp:revision>
  <dcterms:created xsi:type="dcterms:W3CDTF">2025-11-03T05:29:00Z</dcterms:created>
  <dcterms:modified xsi:type="dcterms:W3CDTF">2025-11-03T10:07:00Z</dcterms:modified>
</cp:coreProperties>
</file>