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before="1800"/>
        <w:jc w:val="center"/>
      </w:pPr>
      <w:r>
        <w:rPr>
          <w:rFonts w:ascii="Arial" w:hAnsi="Arial"/>
          <w:b/>
          <w:color w:val="5B3828"/>
          <w:sz w:val="60"/>
        </w:rPr>
        <w:t>THE COFFEE CORNER</w:t>
      </w:r>
    </w:p>
    <w:p>
      <w:pPr>
        <w:jc w:val="center"/>
      </w:pPr>
      <w:r>
        <w:rPr>
          <w:b/>
          <w:color w:val="3D6B4F"/>
          <w:sz w:val="30"/>
        </w:rPr>
        <w:t>INDIVIDUAL WRITTEN BUSINESS PLAN</w:t>
      </w:r>
    </w:p>
    <w:p>
      <w:pPr>
        <w:spacing w:before="240"/>
        <w:jc w:val="center"/>
      </w:pPr>
      <w:r>
        <w:rPr>
          <w:i/>
          <w:sz w:val="24"/>
        </w:rPr>
        <w:t>A friendly local café offering good coffee, affordable food\nand simple ways to reduce waste</w:t>
      </w:r>
    </w:p>
    <w:p/>
    <w:tbl>
      <w:tblPr>
        <w:tblStyle w:val="TableGrid"/>
        <w:tblW w:type="auto" w:w="0"/>
        <w:tblLook w:firstColumn="1" w:firstRow="1" w:lastColumn="0" w:lastRow="0" w:noHBand="0" w:noVBand="1" w:val="04A0"/>
      </w:tblPr>
      <w:tblGrid>
        <w:gridCol w:w="4896"/>
        <w:gridCol w:w="4896"/>
      </w:tblGrid>
      <w:tr>
        <w:tc>
          <w:tcPr>
            <w:tcW w:type="dxa" w:w="4896"/>
            <w:shd w:fill="F3EDE7"/>
          </w:tcPr>
          <w:p>
            <w:pPr>
              <w:spacing w:after="40"/>
            </w:pPr>
            <w:r/>
            <w:r>
              <w:rPr>
                <w:rFonts w:ascii="Arial" w:hAnsi="Arial"/>
                <w:b/>
                <w:color w:val="5B3828"/>
                <w:sz w:val="19"/>
              </w:rPr>
              <w:t>Programme of Study</w:t>
            </w:r>
          </w:p>
        </w:tc>
        <w:tc>
          <w:tcPr>
            <w:tcW w:type="dxa" w:w="4896"/>
            <w:shd w:fill="FFFFFF"/>
          </w:tcPr>
          <w:p>
            <w:pPr>
              <w:spacing w:after="40"/>
            </w:pPr>
            <w:r/>
            <w:r>
              <w:rPr>
                <w:rFonts w:ascii="Arial" w:hAnsi="Arial"/>
                <w:b w:val="0"/>
                <w:sz w:val="19"/>
              </w:rPr>
              <w:t>[Insert programme name]</w:t>
            </w:r>
          </w:p>
        </w:tc>
      </w:tr>
      <w:tr>
        <w:tc>
          <w:tcPr>
            <w:tcW w:type="dxa" w:w="4896"/>
            <w:shd w:fill="F3EDE7"/>
          </w:tcPr>
          <w:p>
            <w:pPr>
              <w:spacing w:after="40"/>
            </w:pPr>
            <w:r/>
            <w:r>
              <w:rPr>
                <w:rFonts w:ascii="Arial" w:hAnsi="Arial"/>
                <w:b/>
                <w:color w:val="5B3828"/>
                <w:sz w:val="19"/>
              </w:rPr>
              <w:t>Module Name</w:t>
            </w:r>
          </w:p>
        </w:tc>
        <w:tc>
          <w:tcPr>
            <w:tcW w:type="dxa" w:w="4896"/>
            <w:shd w:fill="FFFFFF"/>
          </w:tcPr>
          <w:p>
            <w:pPr>
              <w:spacing w:after="40"/>
            </w:pPr>
            <w:r/>
            <w:r>
              <w:rPr>
                <w:rFonts w:ascii="Arial" w:hAnsi="Arial"/>
                <w:b w:val="0"/>
                <w:sz w:val="19"/>
              </w:rPr>
              <w:t>[Insert module name]</w:t>
            </w:r>
          </w:p>
        </w:tc>
      </w:tr>
      <w:tr>
        <w:tc>
          <w:tcPr>
            <w:tcW w:type="dxa" w:w="4896"/>
            <w:shd w:fill="F3EDE7"/>
          </w:tcPr>
          <w:p>
            <w:pPr>
              <w:spacing w:after="40"/>
            </w:pPr>
            <w:r/>
            <w:r>
              <w:rPr>
                <w:rFonts w:ascii="Arial" w:hAnsi="Arial"/>
                <w:b/>
                <w:color w:val="5B3828"/>
                <w:sz w:val="19"/>
              </w:rPr>
              <w:t>Module Code</w:t>
            </w:r>
          </w:p>
        </w:tc>
        <w:tc>
          <w:tcPr>
            <w:tcW w:type="dxa" w:w="4896"/>
            <w:shd w:fill="FFFFFF"/>
          </w:tcPr>
          <w:p>
            <w:pPr>
              <w:spacing w:after="40"/>
            </w:pPr>
            <w:r/>
            <w:r>
              <w:rPr>
                <w:rFonts w:ascii="Arial" w:hAnsi="Arial"/>
                <w:b w:val="0"/>
                <w:sz w:val="19"/>
              </w:rPr>
              <w:t>[Insert module code]</w:t>
            </w:r>
          </w:p>
        </w:tc>
      </w:tr>
      <w:tr>
        <w:tc>
          <w:tcPr>
            <w:tcW w:type="dxa" w:w="4896"/>
            <w:shd w:fill="F3EDE7"/>
          </w:tcPr>
          <w:p>
            <w:pPr>
              <w:spacing w:after="40"/>
            </w:pPr>
            <w:r/>
            <w:r>
              <w:rPr>
                <w:rFonts w:ascii="Arial" w:hAnsi="Arial"/>
                <w:b/>
                <w:color w:val="5B3828"/>
                <w:sz w:val="19"/>
              </w:rPr>
              <w:t>Lecturer’s Name</w:t>
            </w:r>
          </w:p>
        </w:tc>
        <w:tc>
          <w:tcPr>
            <w:tcW w:type="dxa" w:w="4896"/>
            <w:shd w:fill="FFFFFF"/>
          </w:tcPr>
          <w:p>
            <w:pPr>
              <w:spacing w:after="40"/>
            </w:pPr>
            <w:r/>
            <w:r>
              <w:rPr>
                <w:rFonts w:ascii="Arial" w:hAnsi="Arial"/>
                <w:b w:val="0"/>
                <w:sz w:val="19"/>
              </w:rPr>
              <w:t>[Insert lecturer’s name]</w:t>
            </w:r>
          </w:p>
        </w:tc>
      </w:tr>
      <w:tr>
        <w:tc>
          <w:tcPr>
            <w:tcW w:type="dxa" w:w="4896"/>
            <w:shd w:fill="F3EDE7"/>
          </w:tcPr>
          <w:p>
            <w:pPr>
              <w:spacing w:after="40"/>
            </w:pPr>
            <w:r/>
            <w:r>
              <w:rPr>
                <w:rFonts w:ascii="Arial" w:hAnsi="Arial"/>
                <w:b/>
                <w:color w:val="5B3828"/>
                <w:sz w:val="19"/>
              </w:rPr>
              <w:t>Student Name</w:t>
            </w:r>
          </w:p>
        </w:tc>
        <w:tc>
          <w:tcPr>
            <w:tcW w:type="dxa" w:w="4896"/>
            <w:shd w:fill="FFFFFF"/>
          </w:tcPr>
          <w:p>
            <w:pPr>
              <w:spacing w:after="40"/>
            </w:pPr>
            <w:r/>
            <w:r>
              <w:rPr>
                <w:rFonts w:ascii="Arial" w:hAnsi="Arial"/>
                <w:b w:val="0"/>
                <w:sz w:val="19"/>
              </w:rPr>
              <w:t>[Insert your name]</w:t>
            </w:r>
          </w:p>
        </w:tc>
      </w:tr>
      <w:tr>
        <w:tc>
          <w:tcPr>
            <w:tcW w:type="dxa" w:w="4896"/>
            <w:shd w:fill="F3EDE7"/>
          </w:tcPr>
          <w:p>
            <w:pPr>
              <w:spacing w:after="40"/>
            </w:pPr>
            <w:r/>
            <w:r>
              <w:rPr>
                <w:rFonts w:ascii="Arial" w:hAnsi="Arial"/>
                <w:b/>
                <w:color w:val="5B3828"/>
                <w:sz w:val="19"/>
              </w:rPr>
              <w:t>Submission Date</w:t>
            </w:r>
          </w:p>
        </w:tc>
        <w:tc>
          <w:tcPr>
            <w:tcW w:type="dxa" w:w="4896"/>
            <w:shd w:fill="FFFFFF"/>
          </w:tcPr>
          <w:p>
            <w:pPr>
              <w:spacing w:after="40"/>
            </w:pPr>
            <w:r/>
            <w:r>
              <w:rPr>
                <w:rFonts w:ascii="Arial" w:hAnsi="Arial"/>
                <w:b w:val="0"/>
                <w:sz w:val="19"/>
              </w:rPr>
              <w:t>[Insert date]</w:t>
            </w:r>
          </w:p>
        </w:tc>
      </w:tr>
    </w:tbl>
    <w:p>
      <w:r>
        <w:br w:type="page"/>
      </w:r>
    </w:p>
    <w:p>
      <w:pPr>
        <w:pStyle w:val="Heading1"/>
      </w:pPr>
      <w:r>
        <w:t>Executive Summary</w:t>
      </w:r>
    </w:p>
    <w:p>
      <w:r>
        <w:t>My business idea is to open a coffee shop in London called The Coffee Corner. It would be a friendly and comfortable place where customers could buy good coffee, enjoy affordable food or sit and relax. The menu would include espresso-based drinks, tea, hot chocolate, iced coffee, cakes, pastries, sandwiches and light snacks. My main customers would be students, office workers, local residents and visitors who want convenient service and reasonable prices.</w:t>
      </w:r>
    </w:p>
    <w:p>
      <w:r>
        <w:t>The café would stand out through friendly service, consistent quality and practical waste reduction. I would encourage reusable cups, limit packaging, recycle where possible and monitor food waste. I would consider donating safe surplus food and buying locally when price and quality are suitable.</w:t>
      </w:r>
    </w:p>
    <w:p>
      <w:r>
        <w:t>I estimate that start-up funding of £35,000 would be required. I plan to contribute £15,000 from personal savings and seek £20,000 from an investor. These figures are initial estimates and would need to be checked against actual quotations and local property costs. The first-year priorities would be to establish the café, attract repeat customers, control spending and work towards a stable monthly break-even point.</w:t>
      </w:r>
    </w:p>
    <w:p>
      <w:pPr>
        <w:pStyle w:val="Heading1"/>
      </w:pPr>
      <w:r>
        <w:t>1. Overview of the Business Idea</w:t>
      </w:r>
    </w:p>
    <w:p>
      <w:r>
        <w:t>The Coffee Corner would be located in a busy part of London, ideally near offices, colleges, shops or public transport. A location with steady pedestrian traffic could help attract customers throughout the day. Before signing a lease, I would compare several premises, check their condition and accessibility, review rent and service charges, and estimate how many potential customers pass the site at different times.</w:t>
      </w:r>
    </w:p>
    <w:p>
      <w:r>
        <w:t>Customers could sit inside or take purchases away. Comfortable seating, clear menus and a clean layout would make the café suitable for a quick coffee, lunch break, study session or informal meeting. A focused menu would support efficient service and limit excess stock.</w:t>
      </w:r>
    </w:p>
    <w:p>
      <w:r>
        <w:t>I would manage daily operations, including ordering supplies, checking sales, preparing staff rotas, monitoring cash flow and promoting the café. Staff would be trained in customer service, food safety, allergen awareness and equipment use. Positive experiences could encourage repeat visits and recommendations.</w:t>
      </w:r>
    </w:p>
    <w:p>
      <w:r>
        <w:t>I would choose the legal structure before opening. Sole trader status may be simpler, but it does not separate business liabilities from personal finances. A limited company may suit a business with an investor who receives shares. I would seek professional advice and put the investor’s contribution, ownership and rights in writing.</w:t>
      </w:r>
    </w:p>
    <w:p>
      <w:r>
        <w:t>Sustainability would be part of daily operations. I would measure food waste, order carefully, encourage reusable cups and choose packaging thoughtfully. Environmental claims would be honest, and each action would need to be practical and affordable.</w:t>
      </w:r>
    </w:p>
    <w:p>
      <w:pPr>
        <w:pStyle w:val="Heading1"/>
      </w:pPr>
      <w:r>
        <w:t>2. Market Research</w:t>
      </w:r>
    </w:p>
    <w:p>
      <w:r>
        <w:t>Market research would help establish demand and customer expectations. Likely groups include students, workers, residents and visitors. Students may value affordable drinks and study space; workers may prioritise speed and takeaway service; residents may want a friendly place to meet.</w:t>
      </w:r>
    </w:p>
    <w:p>
      <w:r>
        <w:t>I would visit possible locations at different times to assess foot traffic and compare nearby cafés, bakeries and chains on prices, menus and service. A short questionnaire could ask what people buy, how often they visit cafés, what prices they consider reasonable and which products they prefer. This would support evidence-based decisions.</w:t>
      </w:r>
    </w:p>
    <w:p>
      <w:r>
        <w:t>Secondary research would cover commercial rents, wages, supplier prices, local population information and hospitality reports. Online reviews of competitors could reveal recurring concerns, such as slow service, expensive lunches or unclear allergen information. Reviews would not represent every customer, but repeated themes could guide further research.</w:t>
      </w:r>
    </w:p>
    <w:p>
      <w:r>
        <w:t>PESTEL analysis would identify external influences. Political factors include local authority decisions; economic factors include inflation, rent, energy and customer spending. Social factors include demand for convenient food and meeting spaces. Technology supports contactless payments, loyalty schemes and online promotion. Environmental issues include packaging and food waste. Legal requirements include food hygiene, allergen information, employment rules, health and safety and food registration.</w:t>
      </w:r>
    </w:p>
    <w:p>
      <w:r>
        <w:t>Competition would come from chains, independent cafés and bakeries. Chains may have stronger brand recognition, while smaller cafés can offer more personal service. The Coffee Corner would compete through fair prices, dependable quality and a comfortable atmosphere. I would review competitors and feedback as local demand changes.</w:t>
      </w:r>
    </w:p>
    <w:p>
      <w:pPr>
        <w:pStyle w:val="Heading1"/>
      </w:pPr>
      <w:r>
        <w:t>3. Marketing Strategy</w:t>
      </w:r>
    </w:p>
    <w:p>
      <w:r>
        <w:t>Marketing would build local awareness and encourage repeat visits. The logo, shopfront and menu would use a consistent style, warm colours and clear lettering. Signs would show opening hours and offers; prices and allergen information would be easy to find.</w:t>
      </w:r>
    </w:p>
    <w:p>
      <w:r>
        <w:t>I would use Instagram, Facebook and TikTok to share drinks, cakes, seasonal products and offers. Posts would include accurate opening times and location details. I would keep online listings updated, encourage honest reviews and use customer criticism to improve service.</w:t>
      </w:r>
    </w:p>
    <w:p>
      <w:r>
        <w:t>During the opening period, I could offer a reasonably priced coffee-and-pastry deal to encourage first visits. A loyalty card could reward customers with a free drink after nine qualifying purchases. I would also consider a small reusable-cup discount. Before launching any offer, I would calculate the cost and check that it would still leave a suitable margin. Promotions should attract customers without teaching them to buy only when prices are reduced.</w:t>
      </w:r>
    </w:p>
    <w:p>
      <w:r>
        <w:t>I would approach nearby offices and colleges about group orders, collection or catering for small meetings. I would also seek practical opportunities to support community activities and work with local suppliers.</w:t>
      </w:r>
    </w:p>
    <w:p>
      <w:r>
        <w:t>Each month, I would review sales, average spend, popular products, repeat visits, loyalty-card use and customer reviews. I would change campaigns that do not produce results and adjust stock orders if food waste rises.</w:t>
      </w:r>
    </w:p>
    <w:p>
      <w:pPr>
        <w:pStyle w:val="Heading1"/>
      </w:pPr>
      <w:r>
        <w:t>4. Financial Plan</w:t>
      </w:r>
    </w:p>
    <w:p>
      <w:r>
        <w:t>I estimate start-up funding of £35,000 for premises, equipment, furniture, stock, fees, marketing and working capital. Before signing a lease, I would obtain quotations, confirm terms and check for additional repair, licence or equipment costs.</w:t>
      </w:r>
    </w:p>
    <w:p>
      <w:pPr>
        <w:pStyle w:val="Heading2"/>
      </w:pPr>
      <w:r>
        <w:t>Estimated Start-up Costs</w:t>
      </w:r>
    </w:p>
    <w:tbl>
      <w:tblPr>
        <w:tblStyle w:val="TableGrid"/>
        <w:tblW w:type="auto" w:w="0"/>
        <w:tblLook w:firstColumn="1" w:firstRow="1" w:lastColumn="0" w:lastRow="0" w:noHBand="0" w:noVBand="1" w:val="04A0"/>
      </w:tblPr>
      <w:tblGrid>
        <w:gridCol w:w="4896"/>
        <w:gridCol w:w="4896"/>
      </w:tblGrid>
      <w:tr>
        <w:tc>
          <w:tcPr>
            <w:tcW w:type="dxa" w:w="4896"/>
            <w:shd w:fill="5B3828"/>
          </w:tcPr>
          <w:p>
            <w:pPr>
              <w:spacing w:after="40"/>
            </w:pPr>
            <w:r/>
            <w:r>
              <w:rPr>
                <w:rFonts w:ascii="Arial" w:hAnsi="Arial"/>
                <w:b/>
                <w:color w:val="FFFFFF"/>
                <w:sz w:val="19"/>
              </w:rPr>
              <w:t>Item</w:t>
            </w:r>
          </w:p>
        </w:tc>
        <w:tc>
          <w:tcPr>
            <w:tcW w:type="dxa" w:w="4896"/>
            <w:shd w:fill="5B3828"/>
          </w:tcPr>
          <w:p>
            <w:pPr>
              <w:spacing w:after="40"/>
            </w:pPr>
            <w:r/>
            <w:r>
              <w:rPr>
                <w:rFonts w:ascii="Arial" w:hAnsi="Arial"/>
                <w:b/>
                <w:color w:val="FFFFFF"/>
                <w:sz w:val="19"/>
              </w:rPr>
              <w:t>Estimated cost</w:t>
            </w:r>
          </w:p>
        </w:tc>
      </w:tr>
      <w:tr>
        <w:tc>
          <w:tcPr>
            <w:tcW w:type="dxa" w:w="4896"/>
          </w:tcPr>
          <w:p>
            <w:pPr>
              <w:spacing w:after="40"/>
            </w:pPr>
            <w:r/>
            <w:r>
              <w:rPr>
                <w:rFonts w:ascii="Arial" w:hAnsi="Arial"/>
                <w:b w:val="0"/>
                <w:sz w:val="19"/>
              </w:rPr>
              <w:t>Rental deposit and initial rent</w:t>
            </w:r>
          </w:p>
        </w:tc>
        <w:tc>
          <w:tcPr>
            <w:tcW w:type="dxa" w:w="4896"/>
          </w:tcPr>
          <w:p>
            <w:pPr>
              <w:spacing w:after="40"/>
            </w:pPr>
            <w:r/>
            <w:r>
              <w:rPr>
                <w:rFonts w:ascii="Arial" w:hAnsi="Arial"/>
                <w:b w:val="0"/>
                <w:sz w:val="19"/>
              </w:rPr>
              <w:t>£6,000</w:t>
            </w:r>
          </w:p>
        </w:tc>
      </w:tr>
      <w:tr>
        <w:tc>
          <w:tcPr>
            <w:tcW w:type="dxa" w:w="4896"/>
          </w:tcPr>
          <w:p>
            <w:pPr>
              <w:spacing w:after="40"/>
            </w:pPr>
            <w:r/>
            <w:r>
              <w:rPr>
                <w:rFonts w:ascii="Arial" w:hAnsi="Arial"/>
                <w:b w:val="0"/>
                <w:sz w:val="19"/>
              </w:rPr>
              <w:t>Furniture and decoration</w:t>
            </w:r>
          </w:p>
        </w:tc>
        <w:tc>
          <w:tcPr>
            <w:tcW w:type="dxa" w:w="4896"/>
          </w:tcPr>
          <w:p>
            <w:pPr>
              <w:spacing w:after="40"/>
            </w:pPr>
            <w:r/>
            <w:r>
              <w:rPr>
                <w:rFonts w:ascii="Arial" w:hAnsi="Arial"/>
                <w:b w:val="0"/>
                <w:sz w:val="19"/>
              </w:rPr>
              <w:t>£7,000</w:t>
            </w:r>
          </w:p>
        </w:tc>
      </w:tr>
      <w:tr>
        <w:tc>
          <w:tcPr>
            <w:tcW w:type="dxa" w:w="4896"/>
          </w:tcPr>
          <w:p>
            <w:pPr>
              <w:spacing w:after="40"/>
            </w:pPr>
            <w:r/>
            <w:r>
              <w:rPr>
                <w:rFonts w:ascii="Arial" w:hAnsi="Arial"/>
                <w:b w:val="0"/>
                <w:sz w:val="19"/>
              </w:rPr>
              <w:t>Coffee machine and grinder</w:t>
            </w:r>
          </w:p>
        </w:tc>
        <w:tc>
          <w:tcPr>
            <w:tcW w:type="dxa" w:w="4896"/>
          </w:tcPr>
          <w:p>
            <w:pPr>
              <w:spacing w:after="40"/>
            </w:pPr>
            <w:r/>
            <w:r>
              <w:rPr>
                <w:rFonts w:ascii="Arial" w:hAnsi="Arial"/>
                <w:b w:val="0"/>
                <w:sz w:val="19"/>
              </w:rPr>
              <w:t>£5,000</w:t>
            </w:r>
          </w:p>
        </w:tc>
      </w:tr>
      <w:tr>
        <w:tc>
          <w:tcPr>
            <w:tcW w:type="dxa" w:w="4896"/>
          </w:tcPr>
          <w:p>
            <w:pPr>
              <w:spacing w:after="40"/>
            </w:pPr>
            <w:r/>
            <w:r>
              <w:rPr>
                <w:rFonts w:ascii="Arial" w:hAnsi="Arial"/>
                <w:b w:val="0"/>
                <w:sz w:val="19"/>
              </w:rPr>
              <w:t>Refrigeration and food equipment</w:t>
            </w:r>
          </w:p>
        </w:tc>
        <w:tc>
          <w:tcPr>
            <w:tcW w:type="dxa" w:w="4896"/>
          </w:tcPr>
          <w:p>
            <w:pPr>
              <w:spacing w:after="40"/>
            </w:pPr>
            <w:r/>
            <w:r>
              <w:rPr>
                <w:rFonts w:ascii="Arial" w:hAnsi="Arial"/>
                <w:b w:val="0"/>
                <w:sz w:val="19"/>
              </w:rPr>
              <w:t>£3,000</w:t>
            </w:r>
          </w:p>
        </w:tc>
      </w:tr>
      <w:tr>
        <w:tc>
          <w:tcPr>
            <w:tcW w:type="dxa" w:w="4896"/>
          </w:tcPr>
          <w:p>
            <w:pPr>
              <w:spacing w:after="40"/>
            </w:pPr>
            <w:r/>
            <w:r>
              <w:rPr>
                <w:rFonts w:ascii="Arial" w:hAnsi="Arial"/>
                <w:b w:val="0"/>
                <w:sz w:val="19"/>
              </w:rPr>
              <w:t>Initial ingredients and packaging</w:t>
            </w:r>
          </w:p>
        </w:tc>
        <w:tc>
          <w:tcPr>
            <w:tcW w:type="dxa" w:w="4896"/>
          </w:tcPr>
          <w:p>
            <w:pPr>
              <w:spacing w:after="40"/>
            </w:pPr>
            <w:r/>
            <w:r>
              <w:rPr>
                <w:rFonts w:ascii="Arial" w:hAnsi="Arial"/>
                <w:b w:val="0"/>
                <w:sz w:val="19"/>
              </w:rPr>
              <w:t>£2,000</w:t>
            </w:r>
          </w:p>
        </w:tc>
      </w:tr>
      <w:tr>
        <w:tc>
          <w:tcPr>
            <w:tcW w:type="dxa" w:w="4896"/>
          </w:tcPr>
          <w:p>
            <w:pPr>
              <w:spacing w:after="40"/>
            </w:pPr>
            <w:r/>
            <w:r>
              <w:rPr>
                <w:rFonts w:ascii="Arial" w:hAnsi="Arial"/>
                <w:b w:val="0"/>
                <w:sz w:val="19"/>
              </w:rPr>
              <w:t>Registration and professional fees</w:t>
            </w:r>
          </w:p>
        </w:tc>
        <w:tc>
          <w:tcPr>
            <w:tcW w:type="dxa" w:w="4896"/>
          </w:tcPr>
          <w:p>
            <w:pPr>
              <w:spacing w:after="40"/>
            </w:pPr>
            <w:r/>
            <w:r>
              <w:rPr>
                <w:rFonts w:ascii="Arial" w:hAnsi="Arial"/>
                <w:b w:val="0"/>
                <w:sz w:val="19"/>
              </w:rPr>
              <w:t>£1,000</w:t>
            </w:r>
          </w:p>
        </w:tc>
      </w:tr>
      <w:tr>
        <w:tc>
          <w:tcPr>
            <w:tcW w:type="dxa" w:w="4896"/>
          </w:tcPr>
          <w:p>
            <w:pPr>
              <w:spacing w:after="40"/>
            </w:pPr>
            <w:r/>
            <w:r>
              <w:rPr>
                <w:rFonts w:ascii="Arial" w:hAnsi="Arial"/>
                <w:b w:val="0"/>
                <w:sz w:val="19"/>
              </w:rPr>
              <w:t>Branding and opening marketing</w:t>
            </w:r>
          </w:p>
        </w:tc>
        <w:tc>
          <w:tcPr>
            <w:tcW w:type="dxa" w:w="4896"/>
          </w:tcPr>
          <w:p>
            <w:pPr>
              <w:spacing w:after="40"/>
            </w:pPr>
            <w:r/>
            <w:r>
              <w:rPr>
                <w:rFonts w:ascii="Arial" w:hAnsi="Arial"/>
                <w:b w:val="0"/>
                <w:sz w:val="19"/>
              </w:rPr>
              <w:t>£1,500</w:t>
            </w:r>
          </w:p>
        </w:tc>
      </w:tr>
      <w:tr>
        <w:tc>
          <w:tcPr>
            <w:tcW w:type="dxa" w:w="4896"/>
          </w:tcPr>
          <w:p>
            <w:pPr>
              <w:spacing w:after="40"/>
            </w:pPr>
            <w:r/>
            <w:r>
              <w:rPr>
                <w:rFonts w:ascii="Arial" w:hAnsi="Arial"/>
                <w:b w:val="0"/>
                <w:sz w:val="19"/>
              </w:rPr>
              <w:t>Insurance and administration</w:t>
            </w:r>
          </w:p>
        </w:tc>
        <w:tc>
          <w:tcPr>
            <w:tcW w:type="dxa" w:w="4896"/>
          </w:tcPr>
          <w:p>
            <w:pPr>
              <w:spacing w:after="40"/>
            </w:pPr>
            <w:r/>
            <w:r>
              <w:rPr>
                <w:rFonts w:ascii="Arial" w:hAnsi="Arial"/>
                <w:b w:val="0"/>
                <w:sz w:val="19"/>
              </w:rPr>
              <w:t>£1,000</w:t>
            </w:r>
          </w:p>
        </w:tc>
      </w:tr>
      <w:tr>
        <w:tc>
          <w:tcPr>
            <w:tcW w:type="dxa" w:w="4896"/>
          </w:tcPr>
          <w:p>
            <w:pPr>
              <w:spacing w:after="40"/>
            </w:pPr>
            <w:r/>
            <w:r>
              <w:rPr>
                <w:rFonts w:ascii="Arial" w:hAnsi="Arial"/>
                <w:b w:val="0"/>
                <w:sz w:val="19"/>
              </w:rPr>
              <w:t>Working capital reserve</w:t>
            </w:r>
          </w:p>
        </w:tc>
        <w:tc>
          <w:tcPr>
            <w:tcW w:type="dxa" w:w="4896"/>
          </w:tcPr>
          <w:p>
            <w:pPr>
              <w:spacing w:after="40"/>
            </w:pPr>
            <w:r/>
            <w:r>
              <w:rPr>
                <w:rFonts w:ascii="Arial" w:hAnsi="Arial"/>
                <w:b w:val="0"/>
                <w:sz w:val="19"/>
              </w:rPr>
              <w:t>£8,500</w:t>
            </w:r>
          </w:p>
        </w:tc>
      </w:tr>
      <w:tr>
        <w:tc>
          <w:tcPr>
            <w:tcW w:type="dxa" w:w="4896"/>
            <w:shd w:fill="E8F0E9"/>
          </w:tcPr>
          <w:p>
            <w:pPr>
              <w:spacing w:after="40"/>
            </w:pPr>
            <w:r/>
            <w:r>
              <w:rPr>
                <w:rFonts w:ascii="Arial" w:hAnsi="Arial"/>
                <w:b/>
                <w:sz w:val="19"/>
              </w:rPr>
              <w:t>Total funding required</w:t>
            </w:r>
          </w:p>
        </w:tc>
        <w:tc>
          <w:tcPr>
            <w:tcW w:type="dxa" w:w="4896"/>
            <w:shd w:fill="E8F0E9"/>
          </w:tcPr>
          <w:p>
            <w:pPr>
              <w:spacing w:after="40"/>
            </w:pPr>
            <w:r/>
            <w:r>
              <w:rPr>
                <w:rFonts w:ascii="Arial" w:hAnsi="Arial"/>
                <w:b/>
                <w:sz w:val="19"/>
              </w:rPr>
              <w:t>£35,000</w:t>
            </w:r>
          </w:p>
        </w:tc>
      </w:tr>
    </w:tbl>
    <w:p>
      <w:r>
        <w:t>The proposed funding would be £15,000 from my savings and £20,000 from an investor. I would clarify whether the investor expects shares, repayment or another arrangement before accepting the money. A written agreement would help prevent misunderstandings. I would also protect the working-capital reserve because sales may take time to reach the expected level.</w:t>
      </w:r>
    </w:p>
    <w:p>
      <w:pPr>
        <w:pStyle w:val="Heading2"/>
      </w:pPr>
      <w:r>
        <w:t>Estimated Monthly Financial Performance</w:t>
      </w:r>
    </w:p>
    <w:p>
      <w:r>
        <w:t>The initial sales forecast assumes 80 customer transactions per day, an average spend of £5.50 and 30 trading days per month. This gives estimated monthly sales of £13,200 (80 × £5.50 × 30). If ingredients and packaging represent 32% of sales, the estimated cost would be £4,224, leaving £8,976 as gross profit before operating expenses.</w:t>
      </w:r>
    </w:p>
    <w:tbl>
      <w:tblPr>
        <w:tblStyle w:val="TableGrid"/>
        <w:tblW w:type="auto" w:w="0"/>
        <w:tblLook w:firstColumn="1" w:firstRow="1" w:lastColumn="0" w:lastRow="0" w:noHBand="0" w:noVBand="1" w:val="04A0"/>
      </w:tblPr>
      <w:tblGrid>
        <w:gridCol w:w="4896"/>
        <w:gridCol w:w="4896"/>
      </w:tblGrid>
      <w:tr>
        <w:tc>
          <w:tcPr>
            <w:tcW w:type="dxa" w:w="4896"/>
            <w:shd w:fill="5B3828"/>
          </w:tcPr>
          <w:p>
            <w:pPr>
              <w:spacing w:after="40"/>
            </w:pPr>
            <w:r/>
            <w:r>
              <w:rPr>
                <w:rFonts w:ascii="Arial" w:hAnsi="Arial"/>
                <w:b/>
                <w:color w:val="FFFFFF"/>
                <w:sz w:val="19"/>
              </w:rPr>
              <w:t>Monthly expense</w:t>
            </w:r>
          </w:p>
        </w:tc>
        <w:tc>
          <w:tcPr>
            <w:tcW w:type="dxa" w:w="4896"/>
            <w:shd w:fill="5B3828"/>
          </w:tcPr>
          <w:p>
            <w:pPr>
              <w:spacing w:after="40"/>
            </w:pPr>
            <w:r/>
            <w:r>
              <w:rPr>
                <w:rFonts w:ascii="Arial" w:hAnsi="Arial"/>
                <w:b/>
                <w:color w:val="FFFFFF"/>
                <w:sz w:val="19"/>
              </w:rPr>
              <w:t>Estimated cost</w:t>
            </w:r>
          </w:p>
        </w:tc>
      </w:tr>
      <w:tr>
        <w:tc>
          <w:tcPr>
            <w:tcW w:type="dxa" w:w="4896"/>
          </w:tcPr>
          <w:p>
            <w:pPr>
              <w:spacing w:after="40"/>
            </w:pPr>
            <w:r/>
            <w:r>
              <w:rPr>
                <w:rFonts w:ascii="Arial" w:hAnsi="Arial"/>
                <w:b w:val="0"/>
                <w:sz w:val="19"/>
              </w:rPr>
              <w:t>Rent and service charges</w:t>
            </w:r>
          </w:p>
        </w:tc>
        <w:tc>
          <w:tcPr>
            <w:tcW w:type="dxa" w:w="4896"/>
          </w:tcPr>
          <w:p>
            <w:pPr>
              <w:spacing w:after="40"/>
            </w:pPr>
            <w:r/>
            <w:r>
              <w:rPr>
                <w:rFonts w:ascii="Arial" w:hAnsi="Arial"/>
                <w:b w:val="0"/>
                <w:sz w:val="19"/>
              </w:rPr>
              <w:t>£2,000</w:t>
            </w:r>
          </w:p>
        </w:tc>
      </w:tr>
      <w:tr>
        <w:tc>
          <w:tcPr>
            <w:tcW w:type="dxa" w:w="4896"/>
          </w:tcPr>
          <w:p>
            <w:pPr>
              <w:spacing w:after="40"/>
            </w:pPr>
            <w:r/>
            <w:r>
              <w:rPr>
                <w:rFonts w:ascii="Arial" w:hAnsi="Arial"/>
                <w:b w:val="0"/>
                <w:sz w:val="19"/>
              </w:rPr>
              <w:t>Staff wages and employment costs</w:t>
            </w:r>
          </w:p>
        </w:tc>
        <w:tc>
          <w:tcPr>
            <w:tcW w:type="dxa" w:w="4896"/>
          </w:tcPr>
          <w:p>
            <w:pPr>
              <w:spacing w:after="40"/>
            </w:pPr>
            <w:r/>
            <w:r>
              <w:rPr>
                <w:rFonts w:ascii="Arial" w:hAnsi="Arial"/>
                <w:b w:val="0"/>
                <w:sz w:val="19"/>
              </w:rPr>
              <w:t>£3,000</w:t>
            </w:r>
          </w:p>
        </w:tc>
      </w:tr>
      <w:tr>
        <w:tc>
          <w:tcPr>
            <w:tcW w:type="dxa" w:w="4896"/>
          </w:tcPr>
          <w:p>
            <w:pPr>
              <w:spacing w:after="40"/>
            </w:pPr>
            <w:r/>
            <w:r>
              <w:rPr>
                <w:rFonts w:ascii="Arial" w:hAnsi="Arial"/>
                <w:b w:val="0"/>
                <w:sz w:val="19"/>
              </w:rPr>
              <w:t>Utilities</w:t>
            </w:r>
          </w:p>
        </w:tc>
        <w:tc>
          <w:tcPr>
            <w:tcW w:type="dxa" w:w="4896"/>
          </w:tcPr>
          <w:p>
            <w:pPr>
              <w:spacing w:after="40"/>
            </w:pPr>
            <w:r/>
            <w:r>
              <w:rPr>
                <w:rFonts w:ascii="Arial" w:hAnsi="Arial"/>
                <w:b w:val="0"/>
                <w:sz w:val="19"/>
              </w:rPr>
              <w:t>£400</w:t>
            </w:r>
          </w:p>
        </w:tc>
      </w:tr>
      <w:tr>
        <w:tc>
          <w:tcPr>
            <w:tcW w:type="dxa" w:w="4896"/>
          </w:tcPr>
          <w:p>
            <w:pPr>
              <w:spacing w:after="40"/>
            </w:pPr>
            <w:r/>
            <w:r>
              <w:rPr>
                <w:rFonts w:ascii="Arial" w:hAnsi="Arial"/>
                <w:b w:val="0"/>
                <w:sz w:val="19"/>
              </w:rPr>
              <w:t>Marketing</w:t>
            </w:r>
          </w:p>
        </w:tc>
        <w:tc>
          <w:tcPr>
            <w:tcW w:type="dxa" w:w="4896"/>
          </w:tcPr>
          <w:p>
            <w:pPr>
              <w:spacing w:after="40"/>
            </w:pPr>
            <w:r/>
            <w:r>
              <w:rPr>
                <w:rFonts w:ascii="Arial" w:hAnsi="Arial"/>
                <w:b w:val="0"/>
                <w:sz w:val="19"/>
              </w:rPr>
              <w:t>£200</w:t>
            </w:r>
          </w:p>
        </w:tc>
      </w:tr>
      <w:tr>
        <w:tc>
          <w:tcPr>
            <w:tcW w:type="dxa" w:w="4896"/>
          </w:tcPr>
          <w:p>
            <w:pPr>
              <w:spacing w:after="40"/>
            </w:pPr>
            <w:r/>
            <w:r>
              <w:rPr>
                <w:rFonts w:ascii="Arial" w:hAnsi="Arial"/>
                <w:b w:val="0"/>
                <w:sz w:val="19"/>
              </w:rPr>
              <w:t>Insurance and administration</w:t>
            </w:r>
          </w:p>
        </w:tc>
        <w:tc>
          <w:tcPr>
            <w:tcW w:type="dxa" w:w="4896"/>
          </w:tcPr>
          <w:p>
            <w:pPr>
              <w:spacing w:after="40"/>
            </w:pPr>
            <w:r/>
            <w:r>
              <w:rPr>
                <w:rFonts w:ascii="Arial" w:hAnsi="Arial"/>
                <w:b w:val="0"/>
                <w:sz w:val="19"/>
              </w:rPr>
              <w:t>£200</w:t>
            </w:r>
          </w:p>
        </w:tc>
      </w:tr>
      <w:tr>
        <w:tc>
          <w:tcPr>
            <w:tcW w:type="dxa" w:w="4896"/>
          </w:tcPr>
          <w:p>
            <w:pPr>
              <w:spacing w:after="40"/>
            </w:pPr>
            <w:r/>
            <w:r>
              <w:rPr>
                <w:rFonts w:ascii="Arial" w:hAnsi="Arial"/>
                <w:b w:val="0"/>
                <w:sz w:val="19"/>
              </w:rPr>
              <w:t>Cleaning and maintenance</w:t>
            </w:r>
          </w:p>
        </w:tc>
        <w:tc>
          <w:tcPr>
            <w:tcW w:type="dxa" w:w="4896"/>
          </w:tcPr>
          <w:p>
            <w:pPr>
              <w:spacing w:after="40"/>
            </w:pPr>
            <w:r/>
            <w:r>
              <w:rPr>
                <w:rFonts w:ascii="Arial" w:hAnsi="Arial"/>
                <w:b w:val="0"/>
                <w:sz w:val="19"/>
              </w:rPr>
              <w:t>£300</w:t>
            </w:r>
          </w:p>
        </w:tc>
      </w:tr>
      <w:tr>
        <w:tc>
          <w:tcPr>
            <w:tcW w:type="dxa" w:w="4896"/>
            <w:shd w:fill="E8F0E9"/>
          </w:tcPr>
          <w:p>
            <w:pPr>
              <w:spacing w:after="40"/>
            </w:pPr>
            <w:r/>
            <w:r>
              <w:rPr>
                <w:rFonts w:ascii="Arial" w:hAnsi="Arial"/>
                <w:b/>
                <w:sz w:val="19"/>
              </w:rPr>
              <w:t>Total operating expenses</w:t>
            </w:r>
          </w:p>
        </w:tc>
        <w:tc>
          <w:tcPr>
            <w:tcW w:type="dxa" w:w="4896"/>
            <w:shd w:fill="E8F0E9"/>
          </w:tcPr>
          <w:p>
            <w:pPr>
              <w:spacing w:after="40"/>
            </w:pPr>
            <w:r/>
            <w:r>
              <w:rPr>
                <w:rFonts w:ascii="Arial" w:hAnsi="Arial"/>
                <w:b/>
                <w:sz w:val="19"/>
              </w:rPr>
              <w:t>£6,100</w:t>
            </w:r>
          </w:p>
        </w:tc>
      </w:tr>
    </w:tbl>
    <w:p>
      <w:r>
        <w:t>After deducting the estimated £6,100 in operating expenses from gross profit of £8,976, approximately £2,876 would remain each month. This is a preliminary operating surplus, not guaranteed net profit. The estimate may not include tax, finance costs, depreciation, business rates, card-processing fees, repairs or an owner’s salary. These items would need to be researched and added to a more complete forecast. The assumptions also depend on reaching 80 transactions every day, which may be difficult during quieter periods.</w:t>
      </w:r>
    </w:p>
    <w:p>
      <w:r>
        <w:t>I would prepare a cash-flow forecast and review it every month. A break-even calculation would show how much the café must sell to cover fixed and variable costs. I would monitor sales, gross margin, wage costs and stock waste, and keep receipts and invoices organised. If sales were lower than expected, I could reduce orders, adjust opening hours or review the menu, while protecting food safety and customer service. I would avoid taking on new costs until the business could afford them.</w:t>
      </w:r>
    </w:p>
    <w:p>
      <w:pPr>
        <w:pStyle w:val="Heading1"/>
      </w:pPr>
      <w:r>
        <w:t>5. Conclusion</w:t>
      </w:r>
    </w:p>
    <w:p>
      <w:r>
        <w:t>The Coffee Corner aims to offer London customers a welcoming place to enjoy good coffee and affordable food. Its proposed strengths are friendly service, a comfortable atmosphere, a focused menu and practical efforts to reduce waste. The target customers would include students, office workers, residents and visitors, but local research would be needed to confirm demand and select the right premises.</w:t>
      </w:r>
    </w:p>
    <w:p>
      <w:r>
        <w:t>The estimated start-up requirement is £35,000, with funding planned from personal savings and an investor. The monthly forecast suggests the café could generate a surplus if the sales assumptions are achieved, but the figures need to be tested against real quotations and a fuller cash-flow and break-even analysis. Choosing a suitable location, controlling costs, listening to customers and reviewing performance regularly would improve the business's chances of success.</w:t>
      </w:r>
    </w:p>
    <w:p>
      <w:pPr>
        <w:pStyle w:val="Heading1"/>
      </w:pPr>
      <w:r>
        <w:t>Reference List</w:t>
      </w:r>
    </w:p>
    <w:p>
      <w:pPr>
        <w:spacing w:after="160"/>
        <w:ind w:left="360" w:hanging="360"/>
      </w:pPr>
      <w:r>
        <w:t>British Business Bank (n.d.) Reviewing your business plan. Available at: https://www.british-business-bank.co.uk/ (Accessed: 25 October 2026).</w:t>
      </w:r>
    </w:p>
    <w:p>
      <w:pPr>
        <w:spacing w:after="160"/>
        <w:ind w:left="360" w:hanging="360"/>
      </w:pPr>
      <w:r>
        <w:t>Department for Environment, Food &amp; Rural Affairs (2024) Food and drink waste hierarchy: deal with surplus and waste. Available at: https://www.gov.uk/government/publications/food-and-drink-waste-hierarchy-deal-with-surplus-and-waste (Accessed: 25 October 2026).</w:t>
      </w:r>
    </w:p>
    <w:p>
      <w:pPr>
        <w:spacing w:after="160"/>
        <w:ind w:left="360" w:hanging="360"/>
      </w:pPr>
      <w:r>
        <w:t>Food Standards Agency (n.d.) Food business registration. Available at: https://www.gov.uk/food-business-registration (Accessed: 25 October 2026).</w:t>
      </w:r>
    </w:p>
    <w:p>
      <w:pPr>
        <w:spacing w:after="160"/>
        <w:ind w:left="360" w:hanging="360"/>
      </w:pPr>
      <w:r>
        <w:t>GOV.UK (n.d.) Set up a business. Available at: https://www.gov.uk/set-up-business (Accessed: 25 October 2026).</w:t>
      </w:r>
    </w:p>
    <w:p>
      <w:pPr>
        <w:spacing w:after="160"/>
        <w:ind w:left="360" w:hanging="360"/>
      </w:pPr>
      <w:r>
        <w:t>World Coffee Portal (2025) Project Café UK 2025. Available at: https://www.worldcoffeeportal.com/ (Accessed: 25 October 2026).</w:t>
      </w:r>
    </w:p>
    <w:sectPr w:rsidR="00FC693F" w:rsidRPr="0006063C" w:rsidSect="00034616">
      <w:headerReference w:type="default" r:id="rId9"/>
      <w:footerReference w:type="default" r:id="rId10"/>
      <w:pgSz w:w="12240" w:h="15840"/>
      <w:pgMar w:top="1080" w:right="1224" w:bottom="1080" w:left="122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color w:val="787878"/>
        <w:sz w:val="16"/>
      </w:rPr>
      <w:t xml:space="preserve">The Coffee Corner  •  </w:t>
    </w:r>
    <w:fldSimple w:instr="PAGE"/>
  </w:p>
</w:ftr>
</file>

<file path=word/header1.xml><?xml version="1.0" encoding="utf-8"?>
<w:hd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Header"/>
      <w:jc w:val="right"/>
    </w:pPr>
    <w:r>
      <w:rPr>
        <w:color w:val="787878"/>
        <w:sz w:val="16"/>
      </w:rPr>
      <w:t>THE COFFEE CORNER  |  BUSINESS PLAN</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120" w:line="269" w:lineRule="auto"/>
    </w:pPr>
    <w:rPr>
      <w:rFonts w:ascii="Arial" w:hAnsi="Arial" w:eastAsia="Arial"/>
      <w:sz w:val="21"/>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ascii="Arial" w:hAnsi="Arial" w:eastAsia="Arial"/>
      <w:b/>
      <w:bCs/>
      <w:color w:val="5B3828"/>
      <w:sz w:val="34"/>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ascii="Arial" w:hAnsi="Arial" w:eastAsia="Arial"/>
      <w:b/>
      <w:bCs/>
      <w:color w:val="3D6B4F"/>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ascii="Arial" w:hAnsi="Arial" w:eastAsia="Arial"/>
      <w:b/>
      <w:color w:val="5B3828"/>
      <w:spacing w:val="5"/>
      <w:kern w:val="28"/>
      <w:sz w:val="6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