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7075DE66" w14:textId="77777777" w:rsidR="00974B75" w:rsidRPr="00550E00" w:rsidRDefault="00974B75" w:rsidP="00974B75">
            <w:pPr>
              <w:ind w:right="-957"/>
              <w:rPr>
                <w:rFonts w:ascii="Times New Roman" w:hAnsi="Times New Roman" w:cs="Times New Roman"/>
                <w:bCs/>
                <w:sz w:val="32"/>
                <w:szCs w:val="32"/>
              </w:rPr>
            </w:pPr>
            <w:r>
              <w:rPr>
                <w:rFonts w:ascii="Times New Roman" w:hAnsi="Times New Roman" w:cs="Times New Roman"/>
                <w:b/>
                <w:sz w:val="48"/>
              </w:rPr>
              <w:t xml:space="preserve">Learner’s name: </w:t>
            </w:r>
            <w:r>
              <w:rPr>
                <w:rFonts w:ascii="Times New Roman" w:hAnsi="Times New Roman" w:cs="Times New Roman"/>
                <w:bCs/>
                <w:sz w:val="32"/>
                <w:szCs w:val="32"/>
              </w:rPr>
              <w:t xml:space="preserve">Aimee Roberts </w:t>
            </w:r>
          </w:p>
          <w:p w14:paraId="74E1EE48" w14:textId="77777777" w:rsidR="00974B75" w:rsidRDefault="00974B75" w:rsidP="00974B75">
            <w:pPr>
              <w:ind w:right="-957"/>
              <w:rPr>
                <w:rFonts w:ascii="Times New Roman" w:hAnsi="Times New Roman" w:cs="Times New Roman"/>
                <w:b/>
                <w:sz w:val="48"/>
              </w:rPr>
            </w:pPr>
          </w:p>
          <w:p w14:paraId="1A7F2A7B" w14:textId="77777777" w:rsidR="00974B75" w:rsidRDefault="00974B75" w:rsidP="00974B75">
            <w:pPr>
              <w:ind w:right="-957"/>
              <w:rPr>
                <w:rFonts w:ascii="Times New Roman" w:hAnsi="Times New Roman" w:cs="Times New Roman"/>
                <w:b/>
                <w:sz w:val="48"/>
              </w:rPr>
            </w:pPr>
            <w:r>
              <w:rPr>
                <w:rFonts w:ascii="Times New Roman" w:hAnsi="Times New Roman" w:cs="Times New Roman"/>
                <w:b/>
                <w:sz w:val="48"/>
              </w:rPr>
              <w:t>Email address:</w:t>
            </w:r>
            <w:r>
              <w:t xml:space="preserve"> </w:t>
            </w:r>
            <w:r w:rsidRPr="00550E00">
              <w:rPr>
                <w:rFonts w:ascii="Times New Roman" w:hAnsi="Times New Roman" w:cs="Times New Roman"/>
                <w:bCs/>
                <w:sz w:val="32"/>
                <w:szCs w:val="32"/>
              </w:rPr>
              <w:t>aimee.roberts1@powys.gov.uk</w:t>
            </w:r>
          </w:p>
          <w:p w14:paraId="1B8D80EF" w14:textId="77777777" w:rsidR="00974B75" w:rsidRDefault="00974B75" w:rsidP="00974B75">
            <w:pPr>
              <w:ind w:right="-957"/>
              <w:rPr>
                <w:rFonts w:ascii="Times New Roman" w:hAnsi="Times New Roman" w:cs="Times New Roman"/>
                <w:b/>
                <w:sz w:val="48"/>
              </w:rPr>
            </w:pPr>
          </w:p>
          <w:p w14:paraId="1E9818E8" w14:textId="77777777" w:rsidR="00974B75" w:rsidRPr="00550E00" w:rsidRDefault="00974B75" w:rsidP="00974B75">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Pr="00550E00">
              <w:rPr>
                <w:rFonts w:ascii="Times New Roman" w:hAnsi="Times New Roman" w:cs="Times New Roman"/>
              </w:rPr>
              <w:t xml:space="preserve"> </w:t>
            </w:r>
            <w:r w:rsidRPr="00550E00">
              <w:rPr>
                <w:rFonts w:ascii="Times New Roman" w:hAnsi="Times New Roman" w:cs="Times New Roman"/>
                <w:bCs/>
                <w:sz w:val="32"/>
                <w:szCs w:val="32"/>
              </w:rPr>
              <w:t>2418251</w:t>
            </w:r>
          </w:p>
          <w:p w14:paraId="4C004C14" w14:textId="77777777" w:rsidR="00974B75" w:rsidRPr="005D3F07" w:rsidRDefault="00974B75" w:rsidP="00974B75">
            <w:pPr>
              <w:ind w:right="-957"/>
              <w:rPr>
                <w:rFonts w:ascii="Times New Roman" w:hAnsi="Times New Roman" w:cs="Times New Roman"/>
                <w:b/>
                <w:sz w:val="48"/>
              </w:rPr>
            </w:pPr>
          </w:p>
          <w:p w14:paraId="5F84129B" w14:textId="42738643" w:rsidR="0085230E" w:rsidRPr="005D3F07" w:rsidRDefault="00974B75" w:rsidP="00974B75">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sidRPr="00550E00">
              <w:rPr>
                <w:rFonts w:ascii="Times New Roman" w:hAnsi="Times New Roman" w:cs="Times New Roman"/>
                <w:bCs/>
                <w:sz w:val="32"/>
                <w:szCs w:val="32"/>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7D4075D6" w14:textId="77777777" w:rsidR="009C364A" w:rsidRDefault="009C364A" w:rsidP="00FF7EBB">
            <w:pPr>
              <w:jc w:val="both"/>
              <w:rPr>
                <w:sz w:val="24"/>
                <w:szCs w:val="24"/>
              </w:rPr>
            </w:pPr>
          </w:p>
          <w:p w14:paraId="3603C603" w14:textId="77777777" w:rsidR="00E1237D" w:rsidRPr="00E1237D" w:rsidRDefault="00E1237D" w:rsidP="00E1237D">
            <w:pPr>
              <w:rPr>
                <w:sz w:val="24"/>
                <w:szCs w:val="24"/>
              </w:rPr>
            </w:pPr>
            <w:r w:rsidRPr="00E1237D">
              <w:rPr>
                <w:sz w:val="24"/>
                <w:szCs w:val="24"/>
              </w:rPr>
              <w:t>In Wales, adult safeguarding is underpinned by legislation and policy which differs from my usual area of work in children’s services.  The legislation and policy in adults’ services in Wales is designed to protect and support individuals at risk of abuse, neglect, or harm.</w:t>
            </w:r>
          </w:p>
          <w:p w14:paraId="49D04066" w14:textId="77777777" w:rsidR="00E1237D" w:rsidRPr="00E1237D" w:rsidRDefault="00E1237D" w:rsidP="00E1237D">
            <w:pPr>
              <w:rPr>
                <w:sz w:val="24"/>
                <w:szCs w:val="24"/>
              </w:rPr>
            </w:pPr>
            <w:r w:rsidRPr="00E1237D">
              <w:rPr>
                <w:sz w:val="24"/>
                <w:szCs w:val="24"/>
              </w:rPr>
              <w:t xml:space="preserve">Similarly to children’s services, the adult sector is underpinned by Social Services and Well-being (Wales) Act 2014 (SSWBA(Wales) (Welsh Government, 2014). The act provides a clear definition of ‘adult at risk’. In addition, the act highlights the duty of authorities to make enquiries when there is an adult ‘at risk (Welsh Government, 2014b). The SSWBA (Wales), places a statutory duty on Local Authorities in Wales to investigate if there is reasonable cause to suspect that an adult is at risk. The Act fosters a person-centred approach, with a clear emphasis on well-being, voice, and control. It also directs the Safeguarding Adults Boards, which coordinate multi-agency responses and ensure effective safeguarding practices across regions (Social Care Wales, 2025a).  </w:t>
            </w:r>
          </w:p>
          <w:p w14:paraId="554364B1" w14:textId="77777777" w:rsidR="00E1237D" w:rsidRPr="00E1237D" w:rsidRDefault="00E1237D" w:rsidP="00E1237D">
            <w:pPr>
              <w:rPr>
                <w:sz w:val="24"/>
                <w:szCs w:val="24"/>
              </w:rPr>
            </w:pPr>
            <w:r w:rsidRPr="00E1237D">
              <w:rPr>
                <w:sz w:val="24"/>
                <w:szCs w:val="24"/>
              </w:rPr>
              <w:t>Social Services and Wellbeing (Wales) act 2014 (Welsh Government, 2014) works alongside the Health and Social Care (Wales) Act 2025 (Welsh Government, 2025</w:t>
            </w:r>
            <w:r w:rsidRPr="00E1237D">
              <w:rPr>
                <w:b/>
                <w:bCs/>
                <w:sz w:val="24"/>
                <w:szCs w:val="24"/>
              </w:rPr>
              <w:t>)</w:t>
            </w:r>
            <w:r w:rsidRPr="00E1237D">
              <w:rPr>
                <w:sz w:val="24"/>
                <w:szCs w:val="24"/>
              </w:rPr>
              <w:t>, which enhances the regulatory framework for social care services and its standards. It ensures that services are safe, effective, and accountable, and it updates provisions from earlier legislation to reflect current safeguarding needs</w:t>
            </w:r>
          </w:p>
          <w:p w14:paraId="157AB9C3" w14:textId="77777777" w:rsidR="00E1237D" w:rsidRPr="00E1237D" w:rsidRDefault="00E1237D" w:rsidP="00E1237D">
            <w:pPr>
              <w:rPr>
                <w:sz w:val="24"/>
                <w:szCs w:val="24"/>
              </w:rPr>
            </w:pPr>
            <w:r w:rsidRPr="00E1237D">
              <w:rPr>
                <w:sz w:val="24"/>
                <w:szCs w:val="24"/>
              </w:rPr>
              <w:t>Across the whole of Wales in Adults services, the Wales Safeguarding Procedures</w:t>
            </w:r>
            <w:r w:rsidRPr="00E1237D">
              <w:rPr>
                <w:b/>
                <w:bCs/>
                <w:sz w:val="24"/>
                <w:szCs w:val="24"/>
              </w:rPr>
              <w:t xml:space="preserve"> (</w:t>
            </w:r>
            <w:r w:rsidRPr="00E1237D">
              <w:rPr>
                <w:sz w:val="24"/>
                <w:szCs w:val="24"/>
              </w:rPr>
              <w:t xml:space="preserve">Social Care Wales, 2019) provide an integrated set of guidelines for professionals. These procedures ensure consistency in safeguarding practice and clearly outline the roles and responsibilities when responding to concerns about adults at risk. They are designed to be used by practitioners in health, social care, education, police, and third sector organisations, thus ensuring consistency across Wales. </w:t>
            </w:r>
          </w:p>
          <w:p w14:paraId="2035310E" w14:textId="77777777" w:rsidR="00E1237D" w:rsidRPr="00E1237D" w:rsidRDefault="00E1237D" w:rsidP="00E1237D">
            <w:pPr>
              <w:rPr>
                <w:sz w:val="24"/>
                <w:szCs w:val="24"/>
              </w:rPr>
            </w:pPr>
            <w:r w:rsidRPr="00E1237D">
              <w:rPr>
                <w:sz w:val="24"/>
                <w:szCs w:val="24"/>
              </w:rPr>
              <w:t>Locally, Regional Safeguarding Boards (RSBs) implement these procedures and develop area-specific protocols. For example, they provide training, resources, and guidance tailored to the needs of the local population in which that that RSBs is situated. These boards also support multi-agency collaboration and oversee safeguarding reviews when serious incidents occur (Social Care Wales, 2025a)</w:t>
            </w:r>
          </w:p>
          <w:p w14:paraId="33A796F1" w14:textId="77777777" w:rsidR="00E1237D" w:rsidRPr="00E1237D" w:rsidRDefault="00E1237D" w:rsidP="00E1237D">
            <w:pPr>
              <w:rPr>
                <w:sz w:val="24"/>
                <w:szCs w:val="24"/>
              </w:rPr>
            </w:pPr>
            <w:r w:rsidRPr="00E1237D">
              <w:rPr>
                <w:sz w:val="24"/>
                <w:szCs w:val="24"/>
              </w:rPr>
              <w:lastRenderedPageBreak/>
              <w:t>Organisationally, social work teams are expected to follow internal safeguarding policies that align with national legislation and guidance. These policies typically include procedures for reporting concerns, whistleblowing, safer recruitment, and responding to allegations against staff. Organisations such as ‘Social Care Wales’</w:t>
            </w:r>
            <w:r w:rsidRPr="00E1237D">
              <w:rPr>
                <w:b/>
                <w:bCs/>
                <w:sz w:val="24"/>
                <w:szCs w:val="24"/>
              </w:rPr>
              <w:t xml:space="preserve"> </w:t>
            </w:r>
            <w:r w:rsidRPr="00E1237D">
              <w:rPr>
                <w:sz w:val="24"/>
                <w:szCs w:val="24"/>
              </w:rPr>
              <w:t>(Social Care Wales, 2025b) offer resources and training to support compliance and professional development. Their safeguarding library includes guidance on topics specific to adults’ services such as self-neglect, hoarding, and modern slavery, which are increasingly common in adult safeguarding practice.</w:t>
            </w:r>
          </w:p>
          <w:p w14:paraId="3F565F83" w14:textId="77777777" w:rsidR="00E1237D" w:rsidRPr="00E1237D" w:rsidRDefault="00E1237D" w:rsidP="00E1237D">
            <w:pPr>
              <w:rPr>
                <w:sz w:val="24"/>
                <w:szCs w:val="24"/>
              </w:rPr>
            </w:pPr>
            <w:r w:rsidRPr="00E1237D">
              <w:rPr>
                <w:sz w:val="24"/>
                <w:szCs w:val="24"/>
              </w:rPr>
              <w:t>In practice, safeguarding adults requires vigilance, empathy, and a clear understanding of legal duties. It involves recognising signs of abuse or neglect, making appropriate referrals, and working collaboratively with other agencies. The emphasis on prevention, early intervention, and empowerment reflects the values of social work and the principles of the Welsh legislative framework.</w:t>
            </w:r>
          </w:p>
          <w:p w14:paraId="62E26D5E" w14:textId="6F9AF4C3" w:rsidR="009C364A" w:rsidRDefault="00E1237D" w:rsidP="00E1237D">
            <w:pPr>
              <w:jc w:val="both"/>
              <w:rPr>
                <w:sz w:val="24"/>
                <w:szCs w:val="24"/>
              </w:rPr>
            </w:pPr>
            <w:r w:rsidRPr="00E1237D">
              <w:rPr>
                <w:sz w:val="24"/>
                <w:szCs w:val="24"/>
              </w:rPr>
              <w:t>In conclusion, while my current focus is on children, understanding adult safeguarding is essential for holistic practice. The legislative and policy framework in Wales provides a comprehensive framework that supports professionals in protecting vulnerable adults and promoting their well-being.</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6E87DF2E" w14:textId="77777777" w:rsidR="00E1237D" w:rsidRDefault="00E1237D" w:rsidP="00FC0334">
            <w:pPr>
              <w:jc w:val="both"/>
              <w:rPr>
                <w:i/>
                <w:sz w:val="24"/>
                <w:szCs w:val="24"/>
              </w:rPr>
            </w:pPr>
          </w:p>
          <w:p w14:paraId="5C5C874E" w14:textId="77777777" w:rsidR="00E1237D" w:rsidRDefault="00E1237D" w:rsidP="00FC0334">
            <w:pPr>
              <w:jc w:val="both"/>
              <w:rPr>
                <w:i/>
                <w:sz w:val="24"/>
                <w:szCs w:val="24"/>
              </w:rPr>
            </w:pPr>
          </w:p>
          <w:p w14:paraId="3CAA5B4C" w14:textId="77777777" w:rsidR="005809FC" w:rsidRPr="005809FC" w:rsidRDefault="005809FC" w:rsidP="005809FC">
            <w:pPr>
              <w:rPr>
                <w:sz w:val="24"/>
                <w:szCs w:val="24"/>
              </w:rPr>
            </w:pPr>
            <w:r w:rsidRPr="005809FC">
              <w:rPr>
                <w:sz w:val="24"/>
                <w:szCs w:val="24"/>
              </w:rPr>
              <w:t>Safeguarding in Wales is dictated by ‘Social Services and Well-being (Wales) Act 2014’ (SSWBA</w:t>
            </w:r>
            <w:r w:rsidRPr="005809FC">
              <w:rPr>
                <w:b/>
                <w:bCs/>
                <w:sz w:val="24"/>
                <w:szCs w:val="24"/>
              </w:rPr>
              <w:t xml:space="preserve">) </w:t>
            </w:r>
            <w:r w:rsidRPr="005809FC">
              <w:rPr>
                <w:sz w:val="24"/>
                <w:szCs w:val="24"/>
              </w:rPr>
              <w:t>(Welsh Government, 2014). The application of safeguarding differs between adults and children.</w:t>
            </w:r>
          </w:p>
          <w:p w14:paraId="6E7D56C9" w14:textId="77777777" w:rsidR="005809FC" w:rsidRPr="005809FC" w:rsidRDefault="005809FC" w:rsidP="005809FC">
            <w:pPr>
              <w:rPr>
                <w:sz w:val="24"/>
                <w:szCs w:val="24"/>
              </w:rPr>
            </w:pPr>
            <w:r w:rsidRPr="005809FC">
              <w:rPr>
                <w:sz w:val="24"/>
                <w:szCs w:val="24"/>
              </w:rPr>
              <w:t>A legislative difference is the duty to investigate. For adults, this duty is set out in Section 126 of the SSWBA (Wales), which requires local authorities to make enquiries if there is “reasonable cause to suspect” that an individual is an adult at risk. Enquiries must be person-centred and consider the adult’s capacity, autonomy, and right to refuse support unless lacking capacity in relation to safeguarding (Welsh Government, 2014). Safeguarding children, falls under Section 47 of the Children Act 1989, which states local authorities must investigate if a child is suspected to be suffering or likely to suffer significant harm (</w:t>
            </w:r>
            <w:r w:rsidRPr="005809FC">
              <w:rPr>
                <w:rFonts w:asciiTheme="majorHAnsi" w:hAnsiTheme="majorHAnsi"/>
                <w:sz w:val="24"/>
                <w:szCs w:val="24"/>
              </w:rPr>
              <w:t>UK Government,1989</w:t>
            </w:r>
            <w:r w:rsidRPr="005809FC">
              <w:rPr>
                <w:sz w:val="24"/>
                <w:szCs w:val="24"/>
              </w:rPr>
              <w:t>).</w:t>
            </w:r>
          </w:p>
          <w:p w14:paraId="5977579A" w14:textId="77777777" w:rsidR="005809FC" w:rsidRPr="005809FC" w:rsidRDefault="005809FC" w:rsidP="005809FC">
            <w:pPr>
              <w:rPr>
                <w:sz w:val="24"/>
                <w:szCs w:val="24"/>
              </w:rPr>
            </w:pPr>
            <w:r w:rsidRPr="005809FC">
              <w:rPr>
                <w:sz w:val="24"/>
                <w:szCs w:val="24"/>
              </w:rPr>
              <w:t xml:space="preserve">In children and adult services there are notable differences in procedures. Safeguarding adults is guided by the Wales Safeguarding Procedures, which places an emphasis on empowerment, advocacy, and multi-agency collaboration (Social Care Wales, 2019). Adults are presumed to have capacity under the Mental Capacity Act 2005, and safeguarding must respect their right to make unwise decisions. (UK Government, 2005). When working with children under 16 we must consider Gillick competency which looks at their understanding to make decisions about their own care. When assessing the child, practitioners must consider the age, maturity and mental capacity as well as the child’s understanding of the issues including the long-term consequences, and the benefits and risks of said decision making (NSPCC, 2022). </w:t>
            </w:r>
          </w:p>
          <w:p w14:paraId="52688F14" w14:textId="77777777" w:rsidR="005809FC" w:rsidRPr="005809FC" w:rsidRDefault="005809FC" w:rsidP="005809FC">
            <w:pPr>
              <w:rPr>
                <w:sz w:val="24"/>
                <w:szCs w:val="24"/>
              </w:rPr>
            </w:pPr>
          </w:p>
          <w:p w14:paraId="1045CDD5" w14:textId="77777777" w:rsidR="005809FC" w:rsidRPr="005809FC" w:rsidRDefault="005809FC" w:rsidP="005809FC">
            <w:pPr>
              <w:rPr>
                <w:sz w:val="24"/>
                <w:szCs w:val="24"/>
              </w:rPr>
            </w:pPr>
            <w:r w:rsidRPr="005809FC">
              <w:rPr>
                <w:sz w:val="24"/>
                <w:szCs w:val="24"/>
              </w:rPr>
              <w:t xml:space="preserve">When considering adults services, the procedures encourage regular reviews of protection plans but may not prescribe to rigid timeframes or mandatory visits. Safeguarding children involves more prescriptive and time-bound actions. If a child is placed on the Child Protection Register, statutory requirements include visits at a minimum every 10 working days, seeing the child alone every six weeks, and convening ‘core group’ meetings within 10 days of the initial child protection conference, and regular child protection conference reviews every three to six months. </w:t>
            </w:r>
          </w:p>
          <w:p w14:paraId="60F61681" w14:textId="77777777" w:rsidR="005809FC" w:rsidRPr="005809FC" w:rsidRDefault="005809FC" w:rsidP="005809FC">
            <w:pPr>
              <w:rPr>
                <w:sz w:val="24"/>
                <w:szCs w:val="24"/>
              </w:rPr>
            </w:pPr>
            <w:r w:rsidRPr="005809FC">
              <w:rPr>
                <w:sz w:val="24"/>
                <w:szCs w:val="24"/>
              </w:rPr>
              <w:t>Another contrast between adult and children’s safeguarding is the existence of a ‘register’. Children at risk are listed on the Child Protection Register, which requires monitoring and coordination, and this is non-negotiable. No equivalent register exists for adults, reflecting the principle that adults retain control over their personal information and support unless safeguarding concerns override this.</w:t>
            </w:r>
          </w:p>
          <w:p w14:paraId="27C18EE1" w14:textId="5BCA408F" w:rsidR="00E1237D" w:rsidRDefault="005809FC" w:rsidP="005809FC">
            <w:pPr>
              <w:jc w:val="both"/>
              <w:rPr>
                <w:i/>
                <w:sz w:val="24"/>
                <w:szCs w:val="24"/>
              </w:rPr>
            </w:pPr>
            <w:r w:rsidRPr="005809FC">
              <w:rPr>
                <w:sz w:val="24"/>
                <w:szCs w:val="24"/>
              </w:rPr>
              <w:t xml:space="preserve">To conclude, whilst both safeguarding systems objectives are to prevent harm and promote well-being, children’s safeguarding is more directive and protective, whereas adult safeguarding is rights-based and collaborative. As a social worker in Wales, understanding these differences is essential for applying the correct legal duties and ethical principles in practice. </w:t>
            </w:r>
            <w:r w:rsidRPr="005809FC">
              <w:rPr>
                <w:b/>
                <w:bCs/>
                <w:sz w:val="24"/>
                <w:szCs w:val="24"/>
              </w:rPr>
              <w:t>(436 words</w:t>
            </w:r>
            <w:r w:rsidRPr="002F2366">
              <w:rPr>
                <w:b/>
                <w:bCs/>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D7654" w14:textId="77777777" w:rsidR="005A2388" w:rsidRDefault="005A2388">
      <w:r>
        <w:separator/>
      </w:r>
    </w:p>
  </w:endnote>
  <w:endnote w:type="continuationSeparator" w:id="0">
    <w:p w14:paraId="32B96B61" w14:textId="77777777" w:rsidR="005A2388" w:rsidRDefault="005A2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8B15C" w14:textId="77777777" w:rsidR="005A2388" w:rsidRDefault="005A2388">
      <w:r>
        <w:separator/>
      </w:r>
    </w:p>
  </w:footnote>
  <w:footnote w:type="continuationSeparator" w:id="0">
    <w:p w14:paraId="725A2B1B" w14:textId="77777777" w:rsidR="005A2388" w:rsidRDefault="005A2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5439"/>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09FC"/>
    <w:rsid w:val="00581E0A"/>
    <w:rsid w:val="00586D89"/>
    <w:rsid w:val="005877C8"/>
    <w:rsid w:val="00587923"/>
    <w:rsid w:val="00594F9F"/>
    <w:rsid w:val="005A1B4C"/>
    <w:rsid w:val="005A2388"/>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2A5B"/>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68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00C3"/>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4B75"/>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364A"/>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37D"/>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A3D"/>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6309"/>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1067</Words>
  <Characters>6932</Characters>
  <Application>Microsoft Office Word</Application>
  <DocSecurity>0</DocSecurity>
  <Lines>103</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Aimee Roberts</cp:lastModifiedBy>
  <cp:revision>8</cp:revision>
  <cp:lastPrinted>2020-02-11T19:20:00Z</cp:lastPrinted>
  <dcterms:created xsi:type="dcterms:W3CDTF">2025-10-03T21:00:00Z</dcterms:created>
  <dcterms:modified xsi:type="dcterms:W3CDTF">2025-10-06T16:47:00Z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