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378FA1" w14:textId="01355CED" w:rsidR="00340834" w:rsidRPr="00D7508A" w:rsidRDefault="00340834" w:rsidP="00D7508A">
      <w:pPr>
        <w:spacing w:line="360" w:lineRule="auto"/>
        <w:jc w:val="both"/>
        <w:rPr>
          <w:rFonts w:ascii="Arial" w:hAnsi="Arial" w:cs="Arial"/>
          <w:b/>
          <w:bCs/>
          <w:sz w:val="24"/>
          <w:szCs w:val="24"/>
          <w:u w:val="single"/>
        </w:rPr>
      </w:pPr>
      <w:r w:rsidRPr="00D7508A">
        <w:rPr>
          <w:rFonts w:ascii="Arial" w:hAnsi="Arial" w:cs="Arial"/>
          <w:b/>
          <w:bCs/>
          <w:sz w:val="24"/>
          <w:szCs w:val="24"/>
          <w:u w:val="single"/>
        </w:rPr>
        <w:t>Dissertation Proposal</w:t>
      </w:r>
    </w:p>
    <w:p w14:paraId="53EC50B7" w14:textId="77777777" w:rsidR="00A65C06" w:rsidRPr="00D7508A" w:rsidRDefault="00A65C06" w:rsidP="00D7508A">
      <w:pPr>
        <w:spacing w:line="360" w:lineRule="auto"/>
        <w:jc w:val="both"/>
        <w:rPr>
          <w:rFonts w:ascii="Arial" w:hAnsi="Arial" w:cs="Arial"/>
          <w:sz w:val="24"/>
          <w:szCs w:val="24"/>
        </w:rPr>
      </w:pPr>
    </w:p>
    <w:p w14:paraId="2E0D9393" w14:textId="23236B25" w:rsidR="008D3405" w:rsidRPr="006538BC" w:rsidRDefault="00340834" w:rsidP="006538BC">
      <w:pPr>
        <w:spacing w:line="360" w:lineRule="auto"/>
        <w:jc w:val="center"/>
        <w:rPr>
          <w:rFonts w:ascii="Arial" w:hAnsi="Arial" w:cs="Arial"/>
          <w:b/>
          <w:bCs/>
          <w:sz w:val="28"/>
          <w:szCs w:val="28"/>
        </w:rPr>
      </w:pPr>
      <w:r w:rsidRPr="006538BC">
        <w:rPr>
          <w:rFonts w:ascii="Arial" w:hAnsi="Arial" w:cs="Arial"/>
          <w:b/>
          <w:bCs/>
          <w:sz w:val="28"/>
          <w:szCs w:val="28"/>
        </w:rPr>
        <w:t>Title </w:t>
      </w:r>
      <w:r w:rsidR="00EA16F9" w:rsidRPr="006538BC">
        <w:rPr>
          <w:rFonts w:ascii="Arial" w:hAnsi="Arial" w:cs="Arial"/>
          <w:b/>
          <w:bCs/>
          <w:sz w:val="28"/>
          <w:szCs w:val="28"/>
        </w:rPr>
        <w:t>:  Supply Chains Under Stress: Covid-19, Organisational Responses, and Reconfiguration of Supply Chain Resilience - A Secondary Qualitative Study</w:t>
      </w:r>
    </w:p>
    <w:p w14:paraId="62E7FB68" w14:textId="77777777" w:rsidR="00C12ABA" w:rsidRDefault="00C12ABA">
      <w:pPr>
        <w:rPr>
          <w:rFonts w:ascii="Arial" w:hAnsi="Arial" w:cs="Arial"/>
          <w:sz w:val="24"/>
          <w:szCs w:val="24"/>
        </w:rPr>
      </w:pPr>
    </w:p>
    <w:p w14:paraId="609F31D3" w14:textId="77777777" w:rsidR="00C12ABA" w:rsidRDefault="00C12ABA">
      <w:pPr>
        <w:rPr>
          <w:rFonts w:ascii="Arial" w:hAnsi="Arial" w:cs="Arial"/>
          <w:sz w:val="24"/>
          <w:szCs w:val="24"/>
        </w:rPr>
      </w:pPr>
    </w:p>
    <w:p w14:paraId="4D1CD79B" w14:textId="770F9734" w:rsidR="006538BC" w:rsidRDefault="006538BC">
      <w:pPr>
        <w:rPr>
          <w:rFonts w:ascii="Arial" w:hAnsi="Arial" w:cs="Arial"/>
          <w:sz w:val="24"/>
          <w:szCs w:val="24"/>
        </w:rPr>
      </w:pPr>
      <w:r>
        <w:rPr>
          <w:rFonts w:ascii="Arial" w:hAnsi="Arial" w:cs="Arial"/>
          <w:sz w:val="24"/>
          <w:szCs w:val="24"/>
        </w:rPr>
        <w:t>Student Name &amp; ID:</w:t>
      </w:r>
      <w:r w:rsidR="005D6BA4">
        <w:rPr>
          <w:rFonts w:ascii="Arial" w:hAnsi="Arial" w:cs="Arial"/>
          <w:sz w:val="24"/>
          <w:szCs w:val="24"/>
        </w:rPr>
        <w:t xml:space="preserve"> chitaliya nidhi dipakbhai &amp; 2432183</w:t>
      </w:r>
    </w:p>
    <w:p w14:paraId="0A55DE23" w14:textId="33526D9F" w:rsidR="006538BC" w:rsidRDefault="006538BC">
      <w:pPr>
        <w:rPr>
          <w:rFonts w:ascii="Arial" w:hAnsi="Arial" w:cs="Arial"/>
          <w:sz w:val="24"/>
          <w:szCs w:val="24"/>
        </w:rPr>
      </w:pPr>
      <w:r>
        <w:rPr>
          <w:rFonts w:ascii="Arial" w:hAnsi="Arial" w:cs="Arial"/>
          <w:sz w:val="24"/>
          <w:szCs w:val="24"/>
        </w:rPr>
        <w:t>Word count:</w:t>
      </w:r>
      <w:r w:rsidR="00C12ABA">
        <w:rPr>
          <w:rFonts w:ascii="Arial" w:hAnsi="Arial" w:cs="Arial"/>
          <w:sz w:val="24"/>
          <w:szCs w:val="24"/>
        </w:rPr>
        <w:t xml:space="preserve"> 2509</w:t>
      </w:r>
    </w:p>
    <w:p w14:paraId="7674420A" w14:textId="7497DDD4" w:rsidR="00E75AAF" w:rsidRDefault="006538BC">
      <w:pPr>
        <w:rPr>
          <w:rFonts w:ascii="Arial" w:hAnsi="Arial" w:cs="Arial"/>
          <w:sz w:val="24"/>
          <w:szCs w:val="24"/>
        </w:rPr>
      </w:pPr>
      <w:r>
        <w:rPr>
          <w:rFonts w:ascii="Arial" w:hAnsi="Arial" w:cs="Arial"/>
          <w:sz w:val="24"/>
          <w:szCs w:val="24"/>
        </w:rPr>
        <w:t xml:space="preserve">Submission Date: </w:t>
      </w:r>
      <w:r w:rsidR="005D6BA4">
        <w:rPr>
          <w:rFonts w:ascii="Arial" w:hAnsi="Arial" w:cs="Arial"/>
          <w:sz w:val="24"/>
          <w:szCs w:val="24"/>
        </w:rPr>
        <w:t>18/02/2026</w:t>
      </w:r>
    </w:p>
    <w:p w14:paraId="4B84245A" w14:textId="77777777" w:rsidR="00E75AAF" w:rsidRPr="00E75AAF" w:rsidRDefault="00E75AAF">
      <w:pPr>
        <w:rPr>
          <w:rFonts w:ascii="Arial" w:hAnsi="Arial" w:cs="Arial"/>
          <w:color w:val="000000" w:themeColor="text1"/>
          <w:sz w:val="24"/>
          <w:szCs w:val="24"/>
        </w:rPr>
      </w:pPr>
      <w:r w:rsidRPr="00E75AAF">
        <w:rPr>
          <w:rFonts w:ascii="Arial" w:hAnsi="Arial" w:cs="Arial"/>
          <w:color w:val="000000" w:themeColor="text1"/>
          <w:sz w:val="24"/>
          <w:szCs w:val="24"/>
        </w:rPr>
        <w:br w:type="page"/>
      </w:r>
    </w:p>
    <w:p w14:paraId="214D8E32" w14:textId="77777777" w:rsidR="006538BC" w:rsidRDefault="006538BC">
      <w:pPr>
        <w:rPr>
          <w:rFonts w:ascii="Arial" w:hAnsi="Arial" w:cs="Arial"/>
          <w:sz w:val="24"/>
          <w:szCs w:val="24"/>
        </w:rPr>
      </w:pPr>
    </w:p>
    <w:sdt>
      <w:sdtPr>
        <w:rPr>
          <w:rFonts w:asciiTheme="minorHAnsi" w:eastAsiaTheme="minorEastAsia" w:hAnsiTheme="minorHAnsi" w:cstheme="minorBidi"/>
          <w:color w:val="auto"/>
          <w:kern w:val="2"/>
          <w:sz w:val="22"/>
          <w:szCs w:val="22"/>
          <w:lang w:val="en-GB" w:eastAsia="zh-CN"/>
          <w14:ligatures w14:val="standardContextual"/>
        </w:rPr>
        <w:id w:val="-1104189103"/>
        <w:docPartObj>
          <w:docPartGallery w:val="Table of Contents"/>
          <w:docPartUnique/>
        </w:docPartObj>
      </w:sdtPr>
      <w:sdtEndPr>
        <w:rPr>
          <w:b/>
          <w:bCs/>
          <w:noProof/>
        </w:rPr>
      </w:sdtEndPr>
      <w:sdtContent>
        <w:p w14:paraId="0499A7B5" w14:textId="400A6D8B" w:rsidR="00C12ABA" w:rsidRPr="00E75AAF" w:rsidRDefault="00C12ABA" w:rsidP="00E75AAF">
          <w:pPr>
            <w:pStyle w:val="TOCHeading"/>
            <w:spacing w:line="360" w:lineRule="auto"/>
            <w:jc w:val="center"/>
            <w:rPr>
              <w:rFonts w:ascii="Arial" w:hAnsi="Arial" w:cs="Arial"/>
              <w:b/>
              <w:bCs/>
              <w:color w:val="000000" w:themeColor="text1"/>
              <w:sz w:val="24"/>
              <w:szCs w:val="24"/>
            </w:rPr>
          </w:pPr>
          <w:r w:rsidRPr="00E75AAF">
            <w:rPr>
              <w:rFonts w:ascii="Arial" w:hAnsi="Arial" w:cs="Arial"/>
              <w:b/>
              <w:bCs/>
              <w:color w:val="000000" w:themeColor="text1"/>
              <w:sz w:val="24"/>
              <w:szCs w:val="24"/>
            </w:rPr>
            <w:t>Table of Contents</w:t>
          </w:r>
        </w:p>
        <w:p w14:paraId="7BDF37EB" w14:textId="032326DE" w:rsidR="00C12ABA" w:rsidRPr="00E75AAF" w:rsidRDefault="00C12ABA" w:rsidP="00E75AAF">
          <w:pPr>
            <w:pStyle w:val="TOC1"/>
            <w:tabs>
              <w:tab w:val="right" w:leader="dot" w:pos="9016"/>
            </w:tabs>
            <w:spacing w:line="360" w:lineRule="auto"/>
            <w:jc w:val="both"/>
            <w:rPr>
              <w:rFonts w:ascii="Arial" w:hAnsi="Arial" w:cs="Arial"/>
              <w:noProof/>
              <w:sz w:val="24"/>
              <w:szCs w:val="24"/>
            </w:rPr>
          </w:pPr>
          <w:r w:rsidRPr="00E75AAF">
            <w:rPr>
              <w:rFonts w:ascii="Arial" w:hAnsi="Arial" w:cs="Arial"/>
              <w:sz w:val="24"/>
              <w:szCs w:val="24"/>
            </w:rPr>
            <w:fldChar w:fldCharType="begin"/>
          </w:r>
          <w:r w:rsidRPr="00E75AAF">
            <w:rPr>
              <w:rFonts w:ascii="Arial" w:hAnsi="Arial" w:cs="Arial"/>
              <w:sz w:val="24"/>
              <w:szCs w:val="24"/>
            </w:rPr>
            <w:instrText xml:space="preserve"> TOC \o "1-3" \h \z \u </w:instrText>
          </w:r>
          <w:r w:rsidRPr="00E75AAF">
            <w:rPr>
              <w:rFonts w:ascii="Arial" w:hAnsi="Arial" w:cs="Arial"/>
              <w:sz w:val="24"/>
              <w:szCs w:val="24"/>
            </w:rPr>
            <w:fldChar w:fldCharType="separate"/>
          </w:r>
          <w:hyperlink w:anchor="_Toc222256687" w:history="1">
            <w:r w:rsidRPr="00E75AAF">
              <w:rPr>
                <w:rStyle w:val="Hyperlink"/>
                <w:rFonts w:ascii="Arial" w:hAnsi="Arial" w:cs="Arial"/>
                <w:noProof/>
                <w:sz w:val="24"/>
                <w:szCs w:val="24"/>
              </w:rPr>
              <w:t xml:space="preserve">Background and </w:t>
            </w:r>
            <w:r w:rsidRPr="00E75AAF">
              <w:rPr>
                <w:rStyle w:val="Hyperlink"/>
                <w:rFonts w:ascii="Arial" w:hAnsi="Arial" w:cs="Arial"/>
                <w:bCs/>
                <w:noProof/>
                <w:sz w:val="24"/>
                <w:szCs w:val="24"/>
              </w:rPr>
              <w:t>Research</w:t>
            </w:r>
            <w:r w:rsidRPr="00E75AAF">
              <w:rPr>
                <w:rStyle w:val="Hyperlink"/>
                <w:rFonts w:ascii="Arial" w:hAnsi="Arial" w:cs="Arial"/>
                <w:noProof/>
                <w:sz w:val="24"/>
                <w:szCs w:val="24"/>
              </w:rPr>
              <w:t xml:space="preserve"> rationale</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_Toc222256687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2</w:t>
            </w:r>
            <w:r w:rsidRPr="00E75AAF">
              <w:rPr>
                <w:rFonts w:ascii="Arial" w:hAnsi="Arial" w:cs="Arial"/>
                <w:noProof/>
                <w:webHidden/>
                <w:sz w:val="24"/>
                <w:szCs w:val="24"/>
              </w:rPr>
              <w:fldChar w:fldCharType="end"/>
            </w:r>
          </w:hyperlink>
        </w:p>
        <w:p w14:paraId="3D713B31" w14:textId="0EA948EB" w:rsidR="00C12ABA" w:rsidRPr="00E75AAF" w:rsidRDefault="00C12ABA" w:rsidP="00E75AAF">
          <w:pPr>
            <w:pStyle w:val="TOC1"/>
            <w:tabs>
              <w:tab w:val="right" w:leader="dot" w:pos="9016"/>
            </w:tabs>
            <w:spacing w:line="360" w:lineRule="auto"/>
            <w:jc w:val="both"/>
            <w:rPr>
              <w:rFonts w:ascii="Arial" w:hAnsi="Arial" w:cs="Arial"/>
              <w:noProof/>
              <w:sz w:val="24"/>
              <w:szCs w:val="24"/>
            </w:rPr>
          </w:pPr>
          <w:hyperlink w:anchor="_Toc222256688" w:history="1">
            <w:r w:rsidRPr="00E75AAF">
              <w:rPr>
                <w:rStyle w:val="Hyperlink"/>
                <w:rFonts w:ascii="Arial" w:hAnsi="Arial" w:cs="Arial"/>
                <w:noProof/>
                <w:sz w:val="24"/>
                <w:szCs w:val="24"/>
              </w:rPr>
              <w:t>Research aim, objectives, questions</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_Toc222256688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4</w:t>
            </w:r>
            <w:r w:rsidRPr="00E75AAF">
              <w:rPr>
                <w:rFonts w:ascii="Arial" w:hAnsi="Arial" w:cs="Arial"/>
                <w:noProof/>
                <w:webHidden/>
                <w:sz w:val="24"/>
                <w:szCs w:val="24"/>
              </w:rPr>
              <w:fldChar w:fldCharType="end"/>
            </w:r>
          </w:hyperlink>
        </w:p>
        <w:p w14:paraId="3BF8945A" w14:textId="4E76D417" w:rsidR="00C12ABA" w:rsidRPr="00E75AAF" w:rsidRDefault="00C12ABA" w:rsidP="00E75AAF">
          <w:pPr>
            <w:pStyle w:val="TOC1"/>
            <w:tabs>
              <w:tab w:val="right" w:leader="dot" w:pos="9016"/>
            </w:tabs>
            <w:spacing w:line="360" w:lineRule="auto"/>
            <w:jc w:val="both"/>
            <w:rPr>
              <w:rFonts w:ascii="Arial" w:hAnsi="Arial" w:cs="Arial"/>
              <w:noProof/>
              <w:sz w:val="24"/>
              <w:szCs w:val="24"/>
            </w:rPr>
          </w:pPr>
          <w:hyperlink w:anchor="_Toc222256689" w:history="1">
            <w:r w:rsidRPr="00E75AAF">
              <w:rPr>
                <w:rStyle w:val="Hyperlink"/>
                <w:rFonts w:ascii="Arial" w:hAnsi="Arial" w:cs="Arial"/>
                <w:noProof/>
                <w:sz w:val="24"/>
                <w:szCs w:val="24"/>
              </w:rPr>
              <w:t>Preliminary literature search</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_Toc222256689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4</w:t>
            </w:r>
            <w:r w:rsidRPr="00E75AAF">
              <w:rPr>
                <w:rFonts w:ascii="Arial" w:hAnsi="Arial" w:cs="Arial"/>
                <w:noProof/>
                <w:webHidden/>
                <w:sz w:val="24"/>
                <w:szCs w:val="24"/>
              </w:rPr>
              <w:fldChar w:fldCharType="end"/>
            </w:r>
          </w:hyperlink>
        </w:p>
        <w:p w14:paraId="4A601A76" w14:textId="5B3B354D" w:rsidR="00C12ABA" w:rsidRPr="00E75AAF" w:rsidRDefault="00C12ABA" w:rsidP="00E75AAF">
          <w:pPr>
            <w:pStyle w:val="TOC1"/>
            <w:tabs>
              <w:tab w:val="right" w:leader="dot" w:pos="9016"/>
            </w:tabs>
            <w:spacing w:line="360" w:lineRule="auto"/>
            <w:jc w:val="both"/>
            <w:rPr>
              <w:rFonts w:ascii="Arial" w:hAnsi="Arial" w:cs="Arial"/>
              <w:noProof/>
              <w:sz w:val="24"/>
              <w:szCs w:val="24"/>
            </w:rPr>
          </w:pPr>
          <w:hyperlink w:anchor="_Toc222256690" w:history="1">
            <w:r w:rsidRPr="00E75AAF">
              <w:rPr>
                <w:rStyle w:val="Hyperlink"/>
                <w:rFonts w:ascii="Arial" w:hAnsi="Arial" w:cs="Arial"/>
                <w:noProof/>
                <w:sz w:val="24"/>
                <w:szCs w:val="24"/>
              </w:rPr>
              <w:t>Research methodology</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_Toc222256690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7</w:t>
            </w:r>
            <w:r w:rsidRPr="00E75AAF">
              <w:rPr>
                <w:rFonts w:ascii="Arial" w:hAnsi="Arial" w:cs="Arial"/>
                <w:noProof/>
                <w:webHidden/>
                <w:sz w:val="24"/>
                <w:szCs w:val="24"/>
              </w:rPr>
              <w:fldChar w:fldCharType="end"/>
            </w:r>
          </w:hyperlink>
        </w:p>
        <w:p w14:paraId="63E3EB92" w14:textId="790EDAEA" w:rsidR="00C12ABA" w:rsidRPr="00E75AAF" w:rsidRDefault="00C12ABA" w:rsidP="00E75AAF">
          <w:pPr>
            <w:pStyle w:val="TOC1"/>
            <w:tabs>
              <w:tab w:val="right" w:leader="dot" w:pos="9016"/>
            </w:tabs>
            <w:spacing w:line="360" w:lineRule="auto"/>
            <w:jc w:val="both"/>
            <w:rPr>
              <w:rFonts w:ascii="Arial" w:hAnsi="Arial" w:cs="Arial"/>
              <w:noProof/>
              <w:sz w:val="24"/>
              <w:szCs w:val="24"/>
            </w:rPr>
          </w:pPr>
          <w:hyperlink w:anchor="_Toc222256691" w:history="1">
            <w:r w:rsidRPr="00E75AAF">
              <w:rPr>
                <w:rStyle w:val="Hyperlink"/>
                <w:rFonts w:ascii="Arial" w:hAnsi="Arial" w:cs="Arial"/>
                <w:noProof/>
                <w:sz w:val="24"/>
                <w:szCs w:val="24"/>
              </w:rPr>
              <w:t>Risks</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_Toc222256691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10</w:t>
            </w:r>
            <w:r w:rsidRPr="00E75AAF">
              <w:rPr>
                <w:rFonts w:ascii="Arial" w:hAnsi="Arial" w:cs="Arial"/>
                <w:noProof/>
                <w:webHidden/>
                <w:sz w:val="24"/>
                <w:szCs w:val="24"/>
              </w:rPr>
              <w:fldChar w:fldCharType="end"/>
            </w:r>
          </w:hyperlink>
        </w:p>
        <w:p w14:paraId="39D11D8D" w14:textId="46EE88E6" w:rsidR="00C12ABA" w:rsidRPr="00E75AAF" w:rsidRDefault="00C12ABA" w:rsidP="00E75AAF">
          <w:pPr>
            <w:pStyle w:val="TOC1"/>
            <w:tabs>
              <w:tab w:val="right" w:leader="dot" w:pos="9016"/>
            </w:tabs>
            <w:spacing w:line="360" w:lineRule="auto"/>
            <w:jc w:val="both"/>
            <w:rPr>
              <w:rFonts w:ascii="Arial" w:hAnsi="Arial" w:cs="Arial"/>
              <w:noProof/>
              <w:sz w:val="24"/>
              <w:szCs w:val="24"/>
            </w:rPr>
          </w:pPr>
          <w:hyperlink w:anchor="_Toc222256692" w:history="1">
            <w:r w:rsidRPr="00E75AAF">
              <w:rPr>
                <w:rStyle w:val="Hyperlink"/>
                <w:rFonts w:ascii="Arial" w:hAnsi="Arial" w:cs="Arial"/>
                <w:noProof/>
                <w:sz w:val="24"/>
                <w:szCs w:val="24"/>
              </w:rPr>
              <w:t>Timeline</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_Toc222256692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11</w:t>
            </w:r>
            <w:r w:rsidRPr="00E75AAF">
              <w:rPr>
                <w:rFonts w:ascii="Arial" w:hAnsi="Arial" w:cs="Arial"/>
                <w:noProof/>
                <w:webHidden/>
                <w:sz w:val="24"/>
                <w:szCs w:val="24"/>
              </w:rPr>
              <w:fldChar w:fldCharType="end"/>
            </w:r>
          </w:hyperlink>
        </w:p>
        <w:p w14:paraId="26677813" w14:textId="4681782A" w:rsidR="00C12ABA" w:rsidRPr="00E75AAF" w:rsidRDefault="00C12ABA" w:rsidP="00E75AAF">
          <w:pPr>
            <w:pStyle w:val="TOC1"/>
            <w:tabs>
              <w:tab w:val="right" w:leader="dot" w:pos="9016"/>
            </w:tabs>
            <w:spacing w:line="360" w:lineRule="auto"/>
            <w:jc w:val="both"/>
            <w:rPr>
              <w:rFonts w:ascii="Arial" w:hAnsi="Arial" w:cs="Arial"/>
              <w:noProof/>
              <w:sz w:val="24"/>
              <w:szCs w:val="24"/>
            </w:rPr>
          </w:pPr>
          <w:hyperlink w:anchor="_Toc222256693" w:history="1">
            <w:r w:rsidRPr="00E75AAF">
              <w:rPr>
                <w:rStyle w:val="Hyperlink"/>
                <w:rFonts w:ascii="Arial" w:hAnsi="Arial" w:cs="Arial"/>
                <w:noProof/>
                <w:sz w:val="24"/>
                <w:szCs w:val="24"/>
                <w:lang w:val="en-IN"/>
              </w:rPr>
              <w:t>Reference list</w:t>
            </w:r>
            <w:r w:rsidRPr="00E75AAF">
              <w:rPr>
                <w:rFonts w:ascii="Arial" w:hAnsi="Arial" w:cs="Arial"/>
                <w:noProof/>
                <w:webHidden/>
                <w:sz w:val="24"/>
                <w:szCs w:val="24"/>
              </w:rPr>
              <w:tab/>
            </w:r>
            <w:r w:rsidRPr="00E75AAF">
              <w:rPr>
                <w:rFonts w:ascii="Arial" w:hAnsi="Arial" w:cs="Arial"/>
                <w:noProof/>
                <w:webHidden/>
                <w:sz w:val="24"/>
                <w:szCs w:val="24"/>
              </w:rPr>
              <w:fldChar w:fldCharType="begin"/>
            </w:r>
            <w:r w:rsidRPr="00E75AAF">
              <w:rPr>
                <w:rFonts w:ascii="Arial" w:hAnsi="Arial" w:cs="Arial"/>
                <w:noProof/>
                <w:webHidden/>
                <w:sz w:val="24"/>
                <w:szCs w:val="24"/>
              </w:rPr>
              <w:instrText xml:space="preserve"> PAGEREF _Toc222256693 \h </w:instrText>
            </w:r>
            <w:r w:rsidRPr="00E75AAF">
              <w:rPr>
                <w:rFonts w:ascii="Arial" w:hAnsi="Arial" w:cs="Arial"/>
                <w:noProof/>
                <w:webHidden/>
                <w:sz w:val="24"/>
                <w:szCs w:val="24"/>
              </w:rPr>
            </w:r>
            <w:r w:rsidRPr="00E75AAF">
              <w:rPr>
                <w:rFonts w:ascii="Arial" w:hAnsi="Arial" w:cs="Arial"/>
                <w:noProof/>
                <w:webHidden/>
                <w:sz w:val="24"/>
                <w:szCs w:val="24"/>
              </w:rPr>
              <w:fldChar w:fldCharType="separate"/>
            </w:r>
            <w:r w:rsidRPr="00E75AAF">
              <w:rPr>
                <w:rFonts w:ascii="Arial" w:hAnsi="Arial" w:cs="Arial"/>
                <w:noProof/>
                <w:webHidden/>
                <w:sz w:val="24"/>
                <w:szCs w:val="24"/>
              </w:rPr>
              <w:t>12</w:t>
            </w:r>
            <w:r w:rsidRPr="00E75AAF">
              <w:rPr>
                <w:rFonts w:ascii="Arial" w:hAnsi="Arial" w:cs="Arial"/>
                <w:noProof/>
                <w:webHidden/>
                <w:sz w:val="24"/>
                <w:szCs w:val="24"/>
              </w:rPr>
              <w:fldChar w:fldCharType="end"/>
            </w:r>
          </w:hyperlink>
        </w:p>
        <w:p w14:paraId="15C37145" w14:textId="6FEBB1A1" w:rsidR="00C12ABA" w:rsidRDefault="00C12ABA" w:rsidP="00E75AAF">
          <w:pPr>
            <w:spacing w:line="360" w:lineRule="auto"/>
            <w:jc w:val="both"/>
          </w:pPr>
          <w:r w:rsidRPr="00E75AAF">
            <w:rPr>
              <w:rFonts w:ascii="Arial" w:hAnsi="Arial" w:cs="Arial"/>
              <w:b/>
              <w:bCs/>
              <w:noProof/>
              <w:sz w:val="24"/>
              <w:szCs w:val="24"/>
            </w:rPr>
            <w:fldChar w:fldCharType="end"/>
          </w:r>
        </w:p>
      </w:sdtContent>
    </w:sdt>
    <w:p w14:paraId="3457B0B9" w14:textId="77777777" w:rsidR="00340834" w:rsidRPr="008D3405" w:rsidRDefault="00340834" w:rsidP="008D3405">
      <w:pPr>
        <w:spacing w:line="360" w:lineRule="auto"/>
        <w:jc w:val="both"/>
        <w:rPr>
          <w:rFonts w:ascii="Arial" w:hAnsi="Arial" w:cs="Arial"/>
          <w:sz w:val="24"/>
          <w:szCs w:val="24"/>
        </w:rPr>
      </w:pPr>
    </w:p>
    <w:p w14:paraId="2366EE18" w14:textId="77777777" w:rsidR="006538BC" w:rsidRDefault="006538BC">
      <w:pPr>
        <w:rPr>
          <w:rFonts w:ascii="Arial" w:eastAsiaTheme="majorEastAsia" w:hAnsi="Arial" w:cstheme="majorBidi"/>
          <w:b/>
          <w:color w:val="000000" w:themeColor="text1"/>
          <w:sz w:val="24"/>
          <w:szCs w:val="32"/>
        </w:rPr>
      </w:pPr>
      <w:r>
        <w:br w:type="page"/>
      </w:r>
    </w:p>
    <w:p w14:paraId="59E33CDA" w14:textId="1B0B812A" w:rsidR="00340834" w:rsidRDefault="00340834" w:rsidP="008D3405">
      <w:pPr>
        <w:pStyle w:val="Heading1"/>
      </w:pPr>
      <w:bookmarkStart w:id="0" w:name="_Toc222256687"/>
      <w:r w:rsidRPr="00D7508A">
        <w:lastRenderedPageBreak/>
        <w:t>Background</w:t>
      </w:r>
      <w:r w:rsidR="00EA16F9" w:rsidRPr="00D7508A">
        <w:t xml:space="preserve"> and </w:t>
      </w:r>
      <w:r w:rsidRPr="008D3405">
        <w:rPr>
          <w:rFonts w:cs="Arial"/>
          <w:b w:val="0"/>
          <w:bCs/>
          <w:szCs w:val="24"/>
        </w:rPr>
        <w:t>Research</w:t>
      </w:r>
      <w:r w:rsidRPr="00D7508A">
        <w:t xml:space="preserve"> </w:t>
      </w:r>
      <w:r w:rsidR="008D3405">
        <w:t>rationale</w:t>
      </w:r>
      <w:bookmarkEnd w:id="0"/>
      <w:r w:rsidR="008D3405">
        <w:t xml:space="preserve"> </w:t>
      </w:r>
      <w:r w:rsidRPr="00D7508A">
        <w:t> </w:t>
      </w:r>
    </w:p>
    <w:p w14:paraId="07F440E7" w14:textId="77777777" w:rsidR="008D3405" w:rsidRDefault="008D3405" w:rsidP="008D3405">
      <w:pPr>
        <w:spacing w:line="360" w:lineRule="auto"/>
        <w:jc w:val="both"/>
        <w:rPr>
          <w:rFonts w:ascii="Arial" w:hAnsi="Arial" w:cs="Arial"/>
          <w:sz w:val="24"/>
          <w:szCs w:val="24"/>
        </w:rPr>
      </w:pPr>
      <w:r w:rsidRPr="008D3405">
        <w:rPr>
          <w:rFonts w:ascii="Arial" w:hAnsi="Arial" w:cs="Arial"/>
          <w:sz w:val="24"/>
          <w:szCs w:val="24"/>
        </w:rPr>
        <w:t xml:space="preserve">A major instance of the Covid-19 pandemic disproportionately affecting global supply chains (GSCs) in contemporary economic history was the exposure of systemic vulnerabilities that decades of lean, efficiency-focused supply chain design had contributed to. Compared to other recent outbreaks like SARS in 2003 or the H1N1 in 2009, Covid-19 simultaneously impacted supply chains networks at all nodes and linkages, in addition to supply and demand of all major economies at the same time (Xu </w:t>
      </w:r>
      <w:r w:rsidRPr="008D3405">
        <w:rPr>
          <w:rFonts w:ascii="Arial" w:hAnsi="Arial" w:cs="Arial"/>
          <w:i/>
          <w:iCs/>
          <w:sz w:val="24"/>
          <w:szCs w:val="24"/>
        </w:rPr>
        <w:t>et al</w:t>
      </w:r>
      <w:r w:rsidRPr="008D3405">
        <w:rPr>
          <w:rFonts w:ascii="Arial" w:hAnsi="Arial" w:cs="Arial"/>
          <w:sz w:val="24"/>
          <w:szCs w:val="24"/>
        </w:rPr>
        <w:t xml:space="preserve">., 2020). The World Trade Organisation predicted that almost all areas were going to experience double-digit losses in trade volumes with exports of the North American and Asian regions experiencing the greatest impact and trade decreasing (WTO, 2020). Kiyota, (2021) estimates show that the virus reduced the growth of the world economy by between 6.0% in 2020, the world trade dropped by an average of about 9.2% based on the severity and scale of the economic decline. These indicators prove that the economic flow of the pandemic worked disproportionately by trade and production chains, and the whole direction of supply chains was weak around the world, in particular. </w:t>
      </w:r>
    </w:p>
    <w:p w14:paraId="387836B2" w14:textId="7540CFD1" w:rsidR="006538BC" w:rsidRDefault="006538BC" w:rsidP="006538BC">
      <w:pPr>
        <w:spacing w:line="360" w:lineRule="auto"/>
        <w:jc w:val="center"/>
        <w:rPr>
          <w:rFonts w:ascii="Arial" w:hAnsi="Arial" w:cs="Arial"/>
          <w:sz w:val="24"/>
          <w:szCs w:val="24"/>
        </w:rPr>
      </w:pPr>
      <w:r w:rsidRPr="006538BC">
        <w:rPr>
          <w:rFonts w:ascii="Arial" w:hAnsi="Arial" w:cs="Arial"/>
          <w:noProof/>
          <w:sz w:val="24"/>
          <w:szCs w:val="24"/>
        </w:rPr>
        <w:drawing>
          <wp:inline distT="0" distB="0" distL="0" distR="0" wp14:anchorId="52717757" wp14:editId="65FC2C87">
            <wp:extent cx="4549534" cy="2591025"/>
            <wp:effectExtent l="0" t="0" r="3810" b="0"/>
            <wp:docPr id="184801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12519" name=""/>
                    <pic:cNvPicPr/>
                  </pic:nvPicPr>
                  <pic:blipFill>
                    <a:blip r:embed="rId8"/>
                    <a:stretch>
                      <a:fillRect/>
                    </a:stretch>
                  </pic:blipFill>
                  <pic:spPr>
                    <a:xfrm>
                      <a:off x="0" y="0"/>
                      <a:ext cx="4549534" cy="2591025"/>
                    </a:xfrm>
                    <a:prstGeom prst="rect">
                      <a:avLst/>
                    </a:prstGeom>
                  </pic:spPr>
                </pic:pic>
              </a:graphicData>
            </a:graphic>
          </wp:inline>
        </w:drawing>
      </w:r>
    </w:p>
    <w:p w14:paraId="780661D3" w14:textId="285595CC" w:rsidR="006538BC" w:rsidRPr="006538BC" w:rsidRDefault="006538BC" w:rsidP="006538BC">
      <w:pPr>
        <w:spacing w:line="360" w:lineRule="auto"/>
        <w:jc w:val="center"/>
        <w:rPr>
          <w:rFonts w:ascii="Arial" w:hAnsi="Arial" w:cs="Arial"/>
          <w:b/>
          <w:bCs/>
          <w:sz w:val="24"/>
          <w:szCs w:val="24"/>
        </w:rPr>
      </w:pPr>
      <w:r w:rsidRPr="006538BC">
        <w:rPr>
          <w:rFonts w:ascii="Arial" w:hAnsi="Arial" w:cs="Arial"/>
          <w:b/>
          <w:bCs/>
          <w:sz w:val="24"/>
          <w:szCs w:val="24"/>
        </w:rPr>
        <w:t>Figure 1: Supply chain issues during covid 19</w:t>
      </w:r>
    </w:p>
    <w:p w14:paraId="6D3DA3CA" w14:textId="2F2955EE" w:rsidR="006538BC" w:rsidRPr="008D3405" w:rsidRDefault="006538BC" w:rsidP="006538BC">
      <w:pPr>
        <w:spacing w:line="360" w:lineRule="auto"/>
        <w:jc w:val="center"/>
        <w:rPr>
          <w:rFonts w:ascii="Arial" w:hAnsi="Arial" w:cs="Arial"/>
          <w:sz w:val="24"/>
          <w:szCs w:val="24"/>
        </w:rPr>
      </w:pPr>
      <w:r>
        <w:rPr>
          <w:rFonts w:ascii="Arial" w:hAnsi="Arial" w:cs="Arial"/>
          <w:sz w:val="24"/>
          <w:szCs w:val="24"/>
        </w:rPr>
        <w:t xml:space="preserve">(Source: Influenced from </w:t>
      </w:r>
      <w:r w:rsidRPr="008D3405">
        <w:rPr>
          <w:rFonts w:ascii="Arial" w:hAnsi="Arial" w:cs="Arial"/>
          <w:sz w:val="24"/>
          <w:szCs w:val="24"/>
        </w:rPr>
        <w:t xml:space="preserve">Xu </w:t>
      </w:r>
      <w:r w:rsidRPr="008D3405">
        <w:rPr>
          <w:rFonts w:ascii="Arial" w:hAnsi="Arial" w:cs="Arial"/>
          <w:i/>
          <w:iCs/>
          <w:sz w:val="24"/>
          <w:szCs w:val="24"/>
        </w:rPr>
        <w:t>et al</w:t>
      </w:r>
      <w:r w:rsidRPr="008D3405">
        <w:rPr>
          <w:rFonts w:ascii="Arial" w:hAnsi="Arial" w:cs="Arial"/>
          <w:sz w:val="24"/>
          <w:szCs w:val="24"/>
        </w:rPr>
        <w:t>., 2020</w:t>
      </w:r>
      <w:r>
        <w:rPr>
          <w:rFonts w:ascii="Arial" w:hAnsi="Arial" w:cs="Arial"/>
          <w:sz w:val="24"/>
          <w:szCs w:val="24"/>
        </w:rPr>
        <w:t>)</w:t>
      </w:r>
    </w:p>
    <w:p w14:paraId="3B0C3A27" w14:textId="406A8AF3" w:rsidR="008D3405" w:rsidRDefault="008D3405" w:rsidP="008D3405">
      <w:pPr>
        <w:spacing w:line="360" w:lineRule="auto"/>
        <w:jc w:val="both"/>
        <w:rPr>
          <w:rFonts w:ascii="Arial" w:hAnsi="Arial" w:cs="Arial"/>
          <w:sz w:val="24"/>
          <w:szCs w:val="24"/>
        </w:rPr>
      </w:pPr>
      <w:r w:rsidRPr="008D3405">
        <w:rPr>
          <w:rFonts w:ascii="Arial" w:hAnsi="Arial" w:cs="Arial"/>
          <w:sz w:val="24"/>
          <w:szCs w:val="24"/>
        </w:rPr>
        <w:t xml:space="preserve">The precautionary measures by the government such as travel restrictions, temporary factory and outlet closures, and mandatory confinement resulted in labour, active ingredient, and raw material shortages, and increased delay and inventory shortages in GSCs due to tightening controls on logistical systems. Supply subtracted between </w:t>
      </w:r>
      <w:r w:rsidRPr="008D3405">
        <w:rPr>
          <w:rFonts w:ascii="Arial" w:hAnsi="Arial" w:cs="Arial"/>
          <w:sz w:val="24"/>
          <w:szCs w:val="24"/>
        </w:rPr>
        <w:lastRenderedPageBreak/>
        <w:t xml:space="preserve">0.5% and 1.2% of global value added during the recovery period of 2021 alone, and also added around 1% to global core inflation in that same year - proving that the supply chain crisis was far from over by the end of 2021, it continued to limit economic recovery (Moosavi </w:t>
      </w:r>
      <w:r w:rsidRPr="008D3405">
        <w:rPr>
          <w:rFonts w:ascii="Arial" w:hAnsi="Arial" w:cs="Arial"/>
          <w:i/>
          <w:iCs/>
          <w:sz w:val="24"/>
          <w:szCs w:val="24"/>
        </w:rPr>
        <w:t>et al.,</w:t>
      </w:r>
      <w:r w:rsidRPr="008D3405">
        <w:rPr>
          <w:rFonts w:ascii="Arial" w:hAnsi="Arial" w:cs="Arial"/>
          <w:sz w:val="24"/>
          <w:szCs w:val="24"/>
        </w:rPr>
        <w:t xml:space="preserve"> 2021).</w:t>
      </w:r>
    </w:p>
    <w:p w14:paraId="511515C0" w14:textId="13F4E28A" w:rsidR="006538BC" w:rsidRDefault="006538BC" w:rsidP="006538BC">
      <w:pPr>
        <w:spacing w:line="360" w:lineRule="auto"/>
        <w:jc w:val="center"/>
        <w:rPr>
          <w:rFonts w:ascii="Arial" w:hAnsi="Arial" w:cs="Arial"/>
          <w:sz w:val="24"/>
          <w:szCs w:val="24"/>
        </w:rPr>
      </w:pPr>
      <w:r w:rsidRPr="006538BC">
        <w:rPr>
          <w:rFonts w:ascii="Arial" w:hAnsi="Arial" w:cs="Arial"/>
          <w:noProof/>
          <w:sz w:val="24"/>
          <w:szCs w:val="24"/>
        </w:rPr>
        <w:drawing>
          <wp:inline distT="0" distB="0" distL="0" distR="0" wp14:anchorId="34A392FD" wp14:editId="024AB900">
            <wp:extent cx="3558848" cy="2461473"/>
            <wp:effectExtent l="0" t="0" r="3810" b="0"/>
            <wp:docPr id="177285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53457" name=""/>
                    <pic:cNvPicPr/>
                  </pic:nvPicPr>
                  <pic:blipFill>
                    <a:blip r:embed="rId9"/>
                    <a:stretch>
                      <a:fillRect/>
                    </a:stretch>
                  </pic:blipFill>
                  <pic:spPr>
                    <a:xfrm>
                      <a:off x="0" y="0"/>
                      <a:ext cx="3558848" cy="2461473"/>
                    </a:xfrm>
                    <a:prstGeom prst="rect">
                      <a:avLst/>
                    </a:prstGeom>
                  </pic:spPr>
                </pic:pic>
              </a:graphicData>
            </a:graphic>
          </wp:inline>
        </w:drawing>
      </w:r>
    </w:p>
    <w:p w14:paraId="4C8644E9" w14:textId="46DD26B5" w:rsidR="006538BC" w:rsidRPr="006538BC" w:rsidRDefault="006538BC" w:rsidP="006538BC">
      <w:pPr>
        <w:spacing w:line="360" w:lineRule="auto"/>
        <w:jc w:val="center"/>
        <w:rPr>
          <w:rFonts w:ascii="Arial" w:hAnsi="Arial" w:cs="Arial"/>
          <w:b/>
          <w:bCs/>
          <w:sz w:val="24"/>
          <w:szCs w:val="24"/>
        </w:rPr>
      </w:pPr>
      <w:r w:rsidRPr="006538BC">
        <w:rPr>
          <w:rFonts w:ascii="Arial" w:hAnsi="Arial" w:cs="Arial"/>
          <w:b/>
          <w:bCs/>
          <w:sz w:val="24"/>
          <w:szCs w:val="24"/>
        </w:rPr>
        <w:t>Figure 2: Covid 19 impact in supply chain</w:t>
      </w:r>
    </w:p>
    <w:p w14:paraId="476BE8B3" w14:textId="4C5A7F94" w:rsidR="006538BC" w:rsidRDefault="006538BC" w:rsidP="006538BC">
      <w:pPr>
        <w:spacing w:line="360" w:lineRule="auto"/>
        <w:jc w:val="center"/>
        <w:rPr>
          <w:rFonts w:ascii="Arial" w:hAnsi="Arial" w:cs="Arial"/>
          <w:sz w:val="24"/>
          <w:szCs w:val="24"/>
        </w:rPr>
      </w:pPr>
      <w:r>
        <w:rPr>
          <w:rFonts w:ascii="Arial" w:hAnsi="Arial" w:cs="Arial"/>
          <w:sz w:val="24"/>
          <w:szCs w:val="24"/>
        </w:rPr>
        <w:t xml:space="preserve">(Source: Influenced from </w:t>
      </w:r>
      <w:r w:rsidRPr="008D3405">
        <w:rPr>
          <w:rFonts w:ascii="Arial" w:hAnsi="Arial" w:cs="Arial"/>
          <w:sz w:val="24"/>
          <w:szCs w:val="24"/>
        </w:rPr>
        <w:t xml:space="preserve">Moosavi </w:t>
      </w:r>
      <w:r w:rsidRPr="008D3405">
        <w:rPr>
          <w:rFonts w:ascii="Arial" w:hAnsi="Arial" w:cs="Arial"/>
          <w:i/>
          <w:iCs/>
          <w:sz w:val="24"/>
          <w:szCs w:val="24"/>
        </w:rPr>
        <w:t>et al.,</w:t>
      </w:r>
      <w:r w:rsidRPr="008D3405">
        <w:rPr>
          <w:rFonts w:ascii="Arial" w:hAnsi="Arial" w:cs="Arial"/>
          <w:sz w:val="24"/>
          <w:szCs w:val="24"/>
        </w:rPr>
        <w:t xml:space="preserve"> 2021</w:t>
      </w:r>
      <w:r>
        <w:rPr>
          <w:rFonts w:ascii="Arial" w:hAnsi="Arial" w:cs="Arial"/>
          <w:sz w:val="24"/>
          <w:szCs w:val="24"/>
        </w:rPr>
        <w:t>)</w:t>
      </w:r>
    </w:p>
    <w:p w14:paraId="24E9EEF8" w14:textId="196760D5" w:rsidR="008D3405" w:rsidRPr="00BC333B" w:rsidRDefault="008D3405" w:rsidP="008D3405">
      <w:pPr>
        <w:spacing w:line="360" w:lineRule="auto"/>
        <w:jc w:val="both"/>
        <w:rPr>
          <w:rFonts w:ascii="Arial" w:hAnsi="Arial" w:cs="Arial"/>
          <w:sz w:val="24"/>
          <w:szCs w:val="24"/>
          <w:lang w:val="en-IN"/>
        </w:rPr>
      </w:pPr>
      <w:r w:rsidRPr="008D3405">
        <w:rPr>
          <w:rFonts w:ascii="Arial" w:hAnsi="Arial" w:cs="Arial"/>
          <w:sz w:val="24"/>
          <w:szCs w:val="24"/>
          <w:lang w:val="en-IN"/>
        </w:rPr>
        <w:t xml:space="preserve">The magnitude of such upheavals set out a definite and immediate scholarly emergency. Through a review of supply chain management (SCM)-Covid-19-related studies, it is evident that few studies have explored the impacts of supply chain resilience and robustness on performance. Identifying three main capabilities to interconnectedness, transformability, and sharing as the essential ones in the SCR field, researchers found that to create more resilient supply chains in the post-Covid world, organisations should concentrate on the capabilities (Li </w:t>
      </w:r>
      <w:r w:rsidRPr="008D3405">
        <w:rPr>
          <w:rFonts w:ascii="Arial" w:hAnsi="Arial" w:cs="Arial"/>
          <w:i/>
          <w:iCs/>
          <w:sz w:val="24"/>
          <w:szCs w:val="24"/>
          <w:lang w:val="en-IN"/>
        </w:rPr>
        <w:t>et al.,</w:t>
      </w:r>
      <w:r w:rsidRPr="008D3405">
        <w:rPr>
          <w:rFonts w:ascii="Arial" w:hAnsi="Arial" w:cs="Arial"/>
          <w:sz w:val="24"/>
          <w:szCs w:val="24"/>
          <w:lang w:val="en-IN"/>
        </w:rPr>
        <w:t xml:space="preserve"> 2023). However, how these capabilities are developed and exercised in response to the pandemic in specific ways is an analytically underdeveloped topic. Organisational resilience is linked to dynamic capabilities - capacity to adapt, integrate, and reconfigure resources in order to survive and even flourish in the changing conditions (Napier, Liu and Liu, 2024). Most empirical studies examine resilience using the retrospective approach, whereas the real-time organisational responsiveness of unprecedented disruptions is still under theorised. The post-Covid resilient supply chains must be turned into survivable supply chains, which can be done only after integrating both the resilience and viability measures. This requires an in-depth comprehension of organisational </w:t>
      </w:r>
      <w:r w:rsidRPr="008D3405">
        <w:rPr>
          <w:rFonts w:ascii="Arial" w:hAnsi="Arial" w:cs="Arial"/>
          <w:sz w:val="24"/>
          <w:szCs w:val="24"/>
          <w:lang w:val="en-IN"/>
        </w:rPr>
        <w:lastRenderedPageBreak/>
        <w:t xml:space="preserve">behaviours that the concept is based upon. The pandemic and a sequence of other disruptive events that followed such as the Russia-Ukraine conflict and commodities and energy shockages, all demonstrated the fragility of supply chains (Xu </w:t>
      </w:r>
      <w:r w:rsidRPr="008D3405">
        <w:rPr>
          <w:rFonts w:ascii="Arial" w:hAnsi="Arial" w:cs="Arial"/>
          <w:i/>
          <w:iCs/>
          <w:sz w:val="24"/>
          <w:szCs w:val="24"/>
          <w:lang w:val="en-IN"/>
        </w:rPr>
        <w:t>et al.</w:t>
      </w:r>
      <w:r w:rsidRPr="008D3405">
        <w:rPr>
          <w:rFonts w:ascii="Arial" w:hAnsi="Arial" w:cs="Arial"/>
          <w:sz w:val="24"/>
          <w:szCs w:val="24"/>
          <w:lang w:val="en-IN"/>
        </w:rPr>
        <w:t>, 2020). It is necessary to synthesise, categorise, and explain existing and emergent lines of research Springer so that organisations have information to support their ability to build resilience in the face of any one disaster.</w:t>
      </w:r>
    </w:p>
    <w:p w14:paraId="7DA257D9" w14:textId="77777777" w:rsidR="00340834" w:rsidRPr="00D7508A" w:rsidRDefault="00340834" w:rsidP="00BC333B">
      <w:pPr>
        <w:pStyle w:val="Heading1"/>
      </w:pPr>
      <w:bookmarkStart w:id="1" w:name="_Toc222256688"/>
      <w:r w:rsidRPr="00D7508A">
        <w:t>Research aim, objectives, questions</w:t>
      </w:r>
      <w:bookmarkEnd w:id="1"/>
    </w:p>
    <w:p w14:paraId="6402FD01" w14:textId="26293D46" w:rsidR="00EA16F9" w:rsidRPr="00D7508A" w:rsidRDefault="00EA16F9" w:rsidP="00D7508A">
      <w:pPr>
        <w:spacing w:line="360" w:lineRule="auto"/>
        <w:jc w:val="both"/>
        <w:rPr>
          <w:rFonts w:ascii="Arial" w:hAnsi="Arial" w:cs="Arial"/>
          <w:sz w:val="24"/>
          <w:szCs w:val="24"/>
        </w:rPr>
      </w:pPr>
      <w:r w:rsidRPr="00D7508A">
        <w:rPr>
          <w:rFonts w:ascii="Arial" w:hAnsi="Arial" w:cs="Arial"/>
          <w:sz w:val="24"/>
          <w:szCs w:val="24"/>
        </w:rPr>
        <w:t xml:space="preserve">Aim </w:t>
      </w:r>
    </w:p>
    <w:p w14:paraId="523F4742" w14:textId="1EEC8405" w:rsidR="00EA16F9" w:rsidRPr="00D7508A" w:rsidRDefault="00EA16F9" w:rsidP="00D7508A">
      <w:pPr>
        <w:spacing w:line="360" w:lineRule="auto"/>
        <w:jc w:val="both"/>
        <w:rPr>
          <w:rFonts w:ascii="Arial" w:hAnsi="Arial" w:cs="Arial"/>
          <w:sz w:val="24"/>
          <w:szCs w:val="24"/>
        </w:rPr>
      </w:pPr>
      <w:r w:rsidRPr="00D7508A">
        <w:rPr>
          <w:rFonts w:ascii="Arial" w:hAnsi="Arial" w:cs="Arial"/>
          <w:sz w:val="24"/>
          <w:szCs w:val="24"/>
        </w:rPr>
        <w:t>This study focuses on critically reviewing the impact of Covid-19 on the global supply chain and the organisational reactions that helped to reconfigure the supply chain resilience based on secondary qualitative evidence.</w:t>
      </w:r>
    </w:p>
    <w:p w14:paraId="779B5C3F" w14:textId="04A9C2A6" w:rsidR="00EA16F9" w:rsidRPr="00D7508A" w:rsidRDefault="00EA16F9" w:rsidP="00D7508A">
      <w:pPr>
        <w:spacing w:line="360" w:lineRule="auto"/>
        <w:jc w:val="both"/>
        <w:rPr>
          <w:rFonts w:ascii="Arial" w:hAnsi="Arial" w:cs="Arial"/>
          <w:sz w:val="24"/>
          <w:szCs w:val="24"/>
        </w:rPr>
      </w:pPr>
      <w:r w:rsidRPr="00D7508A">
        <w:rPr>
          <w:rFonts w:ascii="Arial" w:hAnsi="Arial" w:cs="Arial"/>
          <w:sz w:val="24"/>
          <w:szCs w:val="24"/>
        </w:rPr>
        <w:t xml:space="preserve">Objectives </w:t>
      </w:r>
    </w:p>
    <w:p w14:paraId="6F16A489" w14:textId="77777777" w:rsidR="00EA16F9" w:rsidRPr="00EA16F9" w:rsidRDefault="00EA16F9" w:rsidP="00D7508A">
      <w:pPr>
        <w:spacing w:line="360" w:lineRule="auto"/>
        <w:jc w:val="both"/>
        <w:rPr>
          <w:rFonts w:ascii="Arial" w:hAnsi="Arial" w:cs="Arial"/>
          <w:sz w:val="24"/>
          <w:szCs w:val="24"/>
          <w:lang w:val="en-IN"/>
        </w:rPr>
      </w:pPr>
      <w:r w:rsidRPr="00EA16F9">
        <w:rPr>
          <w:rFonts w:ascii="Arial" w:hAnsi="Arial" w:cs="Arial"/>
          <w:sz w:val="24"/>
          <w:szCs w:val="24"/>
          <w:lang w:val="en-IN"/>
        </w:rPr>
        <w:t>To investigate the major supply chain shocks and weaknesses revealed by Covid-19 as revealed in the recent literature.</w:t>
      </w:r>
    </w:p>
    <w:p w14:paraId="52B31753" w14:textId="77777777" w:rsidR="00EA16F9" w:rsidRPr="00EA16F9" w:rsidRDefault="00EA16F9" w:rsidP="00D7508A">
      <w:pPr>
        <w:spacing w:line="360" w:lineRule="auto"/>
        <w:jc w:val="both"/>
        <w:rPr>
          <w:rFonts w:ascii="Arial" w:hAnsi="Arial" w:cs="Arial"/>
          <w:sz w:val="24"/>
          <w:szCs w:val="24"/>
          <w:lang w:val="en-IN"/>
        </w:rPr>
      </w:pPr>
      <w:r w:rsidRPr="00EA16F9">
        <w:rPr>
          <w:rFonts w:ascii="Arial" w:hAnsi="Arial" w:cs="Arial"/>
          <w:sz w:val="24"/>
          <w:szCs w:val="24"/>
          <w:lang w:val="en-IN"/>
        </w:rPr>
        <w:t>To examine the organisational responses encompassed by the firms to address the supply chain stress in the Covid-19 pandemic.</w:t>
      </w:r>
    </w:p>
    <w:p w14:paraId="3B92B939" w14:textId="5EBEE60F" w:rsidR="00EA16F9" w:rsidRPr="00EA16F9" w:rsidRDefault="00EA16F9" w:rsidP="00D7508A">
      <w:pPr>
        <w:spacing w:line="360" w:lineRule="auto"/>
        <w:jc w:val="both"/>
        <w:rPr>
          <w:rFonts w:ascii="Arial" w:hAnsi="Arial" w:cs="Arial"/>
          <w:sz w:val="24"/>
          <w:szCs w:val="24"/>
          <w:lang w:val="en-IN"/>
        </w:rPr>
      </w:pPr>
      <w:r w:rsidRPr="00D7508A">
        <w:rPr>
          <w:rFonts w:ascii="Arial" w:hAnsi="Arial" w:cs="Arial"/>
          <w:sz w:val="24"/>
          <w:szCs w:val="24"/>
          <w:lang w:val="en-IN"/>
        </w:rPr>
        <w:t xml:space="preserve">To </w:t>
      </w:r>
      <w:r w:rsidRPr="00EA16F9">
        <w:rPr>
          <w:rFonts w:ascii="Arial" w:hAnsi="Arial" w:cs="Arial"/>
          <w:sz w:val="24"/>
          <w:szCs w:val="24"/>
          <w:lang w:val="en-IN"/>
        </w:rPr>
        <w:t>assess the role played by these organisational responses in the creation of supply chain resilience.</w:t>
      </w:r>
    </w:p>
    <w:p w14:paraId="4130EFCE" w14:textId="77777777" w:rsidR="00EA16F9" w:rsidRPr="00D7508A" w:rsidRDefault="00EA16F9" w:rsidP="00D7508A">
      <w:pPr>
        <w:spacing w:line="360" w:lineRule="auto"/>
        <w:jc w:val="both"/>
        <w:rPr>
          <w:rFonts w:ascii="Arial" w:hAnsi="Arial" w:cs="Arial"/>
          <w:sz w:val="24"/>
          <w:szCs w:val="24"/>
        </w:rPr>
      </w:pPr>
      <w:r w:rsidRPr="00D7508A">
        <w:rPr>
          <w:rFonts w:ascii="Arial" w:hAnsi="Arial" w:cs="Arial"/>
          <w:sz w:val="24"/>
          <w:szCs w:val="24"/>
        </w:rPr>
        <w:t xml:space="preserve">Research question </w:t>
      </w:r>
    </w:p>
    <w:p w14:paraId="1D95758E" w14:textId="04CCD5C1" w:rsidR="00EA16F9" w:rsidRPr="00D7508A" w:rsidRDefault="00EA16F9" w:rsidP="00D7508A">
      <w:pPr>
        <w:spacing w:line="360" w:lineRule="auto"/>
        <w:jc w:val="both"/>
        <w:rPr>
          <w:rFonts w:ascii="Arial" w:hAnsi="Arial" w:cs="Arial"/>
          <w:sz w:val="24"/>
          <w:szCs w:val="24"/>
        </w:rPr>
      </w:pPr>
      <w:r w:rsidRPr="00D7508A">
        <w:rPr>
          <w:rFonts w:ascii="Arial" w:hAnsi="Arial" w:cs="Arial"/>
          <w:sz w:val="24"/>
          <w:szCs w:val="24"/>
        </w:rPr>
        <w:t>What were organisations doing in response to the disruptions of supply chains caused by Covid-19, and how did organisations affect the reconfiguration of supply chain resilience?</w:t>
      </w:r>
    </w:p>
    <w:p w14:paraId="353CB1B8" w14:textId="77777777" w:rsidR="00EA16F9" w:rsidRDefault="00340834" w:rsidP="00BC333B">
      <w:pPr>
        <w:pStyle w:val="Heading1"/>
      </w:pPr>
      <w:bookmarkStart w:id="2" w:name="_Toc222256689"/>
      <w:r w:rsidRPr="00D7508A">
        <w:t>Preliminary literature search</w:t>
      </w:r>
      <w:bookmarkEnd w:id="2"/>
      <w:r w:rsidRPr="00D7508A">
        <w:t xml:space="preserve"> </w:t>
      </w:r>
    </w:p>
    <w:p w14:paraId="3C72802D" w14:textId="64DBF827" w:rsidR="00BC333B" w:rsidRPr="00BC333B" w:rsidRDefault="00BC333B" w:rsidP="00BC333B">
      <w:pPr>
        <w:spacing w:line="360" w:lineRule="auto"/>
        <w:jc w:val="both"/>
        <w:rPr>
          <w:rFonts w:ascii="Arial" w:hAnsi="Arial" w:cs="Arial"/>
          <w:sz w:val="24"/>
          <w:szCs w:val="24"/>
          <w:lang w:val="en-IN"/>
        </w:rPr>
      </w:pPr>
      <w:r w:rsidRPr="00BC333B">
        <w:rPr>
          <w:rFonts w:ascii="Arial" w:hAnsi="Arial" w:cs="Arial"/>
          <w:sz w:val="24"/>
          <w:szCs w:val="24"/>
          <w:lang w:val="en-IN"/>
        </w:rPr>
        <w:t>The graphical representation of a more comprehensive bibliometric review of the supply chain resilience literature shows that the productivity and the diversification of scholarly authorship have become evident since 2020. The post-pandemic era has already found 157 authors who have published at least two articles in the topics of supply chain resilience compared to 35</w:t>
      </w:r>
      <w:r w:rsidR="00B05B07">
        <w:rPr>
          <w:rFonts w:ascii="Arial" w:hAnsi="Arial" w:cs="Arial"/>
          <w:sz w:val="24"/>
          <w:szCs w:val="24"/>
          <w:lang w:val="en-IN"/>
        </w:rPr>
        <w:t>,</w:t>
      </w:r>
      <w:r w:rsidRPr="00BC333B">
        <w:rPr>
          <w:rFonts w:ascii="Arial" w:hAnsi="Arial" w:cs="Arial"/>
          <w:sz w:val="24"/>
          <w:szCs w:val="24"/>
          <w:lang w:val="en-IN"/>
        </w:rPr>
        <w:t xml:space="preserve"> in the whole pre-pandemic period (Niu</w:t>
      </w:r>
      <w:r w:rsidRPr="00BC333B">
        <w:rPr>
          <w:rFonts w:ascii="Arial" w:hAnsi="Arial" w:cs="Arial"/>
          <w:i/>
          <w:iCs/>
          <w:sz w:val="24"/>
          <w:szCs w:val="24"/>
          <w:lang w:val="en-IN"/>
        </w:rPr>
        <w:t xml:space="preserve"> et al.,</w:t>
      </w:r>
      <w:r w:rsidRPr="00BC333B">
        <w:rPr>
          <w:rFonts w:ascii="Arial" w:hAnsi="Arial" w:cs="Arial"/>
          <w:sz w:val="24"/>
          <w:szCs w:val="24"/>
          <w:lang w:val="en-IN"/>
        </w:rPr>
        <w:t xml:space="preserve"> 2025). The literature was thematically classified using machine learning and the results were presented in 11 thematic clusters, concluding that, in the context of Covid-</w:t>
      </w:r>
      <w:r w:rsidRPr="00BC333B">
        <w:rPr>
          <w:rFonts w:ascii="Arial" w:hAnsi="Arial" w:cs="Arial"/>
          <w:sz w:val="24"/>
          <w:szCs w:val="24"/>
          <w:lang w:val="en-IN"/>
        </w:rPr>
        <w:lastRenderedPageBreak/>
        <w:t xml:space="preserve">19, three capabilities interconnectedness, transformability, and sharing are those capabilities the firm should prioritize in building more resilient supply chains in the post-Covid world. This is an important observation, as it demonstrates that as much as the field of the research of supply chain resilience was expanded, the conversion of these thematic clusters into a consistent picture of distinctive organisational reactions and outcomes of resilience is under-researched. The available literature corroborates the idea that agile capabilities and data-driven real-time monitoring and visibility solutions helped companies to repurpose their supply chains during Covid-19. in particular, the examples of luxury goods manufacturers, such as LVMH, L'Oreal, and Giorgio Armani, who reconfigured their factories to produce hand sanitizers, masks, and gowns, and automotive companies, including Ford and Tesla, who shifted the manufacturing process to ventilators and hospital beds, will be the best-known instances of how such behaviours have turned into long (Wulandhari </w:t>
      </w:r>
      <w:r w:rsidRPr="00BC333B">
        <w:rPr>
          <w:rFonts w:ascii="Arial" w:hAnsi="Arial" w:cs="Arial"/>
          <w:i/>
          <w:iCs/>
          <w:sz w:val="24"/>
          <w:szCs w:val="24"/>
          <w:lang w:val="en-IN"/>
        </w:rPr>
        <w:t>et al.,</w:t>
      </w:r>
      <w:r w:rsidRPr="00BC333B">
        <w:rPr>
          <w:rFonts w:ascii="Arial" w:hAnsi="Arial" w:cs="Arial"/>
          <w:sz w:val="24"/>
          <w:szCs w:val="24"/>
          <w:lang w:val="en-IN"/>
        </w:rPr>
        <w:t xml:space="preserve"> 2022). The current research is more or less still centred around theoretical contribution and case-studies, promoting an in-depth analysis, with an under</w:t>
      </w:r>
      <w:r w:rsidR="00B05B07">
        <w:rPr>
          <w:rFonts w:ascii="Arial" w:hAnsi="Arial" w:cs="Arial"/>
          <w:sz w:val="24"/>
          <w:szCs w:val="24"/>
          <w:lang w:val="en-IN"/>
        </w:rPr>
        <w:t>-</w:t>
      </w:r>
      <w:r w:rsidRPr="00BC333B">
        <w:rPr>
          <w:rFonts w:ascii="Arial" w:hAnsi="Arial" w:cs="Arial"/>
          <w:sz w:val="24"/>
          <w:szCs w:val="24"/>
          <w:lang w:val="en-IN"/>
        </w:rPr>
        <w:t>researched stream in particular, the role of digital technology resources as a direct enabler of supply chain resilience in the context of severe disruptions, once again supporting the used synthesising approach in this research.</w:t>
      </w:r>
    </w:p>
    <w:p w14:paraId="58112C2C" w14:textId="301FD08E" w:rsidR="00340834" w:rsidRDefault="00EA16F9" w:rsidP="00B05B07">
      <w:pPr>
        <w:spacing w:line="360" w:lineRule="auto"/>
        <w:jc w:val="both"/>
        <w:rPr>
          <w:rFonts w:ascii="Arial" w:hAnsi="Arial" w:cs="Arial"/>
          <w:b/>
          <w:bCs/>
          <w:i/>
          <w:iCs/>
          <w:sz w:val="24"/>
          <w:szCs w:val="24"/>
        </w:rPr>
      </w:pPr>
      <w:r w:rsidRPr="00B05B07">
        <w:rPr>
          <w:rFonts w:ascii="Arial" w:hAnsi="Arial" w:cs="Arial"/>
          <w:b/>
          <w:bCs/>
          <w:i/>
          <w:iCs/>
          <w:sz w:val="24"/>
          <w:szCs w:val="24"/>
        </w:rPr>
        <w:t xml:space="preserve">Theoretical underpinning </w:t>
      </w:r>
    </w:p>
    <w:p w14:paraId="5F30E10C" w14:textId="70F78B2F" w:rsidR="00B05B07" w:rsidRDefault="00B05B07" w:rsidP="00B05B07">
      <w:pPr>
        <w:spacing w:line="360" w:lineRule="auto"/>
        <w:jc w:val="both"/>
        <w:rPr>
          <w:rFonts w:ascii="Arial" w:hAnsi="Arial" w:cs="Arial"/>
          <w:sz w:val="24"/>
          <w:szCs w:val="24"/>
          <w:lang w:val="en-IN"/>
        </w:rPr>
      </w:pPr>
      <w:r w:rsidRPr="00B05B07">
        <w:rPr>
          <w:rFonts w:ascii="Arial" w:hAnsi="Arial" w:cs="Arial"/>
          <w:sz w:val="24"/>
          <w:szCs w:val="24"/>
          <w:lang w:val="en-IN"/>
        </w:rPr>
        <w:t xml:space="preserve">The most appropriate theory to use in this study is the </w:t>
      </w:r>
      <w:r w:rsidR="006538BC">
        <w:rPr>
          <w:rFonts w:ascii="Arial" w:hAnsi="Arial" w:cs="Arial"/>
          <w:sz w:val="24"/>
          <w:szCs w:val="24"/>
          <w:lang w:val="en-IN"/>
        </w:rPr>
        <w:t>‘</w:t>
      </w:r>
      <w:r w:rsidRPr="00B05B07">
        <w:rPr>
          <w:rFonts w:ascii="Arial" w:hAnsi="Arial" w:cs="Arial"/>
          <w:sz w:val="24"/>
          <w:szCs w:val="24"/>
          <w:lang w:val="en-IN"/>
        </w:rPr>
        <w:t>Dynamic Capabilities Theory</w:t>
      </w:r>
      <w:r w:rsidR="006538BC">
        <w:rPr>
          <w:rFonts w:ascii="Arial" w:hAnsi="Arial" w:cs="Arial"/>
          <w:sz w:val="24"/>
          <w:szCs w:val="24"/>
          <w:lang w:val="en-IN"/>
        </w:rPr>
        <w:t>’</w:t>
      </w:r>
      <w:r w:rsidRPr="00B05B07">
        <w:rPr>
          <w:rFonts w:ascii="Arial" w:hAnsi="Arial" w:cs="Arial"/>
          <w:sz w:val="24"/>
          <w:szCs w:val="24"/>
          <w:lang w:val="en-IN"/>
        </w:rPr>
        <w:t xml:space="preserve"> (DCT), which was first proposed in 1997 by Teece, Pisano and Shuen (1997) and later updated by Teece (2007). The theory of dynamic capabilities describes the capacity of a firm to incorporate, develop, and re-organise internal and external competencies to respond to the rapidly shifting environment. Thus the theory is especially effective when it comes to studying how organisations reconfigured their supply chain operations in the unprecedented circumstances of the Covid-19 pandemic (Magableh, 2021). A behavioural perspective on dynamic capabilities has allowed researchers to form a relationship between aggregate organisational resilience capabilities and elements of managerial risk perception. This proves that dynamic capabilities, as conceptualised in terms of sensemaking, are the theoretical scaffolding in understanding how organisations build resilience in highly uncertain environments that are equivocal, like those experienced during Covid-19 (Meier and Pinto, 2024). Studies of supply chain resilience during large-scale disruptions that apply the </w:t>
      </w:r>
      <w:r w:rsidRPr="00B05B07">
        <w:rPr>
          <w:rFonts w:ascii="Arial" w:hAnsi="Arial" w:cs="Arial"/>
          <w:sz w:val="24"/>
          <w:szCs w:val="24"/>
          <w:lang w:val="en-IN"/>
        </w:rPr>
        <w:lastRenderedPageBreak/>
        <w:t xml:space="preserve">Dynamic Capabilities Theory show how strategic resources can be converted into complementary capabilities which increase supply chain resilience, bridging dynamic capabilities to organisational strategy on financial performance, process improvement, growth and learning aspects (Niu </w:t>
      </w:r>
      <w:r w:rsidRPr="00B05B07">
        <w:rPr>
          <w:rFonts w:ascii="Arial" w:hAnsi="Arial" w:cs="Arial"/>
          <w:i/>
          <w:iCs/>
          <w:sz w:val="24"/>
          <w:szCs w:val="24"/>
          <w:lang w:val="en-IN"/>
        </w:rPr>
        <w:t>et al</w:t>
      </w:r>
      <w:r w:rsidRPr="00B05B07">
        <w:rPr>
          <w:rFonts w:ascii="Arial" w:hAnsi="Arial" w:cs="Arial"/>
          <w:sz w:val="24"/>
          <w:szCs w:val="24"/>
          <w:lang w:val="en-IN"/>
        </w:rPr>
        <w:t>., 2025). </w:t>
      </w:r>
    </w:p>
    <w:p w14:paraId="3CAA6AD0" w14:textId="22162DE5" w:rsidR="006538BC" w:rsidRDefault="006538BC" w:rsidP="006538BC">
      <w:pPr>
        <w:spacing w:line="360" w:lineRule="auto"/>
        <w:jc w:val="center"/>
        <w:rPr>
          <w:rFonts w:ascii="Arial" w:hAnsi="Arial" w:cs="Arial"/>
          <w:sz w:val="24"/>
          <w:szCs w:val="24"/>
          <w:lang w:val="en-IN"/>
        </w:rPr>
      </w:pPr>
      <w:r w:rsidRPr="006538BC">
        <w:rPr>
          <w:rFonts w:ascii="Arial" w:hAnsi="Arial" w:cs="Arial"/>
          <w:noProof/>
          <w:sz w:val="24"/>
          <w:szCs w:val="24"/>
          <w:lang w:val="en-IN"/>
        </w:rPr>
        <w:drawing>
          <wp:inline distT="0" distB="0" distL="0" distR="0" wp14:anchorId="47EB7472" wp14:editId="59B4B3DF">
            <wp:extent cx="5731510" cy="3328035"/>
            <wp:effectExtent l="0" t="0" r="2540" b="5715"/>
            <wp:docPr id="177634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49219" name=""/>
                    <pic:cNvPicPr/>
                  </pic:nvPicPr>
                  <pic:blipFill>
                    <a:blip r:embed="rId10"/>
                    <a:stretch>
                      <a:fillRect/>
                    </a:stretch>
                  </pic:blipFill>
                  <pic:spPr>
                    <a:xfrm>
                      <a:off x="0" y="0"/>
                      <a:ext cx="5731510" cy="3328035"/>
                    </a:xfrm>
                    <a:prstGeom prst="rect">
                      <a:avLst/>
                    </a:prstGeom>
                  </pic:spPr>
                </pic:pic>
              </a:graphicData>
            </a:graphic>
          </wp:inline>
        </w:drawing>
      </w:r>
    </w:p>
    <w:p w14:paraId="3D49B9CC" w14:textId="34C09EC7" w:rsidR="006538BC" w:rsidRPr="006538BC" w:rsidRDefault="006538BC" w:rsidP="006538BC">
      <w:pPr>
        <w:spacing w:line="360" w:lineRule="auto"/>
        <w:jc w:val="center"/>
        <w:rPr>
          <w:rFonts w:ascii="Arial" w:hAnsi="Arial" w:cs="Arial"/>
          <w:b/>
          <w:bCs/>
          <w:sz w:val="24"/>
          <w:szCs w:val="24"/>
          <w:lang w:val="en-IN"/>
        </w:rPr>
      </w:pPr>
      <w:r w:rsidRPr="006538BC">
        <w:rPr>
          <w:rFonts w:ascii="Arial" w:hAnsi="Arial" w:cs="Arial"/>
          <w:b/>
          <w:bCs/>
          <w:sz w:val="24"/>
          <w:szCs w:val="24"/>
          <w:lang w:val="en-IN"/>
        </w:rPr>
        <w:t>Figure 3: Flowchart of DCT</w:t>
      </w:r>
    </w:p>
    <w:p w14:paraId="4FFF7F67" w14:textId="567D1D2C" w:rsidR="006538BC" w:rsidRPr="00B05B07" w:rsidRDefault="006538BC" w:rsidP="006538BC">
      <w:pPr>
        <w:spacing w:line="360" w:lineRule="auto"/>
        <w:jc w:val="center"/>
        <w:rPr>
          <w:rFonts w:ascii="Arial" w:hAnsi="Arial" w:cs="Arial"/>
          <w:sz w:val="24"/>
          <w:szCs w:val="24"/>
          <w:lang w:val="en-IN"/>
        </w:rPr>
      </w:pPr>
      <w:r>
        <w:rPr>
          <w:rFonts w:ascii="Arial" w:hAnsi="Arial" w:cs="Arial"/>
          <w:sz w:val="24"/>
          <w:szCs w:val="24"/>
          <w:lang w:val="en-IN"/>
        </w:rPr>
        <w:t xml:space="preserve">(Source: Influenced from </w:t>
      </w:r>
      <w:r w:rsidRPr="00B05B07">
        <w:rPr>
          <w:rFonts w:ascii="Arial" w:hAnsi="Arial" w:cs="Arial"/>
          <w:sz w:val="24"/>
          <w:szCs w:val="24"/>
          <w:lang w:val="en-IN"/>
        </w:rPr>
        <w:t xml:space="preserve">Niu </w:t>
      </w:r>
      <w:r w:rsidRPr="00B05B07">
        <w:rPr>
          <w:rFonts w:ascii="Arial" w:hAnsi="Arial" w:cs="Arial"/>
          <w:i/>
          <w:iCs/>
          <w:sz w:val="24"/>
          <w:szCs w:val="24"/>
          <w:lang w:val="en-IN"/>
        </w:rPr>
        <w:t>et al</w:t>
      </w:r>
      <w:r w:rsidRPr="00B05B07">
        <w:rPr>
          <w:rFonts w:ascii="Arial" w:hAnsi="Arial" w:cs="Arial"/>
          <w:sz w:val="24"/>
          <w:szCs w:val="24"/>
          <w:lang w:val="en-IN"/>
        </w:rPr>
        <w:t>., 2025</w:t>
      </w:r>
      <w:r>
        <w:rPr>
          <w:rFonts w:ascii="Arial" w:hAnsi="Arial" w:cs="Arial"/>
          <w:sz w:val="24"/>
          <w:szCs w:val="24"/>
          <w:lang w:val="en-IN"/>
        </w:rPr>
        <w:t>)</w:t>
      </w:r>
    </w:p>
    <w:p w14:paraId="0CF69FCC" w14:textId="77777777" w:rsidR="002E16E0" w:rsidRDefault="00B05B07" w:rsidP="002E16E0">
      <w:pPr>
        <w:spacing w:line="360" w:lineRule="auto"/>
        <w:jc w:val="both"/>
        <w:rPr>
          <w:rFonts w:ascii="Arial" w:hAnsi="Arial" w:cs="Arial"/>
          <w:sz w:val="24"/>
          <w:szCs w:val="24"/>
          <w:lang w:val="en-IN"/>
        </w:rPr>
      </w:pPr>
      <w:r w:rsidRPr="00B05B07">
        <w:rPr>
          <w:rFonts w:ascii="Arial" w:hAnsi="Arial" w:cs="Arial"/>
          <w:sz w:val="24"/>
          <w:szCs w:val="24"/>
          <w:lang w:val="en-IN"/>
        </w:rPr>
        <w:t xml:space="preserve">Critically, DCT takes into consideration three fundamental managerial processes sensing threats and opportunities, seizing these opportunities by marshalling resources and transforming or reconfiguring assets and organisational structures all of which can be overlaid on the phases of supply chain disruption, response and resilience reconfiguration that are the analytical centre of this study. A systematic bibliometric and network review of the literature on supply chain resilience as a theoretical prism on the topic revealed three different clusters of research participants, including optimisation to supply chain resilience, technology adoption to supply chain resilience and resilience strategies towards disruptions and risk management. This would support the notion that dynamic capabilities are the most consistent and empirically well-grounded theoretical prism to analyse the concept of resilience in various organisational and industrial settings. Dynamic Capabilities Theory therefore facilitates this study to go beyond the descriptive analysis of what firms did in response </w:t>
      </w:r>
      <w:r w:rsidRPr="00B05B07">
        <w:rPr>
          <w:rFonts w:ascii="Arial" w:hAnsi="Arial" w:cs="Arial"/>
          <w:sz w:val="24"/>
          <w:szCs w:val="24"/>
          <w:lang w:val="en-IN"/>
        </w:rPr>
        <w:lastRenderedPageBreak/>
        <w:t>to Covid-19 and the explanatory explanation of how and why some organisational responses had created lasting resilience effects.</w:t>
      </w:r>
    </w:p>
    <w:p w14:paraId="00F5D2C3" w14:textId="5B1342CD" w:rsidR="00EA16F9" w:rsidRDefault="00EA16F9" w:rsidP="002E16E0">
      <w:pPr>
        <w:spacing w:line="360" w:lineRule="auto"/>
        <w:jc w:val="both"/>
        <w:rPr>
          <w:rFonts w:ascii="Arial" w:hAnsi="Arial" w:cs="Arial"/>
          <w:b/>
          <w:bCs/>
          <w:i/>
          <w:iCs/>
          <w:sz w:val="24"/>
          <w:szCs w:val="24"/>
        </w:rPr>
      </w:pPr>
      <w:r w:rsidRPr="002E16E0">
        <w:rPr>
          <w:rFonts w:ascii="Arial" w:hAnsi="Arial" w:cs="Arial"/>
          <w:b/>
          <w:bCs/>
          <w:i/>
          <w:iCs/>
          <w:sz w:val="24"/>
          <w:szCs w:val="24"/>
        </w:rPr>
        <w:t>Research gap</w:t>
      </w:r>
    </w:p>
    <w:p w14:paraId="4A5B3A6E" w14:textId="55591DE2" w:rsidR="002E16E0" w:rsidRPr="002E16E0" w:rsidRDefault="002E16E0" w:rsidP="002E16E0">
      <w:pPr>
        <w:spacing w:line="360" w:lineRule="auto"/>
        <w:jc w:val="both"/>
        <w:rPr>
          <w:rFonts w:ascii="Arial" w:hAnsi="Arial" w:cs="Arial"/>
          <w:sz w:val="24"/>
          <w:szCs w:val="24"/>
          <w:lang w:val="en-IN"/>
        </w:rPr>
      </w:pPr>
      <w:r w:rsidRPr="002E16E0">
        <w:rPr>
          <w:rFonts w:ascii="Arial" w:hAnsi="Arial" w:cs="Arial"/>
          <w:sz w:val="24"/>
          <w:szCs w:val="24"/>
          <w:lang w:val="en-IN"/>
        </w:rPr>
        <w:t xml:space="preserve">Even though there has been a substantial increase in supply chain resilience scholarship since 2020, there are a few places of serious gaps. The examination of the supply chain management literature on Covid-19 has shown that the few studies that did explore the impacts of supply chain resilience and robustness on performance, and authors have openly requested more empirical and event-specific studies to decrease the disparity between theory and practice. As much as studies on the disruption propagation and ripple effects have progressed in their discussion, the reconfiguration dimension of entire supply chain resilience has not been well covered in the existing literature hence there is a vacuum in the literature (Li </w:t>
      </w:r>
      <w:r w:rsidRPr="002E16E0">
        <w:rPr>
          <w:rFonts w:ascii="Arial" w:hAnsi="Arial" w:cs="Arial"/>
          <w:i/>
          <w:iCs/>
          <w:sz w:val="24"/>
          <w:szCs w:val="24"/>
          <w:lang w:val="en-IN"/>
        </w:rPr>
        <w:t xml:space="preserve">et al., </w:t>
      </w:r>
      <w:r w:rsidRPr="002E16E0">
        <w:rPr>
          <w:rFonts w:ascii="Arial" w:hAnsi="Arial" w:cs="Arial"/>
          <w:sz w:val="24"/>
          <w:szCs w:val="24"/>
          <w:lang w:val="en-IN"/>
        </w:rPr>
        <w:t xml:space="preserve">2023). Even though various works have found out that assessment as a prior step to transformation is crucial in the way organisations develop dynamic capabilities based on sensemaking. The subtle mechanism through which this process is worked out at organisational level in the course of a sustained, global crisis has not been well developed yet (Wulandhari </w:t>
      </w:r>
      <w:r w:rsidRPr="002E16E0">
        <w:rPr>
          <w:rFonts w:ascii="Arial" w:hAnsi="Arial" w:cs="Arial"/>
          <w:i/>
          <w:iCs/>
          <w:sz w:val="24"/>
          <w:szCs w:val="24"/>
          <w:lang w:val="en-IN"/>
        </w:rPr>
        <w:t>et al.,</w:t>
      </w:r>
      <w:r w:rsidRPr="002E16E0">
        <w:rPr>
          <w:rFonts w:ascii="Arial" w:hAnsi="Arial" w:cs="Arial"/>
          <w:sz w:val="24"/>
          <w:szCs w:val="24"/>
          <w:lang w:val="en-IN"/>
        </w:rPr>
        <w:t xml:space="preserve"> 2022).  The problem of theory implementation versus practice in tailored supply chain resilience has also been found to be a chronic issue, and the overall issue is to bring high-level observations into a firm-specific, actionable data points that may assist managers to make sourcing decisions and work within resilience strategies (Xu </w:t>
      </w:r>
      <w:r w:rsidRPr="002E16E0">
        <w:rPr>
          <w:rFonts w:ascii="Arial" w:hAnsi="Arial" w:cs="Arial"/>
          <w:i/>
          <w:iCs/>
          <w:sz w:val="24"/>
          <w:szCs w:val="24"/>
          <w:lang w:val="en-IN"/>
        </w:rPr>
        <w:t>et al.</w:t>
      </w:r>
      <w:r w:rsidRPr="002E16E0">
        <w:rPr>
          <w:rFonts w:ascii="Arial" w:hAnsi="Arial" w:cs="Arial"/>
          <w:sz w:val="24"/>
          <w:szCs w:val="24"/>
          <w:lang w:val="en-IN"/>
        </w:rPr>
        <w:t>, 2020) A translation that the synthesis of qualitative data on the problem presented in this study represents. The current research fills these intersecting gaps directly, as it critically evaluates secondary qualitative evidence, to investigate how organisations reacted to the disruptions in supply chains during Covid-19 and whether these reactions led to the reorganisation of the supply chain resilience, producing qualitatively grounded, practically relevant information gaps that the literature, so far, lacked.</w:t>
      </w:r>
    </w:p>
    <w:p w14:paraId="25D87611" w14:textId="74661F8F" w:rsidR="00340834" w:rsidRPr="00D7508A" w:rsidRDefault="00340834" w:rsidP="00D047E5">
      <w:pPr>
        <w:pStyle w:val="Heading1"/>
      </w:pPr>
      <w:bookmarkStart w:id="3" w:name="_Toc222256690"/>
      <w:r w:rsidRPr="00D7508A">
        <w:t>Research methodology</w:t>
      </w:r>
      <w:bookmarkEnd w:id="3"/>
      <w:r w:rsidRPr="00D7508A">
        <w:t xml:space="preserve"> </w:t>
      </w:r>
    </w:p>
    <w:p w14:paraId="18E34543" w14:textId="77777777" w:rsidR="00D047E5" w:rsidRDefault="00D047E5" w:rsidP="00D047E5">
      <w:pPr>
        <w:spacing w:line="360" w:lineRule="auto"/>
        <w:jc w:val="both"/>
        <w:rPr>
          <w:rFonts w:ascii="Arial" w:hAnsi="Arial" w:cs="Arial"/>
          <w:sz w:val="24"/>
          <w:szCs w:val="24"/>
          <w:lang w:val="en-IN"/>
        </w:rPr>
      </w:pPr>
      <w:r w:rsidRPr="00D047E5">
        <w:rPr>
          <w:rFonts w:ascii="Arial" w:hAnsi="Arial" w:cs="Arial"/>
          <w:sz w:val="24"/>
          <w:szCs w:val="24"/>
          <w:lang w:val="en-IN"/>
        </w:rPr>
        <w:t xml:space="preserve">The study will use a secondary qualitative research approach, which is chosen based on its epistemological consistency with the research purpose and ability to produce in-depth, contextualised data regarding the organisational reaction to Covid-19 disruptions of supply chains. Interpretivist paradigm, is based on constructivist tradition, </w:t>
      </w:r>
      <w:r w:rsidRPr="00D047E5">
        <w:rPr>
          <w:rFonts w:ascii="Arial" w:hAnsi="Arial" w:cs="Arial"/>
          <w:sz w:val="24"/>
          <w:szCs w:val="24"/>
          <w:lang w:val="en-IN"/>
        </w:rPr>
        <w:lastRenderedPageBreak/>
        <w:t>assumes that the reality is not objective and should be socially constructed through lived experiences, meanings and organisational contexts (William, 20245). Qualitative study carried out under the paradigm aims at understanding the subjective aspects of social phenomenon instead of quantifying or testing them using pre-decided variables. This philosophical stance is especially suitable to the current project since the research questions relate to the way organisations have perceived, interpreted and reacted to supply chain disruptions processes that are intrinsically social, managerial and context-specific, and which can not be sufficiently described using quantitative tools. </w:t>
      </w:r>
    </w:p>
    <w:p w14:paraId="633F387C" w14:textId="6F782B28" w:rsidR="006538BC" w:rsidRDefault="006538BC" w:rsidP="006538BC">
      <w:pPr>
        <w:spacing w:line="360" w:lineRule="auto"/>
        <w:jc w:val="center"/>
        <w:rPr>
          <w:rFonts w:ascii="Arial" w:hAnsi="Arial" w:cs="Arial"/>
          <w:sz w:val="24"/>
          <w:szCs w:val="24"/>
          <w:lang w:val="en-IN"/>
        </w:rPr>
      </w:pPr>
      <w:r w:rsidRPr="006538BC">
        <w:rPr>
          <w:rFonts w:ascii="Arial" w:hAnsi="Arial" w:cs="Arial"/>
          <w:noProof/>
          <w:sz w:val="24"/>
          <w:szCs w:val="24"/>
          <w:lang w:val="en-IN"/>
        </w:rPr>
        <w:drawing>
          <wp:inline distT="0" distB="0" distL="0" distR="0" wp14:anchorId="701C993C" wp14:editId="142F8ECE">
            <wp:extent cx="3093988" cy="2057578"/>
            <wp:effectExtent l="0" t="0" r="0" b="0"/>
            <wp:docPr id="206219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19939" name=""/>
                    <pic:cNvPicPr/>
                  </pic:nvPicPr>
                  <pic:blipFill>
                    <a:blip r:embed="rId11"/>
                    <a:stretch>
                      <a:fillRect/>
                    </a:stretch>
                  </pic:blipFill>
                  <pic:spPr>
                    <a:xfrm>
                      <a:off x="0" y="0"/>
                      <a:ext cx="3093988" cy="2057578"/>
                    </a:xfrm>
                    <a:prstGeom prst="rect">
                      <a:avLst/>
                    </a:prstGeom>
                  </pic:spPr>
                </pic:pic>
              </a:graphicData>
            </a:graphic>
          </wp:inline>
        </w:drawing>
      </w:r>
    </w:p>
    <w:p w14:paraId="3FD4E93C" w14:textId="516D6F51" w:rsidR="006538BC" w:rsidRPr="00D047E5" w:rsidRDefault="006538BC" w:rsidP="006538BC">
      <w:pPr>
        <w:spacing w:line="360" w:lineRule="auto"/>
        <w:jc w:val="center"/>
        <w:rPr>
          <w:rFonts w:ascii="Arial" w:hAnsi="Arial" w:cs="Arial"/>
          <w:b/>
          <w:bCs/>
          <w:sz w:val="24"/>
          <w:szCs w:val="24"/>
          <w:lang w:val="en-IN"/>
        </w:rPr>
      </w:pPr>
      <w:r w:rsidRPr="006538BC">
        <w:rPr>
          <w:rFonts w:ascii="Arial" w:hAnsi="Arial" w:cs="Arial"/>
          <w:b/>
          <w:bCs/>
          <w:sz w:val="24"/>
          <w:szCs w:val="24"/>
          <w:lang w:val="en-IN"/>
        </w:rPr>
        <w:t>Figure 4: Research Onion</w:t>
      </w:r>
    </w:p>
    <w:p w14:paraId="61E4DFD3" w14:textId="77777777" w:rsidR="00D047E5" w:rsidRPr="00D047E5" w:rsidRDefault="00D047E5" w:rsidP="00D047E5">
      <w:pPr>
        <w:spacing w:line="360" w:lineRule="auto"/>
        <w:jc w:val="both"/>
        <w:rPr>
          <w:rFonts w:ascii="Arial" w:hAnsi="Arial" w:cs="Arial"/>
          <w:sz w:val="24"/>
          <w:szCs w:val="24"/>
          <w:lang w:val="en-IN"/>
        </w:rPr>
      </w:pPr>
      <w:r w:rsidRPr="00D047E5">
        <w:rPr>
          <w:rFonts w:ascii="Arial" w:hAnsi="Arial" w:cs="Arial"/>
          <w:sz w:val="24"/>
          <w:szCs w:val="24"/>
          <w:lang w:val="en-IN"/>
        </w:rPr>
        <w:t xml:space="preserve">The main idea behind the interpretivism approach is to work with already established subjective meanings of the social world - to identify, recreate, and recognise them without distortion, and use them as the basic building blocks to theorising. A positivist philosophy, in its turn, would entail operationalising the concept of supply chain resilience into quantifiable variables and testing predefined hypotheses, a research design that is not suited to the exploratory, situation-specific quality of this study (McGarraghy </w:t>
      </w:r>
      <w:r w:rsidRPr="00D047E5">
        <w:rPr>
          <w:rFonts w:ascii="Arial" w:hAnsi="Arial" w:cs="Arial"/>
          <w:i/>
          <w:iCs/>
          <w:sz w:val="24"/>
          <w:szCs w:val="24"/>
          <w:lang w:val="en-IN"/>
        </w:rPr>
        <w:t>et al.</w:t>
      </w:r>
      <w:r w:rsidRPr="00D047E5">
        <w:rPr>
          <w:rFonts w:ascii="Arial" w:hAnsi="Arial" w:cs="Arial"/>
          <w:sz w:val="24"/>
          <w:szCs w:val="24"/>
          <w:lang w:val="en-IN"/>
        </w:rPr>
        <w:t xml:space="preserve"> 2022). Equally, a pragmatist or integrated paradigm would require primary data gathering or quantitative incorporation, which is not within the limitation and intent of the given secondary qualitative study. It is the interpretivist philosophy that gives the most coherent intellectual and methodological stance to the analysis work performed.</w:t>
      </w:r>
    </w:p>
    <w:p w14:paraId="246B7C3E" w14:textId="77777777" w:rsidR="00D047E5" w:rsidRPr="00D047E5" w:rsidRDefault="00D047E5" w:rsidP="00D047E5">
      <w:pPr>
        <w:spacing w:line="360" w:lineRule="auto"/>
        <w:jc w:val="both"/>
        <w:rPr>
          <w:rFonts w:ascii="Arial" w:hAnsi="Arial" w:cs="Arial"/>
          <w:sz w:val="24"/>
          <w:szCs w:val="24"/>
          <w:lang w:val="en-IN"/>
        </w:rPr>
      </w:pPr>
      <w:r w:rsidRPr="00D047E5">
        <w:rPr>
          <w:rFonts w:ascii="Arial" w:hAnsi="Arial" w:cs="Arial"/>
          <w:sz w:val="24"/>
          <w:szCs w:val="24"/>
          <w:lang w:val="en-IN"/>
        </w:rPr>
        <w:t xml:space="preserve">In line with the interpretivist philosophy, this research will take an inductive approach to research. Under inductive approaches, researchers start with data collection, followed by data analysis and rely on the analysis to derive new insights. This style is </w:t>
      </w:r>
      <w:r w:rsidRPr="00D047E5">
        <w:rPr>
          <w:rFonts w:ascii="Arial" w:hAnsi="Arial" w:cs="Arial"/>
          <w:sz w:val="24"/>
          <w:szCs w:val="24"/>
          <w:lang w:val="en-IN"/>
        </w:rPr>
        <w:lastRenderedPageBreak/>
        <w:t>particularly helpful in situations where comparatively little is known already, or where new reasons could be required conditions that exactly describe the post-pandemic supply chain resilience that is currently evolving (Magableh, 2021). Instead of subjecting an existing theory to a set of preconceived propositions, an inductive approach permits themes and patterns of organisational behaviour to come out of the secondary sources of qualitative evidence and generate insights that show the heterogeneity and complexity of real organisational responses. </w:t>
      </w:r>
    </w:p>
    <w:p w14:paraId="237E4C2E" w14:textId="648D2DF2" w:rsidR="00D047E5" w:rsidRPr="004B07FF" w:rsidRDefault="00D047E5" w:rsidP="00D047E5">
      <w:pPr>
        <w:spacing w:line="360" w:lineRule="auto"/>
        <w:jc w:val="both"/>
        <w:rPr>
          <w:rFonts w:ascii="Arial" w:hAnsi="Arial" w:cs="Arial"/>
          <w:sz w:val="24"/>
          <w:szCs w:val="24"/>
          <w:lang w:val="en-IN"/>
        </w:rPr>
      </w:pPr>
      <w:r w:rsidRPr="00D047E5">
        <w:rPr>
          <w:rFonts w:ascii="Arial" w:hAnsi="Arial" w:cs="Arial"/>
          <w:sz w:val="24"/>
          <w:szCs w:val="24"/>
          <w:lang w:val="en-IN"/>
        </w:rPr>
        <w:t>This study will not have deductive approach since such an approach would force the data to fit within a theoretical framework that is already known to exist, limiting the study to stifle emerging results that do not fit within the preexisting framework. This is a very restrictive limitation considering that the Covid-19 disruption is novel and unparalleled. The inductive coding method, as it is mostly used in supply chain management literature, is the process of constructing first-order codes that are based on the data, organising them into more abstract second-order themes, and synthesising these into aggregate conceptual dimensions giving the analytical rigour would require to generate believable and transferable knowledge based on secondary qualitative data.</w:t>
      </w:r>
    </w:p>
    <w:p w14:paraId="7B3C6AE2" w14:textId="7CE6209E" w:rsidR="00EA16F9" w:rsidRDefault="00EA16F9" w:rsidP="00D047E5">
      <w:pPr>
        <w:spacing w:line="360" w:lineRule="auto"/>
        <w:jc w:val="both"/>
        <w:rPr>
          <w:rFonts w:ascii="Arial" w:hAnsi="Arial" w:cs="Arial"/>
          <w:b/>
          <w:bCs/>
          <w:i/>
          <w:iCs/>
          <w:sz w:val="24"/>
          <w:szCs w:val="24"/>
        </w:rPr>
      </w:pPr>
      <w:r w:rsidRPr="00D047E5">
        <w:rPr>
          <w:rFonts w:ascii="Arial" w:hAnsi="Arial" w:cs="Arial"/>
          <w:b/>
          <w:bCs/>
          <w:i/>
          <w:iCs/>
          <w:sz w:val="24"/>
          <w:szCs w:val="24"/>
        </w:rPr>
        <w:t xml:space="preserve">Ethical consideration </w:t>
      </w:r>
    </w:p>
    <w:p w14:paraId="07BF4C03" w14:textId="555D43CF" w:rsidR="004B07FF" w:rsidRPr="00BF3CB9" w:rsidRDefault="004B07FF" w:rsidP="00D047E5">
      <w:pPr>
        <w:spacing w:line="360" w:lineRule="auto"/>
        <w:jc w:val="both"/>
        <w:rPr>
          <w:rFonts w:ascii="Arial" w:hAnsi="Arial" w:cs="Arial"/>
          <w:sz w:val="24"/>
          <w:szCs w:val="24"/>
          <w:lang w:val="en-IN"/>
        </w:rPr>
      </w:pPr>
      <w:r w:rsidRPr="004B07FF">
        <w:rPr>
          <w:rFonts w:ascii="Arial" w:hAnsi="Arial" w:cs="Arial"/>
          <w:sz w:val="24"/>
          <w:szCs w:val="24"/>
          <w:lang w:val="en-IN"/>
        </w:rPr>
        <w:t xml:space="preserve">In terms of ethical issues, this research is carried out solely by using the secondary qualitative analysis of published and peer-reviewed scholarly publications and has no connection to the gathering of primary data and human participants. The standard ethical standards that would be used in the traditional qualitative research such as informed consent, participant anonymity and formal institutional ethical approval cannot, therefore, be implemented in their usual form to this research. Utilizing published data that is publicly available and available in a totally unsecured way, is formally assumed to be free of ethical proceedings in most research set ups. Hence, ethical responsibility is still obligatory, especially with the proper referencing and due accreditation of all source materials so that the intellectual involvement of original contributors is completely recognized. In this context, this study upholds the highest standards of academic integrity, by ensuring that all of the sources are critically and transparently engaged.  There will be no case of misrepresentation or selective reportage of the findings, and that the analysis is reflexive to the limitations of working </w:t>
      </w:r>
      <w:r w:rsidRPr="004B07FF">
        <w:rPr>
          <w:rFonts w:ascii="Arial" w:hAnsi="Arial" w:cs="Arial"/>
          <w:sz w:val="24"/>
          <w:szCs w:val="24"/>
          <w:lang w:val="en-IN"/>
        </w:rPr>
        <w:lastRenderedPageBreak/>
        <w:t>with pre-existing textual data. The study will also be able to stick to the principles of good research conduct set out by the British Sociological Association, so that the secondary qualitative approach has been implemented in a way that is both intellectually honest and methodologically transparent and ethically defensible.</w:t>
      </w:r>
    </w:p>
    <w:p w14:paraId="7C363B18" w14:textId="38AF043B" w:rsidR="00340834" w:rsidRDefault="00340834" w:rsidP="00BF3CB9">
      <w:pPr>
        <w:pStyle w:val="Heading1"/>
      </w:pPr>
      <w:bookmarkStart w:id="4" w:name="_Toc222256691"/>
      <w:r w:rsidRPr="00D7508A">
        <w:t>Risks</w:t>
      </w:r>
      <w:bookmarkEnd w:id="4"/>
    </w:p>
    <w:p w14:paraId="20ED12FD" w14:textId="4C05FF76" w:rsidR="00BF3CB9" w:rsidRPr="00BF3CB9" w:rsidRDefault="00BF3CB9" w:rsidP="00BF3CB9">
      <w:pPr>
        <w:spacing w:line="360" w:lineRule="auto"/>
        <w:jc w:val="both"/>
        <w:rPr>
          <w:rFonts w:ascii="Arial" w:hAnsi="Arial" w:cs="Arial"/>
          <w:sz w:val="24"/>
          <w:szCs w:val="24"/>
        </w:rPr>
      </w:pPr>
      <w:r w:rsidRPr="00BF3CB9">
        <w:rPr>
          <w:rFonts w:ascii="Arial" w:hAnsi="Arial" w:cs="Arial"/>
          <w:sz w:val="24"/>
          <w:szCs w:val="24"/>
        </w:rPr>
        <w:t>One of the main risks relates to the trustworthiness and timeliness of secondary sources because the chosen literature might be a geographically or sectoral specific organisational reaction that restricts the extrapolation of the results to a wide range of global experiences of the supply chain. Publication bias is another threat as it is more likely to publish research that reported successful organisational responses compared to research that reported failures, which may lead to biased analytical findings. As this study will be based on the available literature as a whole, the researcher has no authority over the quality, depth, or consistency of primary data collection procedures used in the reviewed studies. Also, the post-pandemic supply chain environment moves fast, so some of the findings reviewed may not be relevant in the contemporary setting, which will influence the overall transferability of the conclusions made.</w:t>
      </w:r>
    </w:p>
    <w:p w14:paraId="2FF99E40" w14:textId="0A09F14D" w:rsidR="00CA5832" w:rsidRDefault="00340834" w:rsidP="00BF3CB9">
      <w:pPr>
        <w:pStyle w:val="Heading1"/>
      </w:pPr>
      <w:bookmarkStart w:id="5" w:name="_Toc222256692"/>
      <w:r w:rsidRPr="00D7508A">
        <w:lastRenderedPageBreak/>
        <w:t>Timeline</w:t>
      </w:r>
      <w:bookmarkEnd w:id="5"/>
      <w:r w:rsidRPr="00D7508A">
        <w:t xml:space="preserve"> </w:t>
      </w:r>
    </w:p>
    <w:p w14:paraId="1924EC33" w14:textId="7E23E8CB" w:rsidR="004C7721" w:rsidRDefault="004C7721" w:rsidP="004C7721">
      <w:r w:rsidRPr="004C7721">
        <w:rPr>
          <w:noProof/>
        </w:rPr>
        <w:drawing>
          <wp:inline distT="0" distB="0" distL="0" distR="0" wp14:anchorId="1B19BA6A" wp14:editId="790201D2">
            <wp:extent cx="6134100" cy="5227320"/>
            <wp:effectExtent l="0" t="0" r="0" b="0"/>
            <wp:docPr id="671982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82620" name=""/>
                    <pic:cNvPicPr/>
                  </pic:nvPicPr>
                  <pic:blipFill>
                    <a:blip r:embed="rId12"/>
                    <a:stretch>
                      <a:fillRect/>
                    </a:stretch>
                  </pic:blipFill>
                  <pic:spPr>
                    <a:xfrm>
                      <a:off x="0" y="0"/>
                      <a:ext cx="6134636" cy="5227777"/>
                    </a:xfrm>
                    <a:prstGeom prst="rect">
                      <a:avLst/>
                    </a:prstGeom>
                  </pic:spPr>
                </pic:pic>
              </a:graphicData>
            </a:graphic>
          </wp:inline>
        </w:drawing>
      </w:r>
    </w:p>
    <w:p w14:paraId="42A6B599" w14:textId="77777777" w:rsidR="004C7721" w:rsidRDefault="004C7721">
      <w:r>
        <w:br w:type="page"/>
      </w:r>
    </w:p>
    <w:p w14:paraId="1A478A56" w14:textId="77777777" w:rsidR="004C7721" w:rsidRPr="004C7721" w:rsidRDefault="004C7721" w:rsidP="004C7721">
      <w:pPr>
        <w:pStyle w:val="Heading1"/>
        <w:rPr>
          <w:lang w:val="en-IN"/>
        </w:rPr>
      </w:pPr>
      <w:bookmarkStart w:id="6" w:name="_Toc222256693"/>
      <w:r w:rsidRPr="004C7721">
        <w:rPr>
          <w:lang w:val="en-IN"/>
        </w:rPr>
        <w:lastRenderedPageBreak/>
        <w:t>Reference list</w:t>
      </w:r>
      <w:bookmarkEnd w:id="6"/>
    </w:p>
    <w:p w14:paraId="2911AB72"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Chowdhury, P., Paul, S.K., Kaisar, S. and Moktadir, Md.A. (2021). COVID-19 pandemic related supply chain studies: A systematic review. </w:t>
      </w:r>
      <w:r w:rsidRPr="004C7721">
        <w:rPr>
          <w:rFonts w:ascii="Arial" w:hAnsi="Arial" w:cs="Arial"/>
          <w:i/>
          <w:iCs/>
          <w:lang w:val="en-IN"/>
        </w:rPr>
        <w:t>Transportation Research Part E: Logistics and Transportation Review</w:t>
      </w:r>
      <w:r w:rsidRPr="004C7721">
        <w:rPr>
          <w:rFonts w:ascii="Arial" w:hAnsi="Arial" w:cs="Arial"/>
          <w:lang w:val="en-IN"/>
        </w:rPr>
        <w:t>, 148(102271), p.102271. doi:https://doi.org/10.1016/j.tre.2021.102271.</w:t>
      </w:r>
    </w:p>
    <w:p w14:paraId="25EAEE30"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Kiyota, K. (2021). The COVID-19 Pandemic and the World Trade Network. </w:t>
      </w:r>
      <w:r w:rsidRPr="004C7721">
        <w:rPr>
          <w:rFonts w:ascii="Arial" w:hAnsi="Arial" w:cs="Arial"/>
          <w:i/>
          <w:iCs/>
          <w:lang w:val="en-IN"/>
        </w:rPr>
        <w:t>Journal of Asian Economics</w:t>
      </w:r>
      <w:r w:rsidRPr="004C7721">
        <w:rPr>
          <w:rFonts w:ascii="Arial" w:hAnsi="Arial" w:cs="Arial"/>
          <w:lang w:val="en-IN"/>
        </w:rPr>
        <w:t>, p.101419. doi:https://doi.org/10.1016/j.asieco.2021.101419.</w:t>
      </w:r>
    </w:p>
    <w:p w14:paraId="40C05CA3"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Li, D., Zhi, B., Schoenherr, T. and Wang, X. (2023). Developing capabilities for supply chain resilience in a post-COVID world: A machine learning-based thematic analysis. </w:t>
      </w:r>
      <w:r w:rsidRPr="004C7721">
        <w:rPr>
          <w:rFonts w:ascii="Arial" w:hAnsi="Arial" w:cs="Arial"/>
          <w:i/>
          <w:iCs/>
          <w:lang w:val="en-IN"/>
        </w:rPr>
        <w:t>IISE Transactions</w:t>
      </w:r>
      <w:r w:rsidRPr="004C7721">
        <w:rPr>
          <w:rFonts w:ascii="Arial" w:hAnsi="Arial" w:cs="Arial"/>
          <w:lang w:val="en-IN"/>
        </w:rPr>
        <w:t>, 55(12), pp.1–21. doi:https://doi.org/10.1080/24725854.2023.2176951.</w:t>
      </w:r>
    </w:p>
    <w:p w14:paraId="2EAEB1B5"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Magableh, G.M. (2021). Supply Chains and the COVID</w:t>
      </w:r>
      <w:r w:rsidRPr="004C7721">
        <w:rPr>
          <w:rFonts w:ascii="Cambria Math" w:hAnsi="Cambria Math" w:cs="Cambria Math"/>
          <w:lang w:val="en-IN"/>
        </w:rPr>
        <w:t>‐</w:t>
      </w:r>
      <w:r w:rsidRPr="004C7721">
        <w:rPr>
          <w:rFonts w:ascii="Arial" w:hAnsi="Arial" w:cs="Arial"/>
          <w:lang w:val="en-IN"/>
        </w:rPr>
        <w:t xml:space="preserve">19 Pandemic: A Comprehensive Framework. </w:t>
      </w:r>
      <w:r w:rsidRPr="004C7721">
        <w:rPr>
          <w:rFonts w:ascii="Arial" w:hAnsi="Arial" w:cs="Arial"/>
          <w:i/>
          <w:iCs/>
          <w:lang w:val="en-IN"/>
        </w:rPr>
        <w:t>European Management Review</w:t>
      </w:r>
      <w:r w:rsidRPr="004C7721">
        <w:rPr>
          <w:rFonts w:ascii="Arial" w:hAnsi="Arial" w:cs="Arial"/>
          <w:lang w:val="en-IN"/>
        </w:rPr>
        <w:t>, 18(3), pp.363–382. doi:https://doi.org/10.1111/emre.12449.</w:t>
      </w:r>
    </w:p>
    <w:p w14:paraId="7EE43415" w14:textId="77777777" w:rsidR="004C7721" w:rsidRPr="004C7721" w:rsidRDefault="004C7721" w:rsidP="004C7721">
      <w:pPr>
        <w:spacing w:line="360" w:lineRule="auto"/>
        <w:jc w:val="both"/>
        <w:rPr>
          <w:rFonts w:ascii="Arial" w:hAnsi="Arial" w:cs="Arial"/>
        </w:rPr>
      </w:pPr>
      <w:r w:rsidRPr="004C7721">
        <w:rPr>
          <w:rFonts w:ascii="Arial" w:hAnsi="Arial" w:cs="Arial"/>
        </w:rPr>
        <w:t>McGarraghy, S., Olafsdottir, G., Kazakov, R., Huber, É., Loveluck, W., Gudbrandsdottir, I.Y., Čechura, L., Esposito, G., Samoggia, A., Aubert, P.M. and Barling, D., (2022). Conceptual system dynamics and agent-based modelling simulation of interorganisational fairness in food value chains: Research agenda and case studies. </w:t>
      </w:r>
      <w:r w:rsidRPr="004C7721">
        <w:rPr>
          <w:rFonts w:ascii="Arial" w:hAnsi="Arial" w:cs="Arial"/>
          <w:i/>
          <w:iCs/>
        </w:rPr>
        <w:t>Agriculture</w:t>
      </w:r>
      <w:r w:rsidRPr="004C7721">
        <w:rPr>
          <w:rFonts w:ascii="Arial" w:hAnsi="Arial" w:cs="Arial"/>
        </w:rPr>
        <w:t>, </w:t>
      </w:r>
      <w:r w:rsidRPr="004C7721">
        <w:rPr>
          <w:rFonts w:ascii="Arial" w:hAnsi="Arial" w:cs="Arial"/>
          <w:i/>
          <w:iCs/>
        </w:rPr>
        <w:t>12</w:t>
      </w:r>
      <w:r w:rsidRPr="004C7721">
        <w:rPr>
          <w:rFonts w:ascii="Arial" w:hAnsi="Arial" w:cs="Arial"/>
        </w:rPr>
        <w:t>(2), p.280.</w:t>
      </w:r>
    </w:p>
    <w:p w14:paraId="13AF06D6"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Meier, M. and Pinto, E. (2024). COVID-19 Supply Chain Disruptions. </w:t>
      </w:r>
      <w:r w:rsidRPr="004C7721">
        <w:rPr>
          <w:rFonts w:ascii="Arial" w:hAnsi="Arial" w:cs="Arial"/>
          <w:i/>
          <w:iCs/>
          <w:lang w:val="en-IN"/>
        </w:rPr>
        <w:t>European Economic Review</w:t>
      </w:r>
      <w:r w:rsidRPr="004C7721">
        <w:rPr>
          <w:rFonts w:ascii="Arial" w:hAnsi="Arial" w:cs="Arial"/>
          <w:lang w:val="en-IN"/>
        </w:rPr>
        <w:t>, 162, p.104674. doi:https://doi.org/10.1016/j.euroecorev.2024.104674.</w:t>
      </w:r>
    </w:p>
    <w:p w14:paraId="3CA6074D"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Moosavi, J., Naeni, L.M., Fathollahi-Fard, A.M. and Fiore, U. (2021). Blockchain in supply chain management: a review, bibliometric, and network analysis. </w:t>
      </w:r>
      <w:r w:rsidRPr="004C7721">
        <w:rPr>
          <w:rFonts w:ascii="Arial" w:hAnsi="Arial" w:cs="Arial"/>
          <w:i/>
          <w:iCs/>
          <w:lang w:val="en-IN"/>
        </w:rPr>
        <w:t>Environmental Science and Pollution Research</w:t>
      </w:r>
      <w:r w:rsidRPr="004C7721">
        <w:rPr>
          <w:rFonts w:ascii="Arial" w:hAnsi="Arial" w:cs="Arial"/>
          <w:lang w:val="en-IN"/>
        </w:rPr>
        <w:t>, 1(2). doi:https://doi.org/10.1007/s11356-021-13094-3.</w:t>
      </w:r>
    </w:p>
    <w:p w14:paraId="4872DA5B"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Napier, E., Liu, S.Y.H. and Liu, J. (2024). Adaptive strength: Unveiling a multilevel dynamic process model for organizational resilience. </w:t>
      </w:r>
      <w:r w:rsidRPr="004C7721">
        <w:rPr>
          <w:rFonts w:ascii="Arial" w:hAnsi="Arial" w:cs="Arial"/>
          <w:i/>
          <w:iCs/>
          <w:lang w:val="en-IN"/>
        </w:rPr>
        <w:t>Journal of Business Research</w:t>
      </w:r>
      <w:r w:rsidRPr="004C7721">
        <w:rPr>
          <w:rFonts w:ascii="Arial" w:hAnsi="Arial" w:cs="Arial"/>
          <w:lang w:val="en-IN"/>
        </w:rPr>
        <w:t>, 171, p.114334.</w:t>
      </w:r>
    </w:p>
    <w:p w14:paraId="792FB68A"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Niu, Y., Werle, N., Cohen, M., Cui, S., Deshpande, V., Ernst, R., Huchzermeier, A., Tsay, A.A. and Wu, J. (2025). Restructuring Global Supply Chains: Navigating Challenges of the COVID-19 Pandemic and Beyond. </w:t>
      </w:r>
      <w:r w:rsidRPr="004C7721">
        <w:rPr>
          <w:rFonts w:ascii="Arial" w:hAnsi="Arial" w:cs="Arial"/>
          <w:i/>
          <w:iCs/>
          <w:lang w:val="en-IN"/>
        </w:rPr>
        <w:t>Manufacturing &amp; Service Operations Management</w:t>
      </w:r>
      <w:r w:rsidRPr="004C7721">
        <w:rPr>
          <w:rFonts w:ascii="Arial" w:hAnsi="Arial" w:cs="Arial"/>
          <w:lang w:val="en-IN"/>
        </w:rPr>
        <w:t>, 27(4). doi:https://doi.org/10.1287/msom.2024.0879.</w:t>
      </w:r>
    </w:p>
    <w:p w14:paraId="367AB209" w14:textId="77777777" w:rsidR="004C7721" w:rsidRPr="004C7721" w:rsidRDefault="004C7721" w:rsidP="004C7721">
      <w:pPr>
        <w:spacing w:line="360" w:lineRule="auto"/>
        <w:jc w:val="both"/>
        <w:rPr>
          <w:rFonts w:ascii="Arial" w:hAnsi="Arial" w:cs="Arial"/>
        </w:rPr>
      </w:pPr>
      <w:r w:rsidRPr="004C7721">
        <w:rPr>
          <w:rFonts w:ascii="Arial" w:hAnsi="Arial" w:cs="Arial"/>
        </w:rPr>
        <w:t>William, F.K.A., (2024). Interpretivism or constructivism: Navigating research paradigms in social science research. </w:t>
      </w:r>
      <w:r w:rsidRPr="004C7721">
        <w:rPr>
          <w:rFonts w:ascii="Arial" w:hAnsi="Arial" w:cs="Arial"/>
          <w:i/>
          <w:iCs/>
        </w:rPr>
        <w:t>International Journal of Research Publications</w:t>
      </w:r>
      <w:r w:rsidRPr="004C7721">
        <w:rPr>
          <w:rFonts w:ascii="Arial" w:hAnsi="Arial" w:cs="Arial"/>
        </w:rPr>
        <w:t>, </w:t>
      </w:r>
      <w:r w:rsidRPr="004C7721">
        <w:rPr>
          <w:rFonts w:ascii="Arial" w:hAnsi="Arial" w:cs="Arial"/>
          <w:i/>
          <w:iCs/>
        </w:rPr>
        <w:t>143</w:t>
      </w:r>
      <w:r w:rsidRPr="004C7721">
        <w:rPr>
          <w:rFonts w:ascii="Arial" w:hAnsi="Arial" w:cs="Arial"/>
        </w:rPr>
        <w:t>(1), pp.134-138.</w:t>
      </w:r>
    </w:p>
    <w:p w14:paraId="1C0CDE4F"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WTO (2020). </w:t>
      </w:r>
      <w:r w:rsidRPr="004C7721">
        <w:rPr>
          <w:rFonts w:ascii="Arial" w:hAnsi="Arial" w:cs="Arial"/>
          <w:i/>
          <w:iCs/>
          <w:lang w:val="en-IN"/>
        </w:rPr>
        <w:t>Trade Set to Plunge as COVID-19 Pandemic Upends Global Economy</w:t>
      </w:r>
      <w:r w:rsidRPr="004C7721">
        <w:rPr>
          <w:rFonts w:ascii="Arial" w:hAnsi="Arial" w:cs="Arial"/>
          <w:lang w:val="en-IN"/>
        </w:rPr>
        <w:t>. [online] www.wto.org. Available at: https://www.wto.org/english/news_e/pres20_e/pr855_e.htm.</w:t>
      </w:r>
    </w:p>
    <w:p w14:paraId="34B94AC7"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lastRenderedPageBreak/>
        <w:t>Wulandhari, N.B.I., Budhwar, P., Mishra, N., Akbar, S., Do, Q. and Milligan, G. (2022). Organizational Resilience to Supply Chain Risks During the COVID</w:t>
      </w:r>
      <w:r w:rsidRPr="004C7721">
        <w:rPr>
          <w:rFonts w:ascii="Cambria Math" w:hAnsi="Cambria Math" w:cs="Cambria Math"/>
          <w:lang w:val="en-IN"/>
        </w:rPr>
        <w:t>‐</w:t>
      </w:r>
      <w:r w:rsidRPr="004C7721">
        <w:rPr>
          <w:rFonts w:ascii="Arial" w:hAnsi="Arial" w:cs="Arial"/>
          <w:lang w:val="en-IN"/>
        </w:rPr>
        <w:t xml:space="preserve">19 Pandemic. </w:t>
      </w:r>
      <w:r w:rsidRPr="004C7721">
        <w:rPr>
          <w:rFonts w:ascii="Arial" w:hAnsi="Arial" w:cs="Arial"/>
          <w:i/>
          <w:iCs/>
          <w:lang w:val="en-IN"/>
        </w:rPr>
        <w:t>British Journal of Management</w:t>
      </w:r>
      <w:r w:rsidRPr="004C7721">
        <w:rPr>
          <w:rFonts w:ascii="Arial" w:hAnsi="Arial" w:cs="Arial"/>
          <w:lang w:val="en-IN"/>
        </w:rPr>
        <w:t>, 34(3). doi:https://doi.org/10.1111/1467-8551.12648.</w:t>
      </w:r>
    </w:p>
    <w:p w14:paraId="4376721C"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Xu, Z., Elomri, A., Kerbache, L. and El Omri, A. (2020). Impacts of COVID-19 on Global Supply Chains: Facts and Perspectives. </w:t>
      </w:r>
      <w:r w:rsidRPr="004C7721">
        <w:rPr>
          <w:rFonts w:ascii="Arial" w:hAnsi="Arial" w:cs="Arial"/>
          <w:i/>
          <w:iCs/>
          <w:lang w:val="en-IN"/>
        </w:rPr>
        <w:t>IEEE Engineering Management Review</w:t>
      </w:r>
      <w:r w:rsidRPr="004C7721">
        <w:rPr>
          <w:rFonts w:ascii="Arial" w:hAnsi="Arial" w:cs="Arial"/>
          <w:lang w:val="en-IN"/>
        </w:rPr>
        <w:t>, [online] 48(3), pp.153–166. doi:https://doi.org/10.1109/EMR.2020.3018420.</w:t>
      </w:r>
    </w:p>
    <w:p w14:paraId="32047064" w14:textId="77777777" w:rsidR="004C7721" w:rsidRPr="004C7721" w:rsidRDefault="004C7721" w:rsidP="004C7721">
      <w:pPr>
        <w:spacing w:line="360" w:lineRule="auto"/>
        <w:jc w:val="both"/>
        <w:rPr>
          <w:rFonts w:ascii="Arial" w:hAnsi="Arial" w:cs="Arial"/>
          <w:lang w:val="en-IN"/>
        </w:rPr>
      </w:pPr>
      <w:r w:rsidRPr="004C7721">
        <w:rPr>
          <w:rFonts w:ascii="Arial" w:hAnsi="Arial" w:cs="Arial"/>
          <w:lang w:val="en-IN"/>
        </w:rPr>
        <w:t xml:space="preserve">Xu, Z., Elomri, A., Omri, A.E., Kerbache, L. and Liu, H. (2021). The Compounded Effects of COVID-19 Pandemic and Desert Locust Outbreak on Food Security and Food Supply Chain. </w:t>
      </w:r>
      <w:r w:rsidRPr="004C7721">
        <w:rPr>
          <w:rFonts w:ascii="Arial" w:hAnsi="Arial" w:cs="Arial"/>
          <w:i/>
          <w:iCs/>
          <w:lang w:val="en-IN"/>
        </w:rPr>
        <w:t>Sustainability</w:t>
      </w:r>
      <w:r w:rsidRPr="004C7721">
        <w:rPr>
          <w:rFonts w:ascii="Arial" w:hAnsi="Arial" w:cs="Arial"/>
          <w:lang w:val="en-IN"/>
        </w:rPr>
        <w:t>, [online] 13(3), p.1063. doi:https://doi.org/10.3390/su13031063.</w:t>
      </w:r>
    </w:p>
    <w:sectPr w:rsidR="004C7721" w:rsidRPr="004C772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165C6" w14:textId="77777777" w:rsidR="00D13495" w:rsidRDefault="00D13495" w:rsidP="004F4AA3">
      <w:pPr>
        <w:spacing w:after="0" w:line="240" w:lineRule="auto"/>
      </w:pPr>
      <w:r>
        <w:separator/>
      </w:r>
    </w:p>
  </w:endnote>
  <w:endnote w:type="continuationSeparator" w:id="0">
    <w:p w14:paraId="338043DF" w14:textId="77777777" w:rsidR="00D13495" w:rsidRDefault="00D13495" w:rsidP="004F4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721050200"/>
      <w:docPartObj>
        <w:docPartGallery w:val="Page Numbers (Bottom of Page)"/>
        <w:docPartUnique/>
      </w:docPartObj>
    </w:sdtPr>
    <w:sdtEndPr>
      <w:rPr>
        <w:noProof/>
      </w:rPr>
    </w:sdtEndPr>
    <w:sdtContent>
      <w:p w14:paraId="7E80C44E" w14:textId="1AE48B02" w:rsidR="004F4AA3" w:rsidRPr="004F4AA3" w:rsidRDefault="004F4AA3">
        <w:pPr>
          <w:pStyle w:val="Footer"/>
          <w:jc w:val="right"/>
          <w:rPr>
            <w:rFonts w:ascii="Arial" w:hAnsi="Arial" w:cs="Arial"/>
            <w:sz w:val="20"/>
            <w:szCs w:val="20"/>
          </w:rPr>
        </w:pPr>
        <w:r w:rsidRPr="004F4AA3">
          <w:rPr>
            <w:rFonts w:ascii="Arial" w:hAnsi="Arial" w:cs="Arial"/>
            <w:sz w:val="20"/>
            <w:szCs w:val="20"/>
          </w:rPr>
          <w:fldChar w:fldCharType="begin"/>
        </w:r>
        <w:r w:rsidRPr="004F4AA3">
          <w:rPr>
            <w:rFonts w:ascii="Arial" w:hAnsi="Arial" w:cs="Arial"/>
            <w:sz w:val="20"/>
            <w:szCs w:val="20"/>
          </w:rPr>
          <w:instrText xml:space="preserve"> PAGE   \* MERGEFORMAT </w:instrText>
        </w:r>
        <w:r w:rsidRPr="004F4AA3">
          <w:rPr>
            <w:rFonts w:ascii="Arial" w:hAnsi="Arial" w:cs="Arial"/>
            <w:sz w:val="20"/>
            <w:szCs w:val="20"/>
          </w:rPr>
          <w:fldChar w:fldCharType="separate"/>
        </w:r>
        <w:r w:rsidRPr="004F4AA3">
          <w:rPr>
            <w:rFonts w:ascii="Arial" w:hAnsi="Arial" w:cs="Arial"/>
            <w:noProof/>
            <w:sz w:val="20"/>
            <w:szCs w:val="20"/>
          </w:rPr>
          <w:t>2</w:t>
        </w:r>
        <w:r w:rsidRPr="004F4AA3">
          <w:rPr>
            <w:rFonts w:ascii="Arial" w:hAnsi="Arial" w:cs="Arial"/>
            <w:noProof/>
            <w:sz w:val="20"/>
            <w:szCs w:val="20"/>
          </w:rPr>
          <w:fldChar w:fldCharType="end"/>
        </w:r>
      </w:p>
    </w:sdtContent>
  </w:sdt>
  <w:p w14:paraId="222111E0" w14:textId="77777777" w:rsidR="004F4AA3" w:rsidRDefault="004F4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13010" w14:textId="77777777" w:rsidR="00D13495" w:rsidRDefault="00D13495" w:rsidP="004F4AA3">
      <w:pPr>
        <w:spacing w:after="0" w:line="240" w:lineRule="auto"/>
      </w:pPr>
      <w:r>
        <w:separator/>
      </w:r>
    </w:p>
  </w:footnote>
  <w:footnote w:type="continuationSeparator" w:id="0">
    <w:p w14:paraId="4CA93A7D" w14:textId="77777777" w:rsidR="00D13495" w:rsidRDefault="00D13495" w:rsidP="004F4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332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34"/>
    <w:rsid w:val="001961CC"/>
    <w:rsid w:val="002A1DEF"/>
    <w:rsid w:val="002E16E0"/>
    <w:rsid w:val="00340834"/>
    <w:rsid w:val="004B07FF"/>
    <w:rsid w:val="004C7721"/>
    <w:rsid w:val="004E7E79"/>
    <w:rsid w:val="004F4AA3"/>
    <w:rsid w:val="005D6BA4"/>
    <w:rsid w:val="006538BC"/>
    <w:rsid w:val="008D3405"/>
    <w:rsid w:val="00A65C06"/>
    <w:rsid w:val="00B05B07"/>
    <w:rsid w:val="00BC333B"/>
    <w:rsid w:val="00BF3CB9"/>
    <w:rsid w:val="00C12ABA"/>
    <w:rsid w:val="00CA5832"/>
    <w:rsid w:val="00D047E5"/>
    <w:rsid w:val="00D13495"/>
    <w:rsid w:val="00D7508A"/>
    <w:rsid w:val="00E75AAF"/>
    <w:rsid w:val="00EA16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2D1"/>
  <w15:chartTrackingRefBased/>
  <w15:docId w15:val="{ACD6F2CC-2E42-42EF-B0CA-987610EB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D3405"/>
    <w:pPr>
      <w:keepNext/>
      <w:keepLines/>
      <w:spacing w:before="240" w:after="0" w:line="360" w:lineRule="auto"/>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character" w:customStyle="1" w:styleId="Heading1Char">
    <w:name w:val="Heading 1 Char"/>
    <w:basedOn w:val="DefaultParagraphFont"/>
    <w:link w:val="Heading1"/>
    <w:uiPriority w:val="9"/>
    <w:rsid w:val="008D3405"/>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C12ABA"/>
    <w:pPr>
      <w:spacing w:line="259" w:lineRule="auto"/>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C12ABA"/>
    <w:pPr>
      <w:spacing w:after="100"/>
    </w:pPr>
  </w:style>
  <w:style w:type="character" w:styleId="Hyperlink">
    <w:name w:val="Hyperlink"/>
    <w:basedOn w:val="DefaultParagraphFont"/>
    <w:uiPriority w:val="99"/>
    <w:unhideWhenUsed/>
    <w:rsid w:val="00C12ABA"/>
    <w:rPr>
      <w:color w:val="0563C1" w:themeColor="hyperlink"/>
      <w:u w:val="single"/>
    </w:rPr>
  </w:style>
  <w:style w:type="paragraph" w:styleId="Header">
    <w:name w:val="header"/>
    <w:basedOn w:val="Normal"/>
    <w:link w:val="HeaderChar"/>
    <w:uiPriority w:val="99"/>
    <w:unhideWhenUsed/>
    <w:rsid w:val="004F4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AA3"/>
  </w:style>
  <w:style w:type="paragraph" w:styleId="Footer">
    <w:name w:val="footer"/>
    <w:basedOn w:val="Normal"/>
    <w:link w:val="FooterChar"/>
    <w:uiPriority w:val="99"/>
    <w:unhideWhenUsed/>
    <w:rsid w:val="004F4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A4499-77CE-43D2-A95B-20C0FEAA2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14</Pages>
  <Words>3239</Words>
  <Characters>18466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LUKHI MIT</cp:lastModifiedBy>
  <cp:revision>16</cp:revision>
  <dcterms:created xsi:type="dcterms:W3CDTF">2023-09-25T09:54:00Z</dcterms:created>
  <dcterms:modified xsi:type="dcterms:W3CDTF">2026-02-18T10:50:00Z</dcterms:modified>
</cp:coreProperties>
</file>