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DEEFB22" w14:textId="77777777" w:rsidR="008D346B" w:rsidRPr="00F44EE2" w:rsidRDefault="008D346B">
      <w:pPr>
        <w:rPr>
          <w:rFonts w:ascii="Arial" w:eastAsia="Arial" w:hAnsi="Arial" w:cs="Arial"/>
          <w:b/>
          <w:bCs/>
          <w:sz w:val="22"/>
          <w:szCs w:val="22"/>
        </w:rPr>
      </w:pPr>
    </w:p>
    <w:p w14:paraId="642528E8" w14:textId="77777777" w:rsidR="008D346B" w:rsidRPr="00F44EE2" w:rsidRDefault="005825D5">
      <w:pPr>
        <w:jc w:val="center"/>
        <w:rPr>
          <w:rFonts w:ascii="Arial" w:eastAsia="Arial" w:hAnsi="Arial" w:cs="Arial"/>
          <w:b/>
          <w:bCs/>
          <w:sz w:val="32"/>
          <w:szCs w:val="32"/>
        </w:rPr>
      </w:pPr>
      <w:r w:rsidRPr="00F44EE2">
        <w:rPr>
          <w:rFonts w:ascii="Arial" w:eastAsia="Arial" w:hAnsi="Arial" w:cs="Arial"/>
          <w:b/>
          <w:bCs/>
          <w:noProof/>
          <w:sz w:val="32"/>
          <w:szCs w:val="32"/>
          <w:lang w:eastAsia="en-US"/>
        </w:rPr>
        <w:drawing>
          <wp:inline distT="114300" distB="114300" distL="114300" distR="114300" wp14:anchorId="31CF5577" wp14:editId="7A0E8F18">
            <wp:extent cx="16954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95450" cy="723900"/>
                    </a:xfrm>
                    <a:prstGeom prst="rect">
                      <a:avLst/>
                    </a:prstGeom>
                    <a:ln/>
                  </pic:spPr>
                </pic:pic>
              </a:graphicData>
            </a:graphic>
          </wp:inline>
        </w:drawing>
      </w:r>
    </w:p>
    <w:p w14:paraId="009F3928" w14:textId="77777777" w:rsidR="008D346B" w:rsidRPr="00F44EE2" w:rsidRDefault="005825D5">
      <w:pPr>
        <w:jc w:val="center"/>
        <w:rPr>
          <w:rFonts w:ascii="Arial" w:eastAsia="Arial" w:hAnsi="Arial" w:cs="Arial"/>
          <w:b/>
          <w:bCs/>
          <w:sz w:val="32"/>
          <w:szCs w:val="32"/>
        </w:rPr>
      </w:pPr>
      <w:r w:rsidRPr="00F44EE2">
        <w:rPr>
          <w:rFonts w:ascii="Arial" w:eastAsia="Arial" w:hAnsi="Arial" w:cs="Arial"/>
          <w:b/>
          <w:bCs/>
          <w:sz w:val="32"/>
          <w:szCs w:val="32"/>
        </w:rPr>
        <w:t>PROGRAMME: MSC PUBLIC HEALTH AND SOCIAL CARE IN PRACTICE</w:t>
      </w:r>
    </w:p>
    <w:p w14:paraId="77606415" w14:textId="77777777" w:rsidR="008D346B" w:rsidRPr="00F44EE2" w:rsidRDefault="005825D5">
      <w:pPr>
        <w:jc w:val="center"/>
        <w:rPr>
          <w:rFonts w:ascii="Arial" w:eastAsia="Arial" w:hAnsi="Arial" w:cs="Arial"/>
          <w:b/>
          <w:bCs/>
          <w:sz w:val="32"/>
          <w:szCs w:val="32"/>
        </w:rPr>
      </w:pPr>
      <w:r w:rsidRPr="00F44EE2">
        <w:rPr>
          <w:rFonts w:ascii="Arial" w:eastAsia="Arial" w:hAnsi="Arial" w:cs="Arial"/>
          <w:b/>
          <w:bCs/>
          <w:sz w:val="32"/>
          <w:szCs w:val="32"/>
        </w:rPr>
        <w:t>MODULE: QUALITY ASSURANCE AND SERVICE IMPROVEMENTS</w:t>
      </w:r>
    </w:p>
    <w:p w14:paraId="47EC6E71" w14:textId="77777777" w:rsidR="008D346B" w:rsidRPr="00F44EE2" w:rsidRDefault="005825D5">
      <w:pPr>
        <w:jc w:val="center"/>
        <w:rPr>
          <w:rFonts w:ascii="Arial" w:eastAsia="Arial" w:hAnsi="Arial" w:cs="Arial"/>
          <w:b/>
          <w:bCs/>
          <w:sz w:val="32"/>
          <w:szCs w:val="32"/>
        </w:rPr>
      </w:pPr>
      <w:r w:rsidRPr="00F44EE2">
        <w:rPr>
          <w:rFonts w:ascii="Arial" w:eastAsia="Arial" w:hAnsi="Arial" w:cs="Arial"/>
          <w:b/>
          <w:bCs/>
          <w:sz w:val="32"/>
          <w:szCs w:val="32"/>
        </w:rPr>
        <w:t>MODULE CODE: LCHS7006</w:t>
      </w:r>
    </w:p>
    <w:p w14:paraId="5455D152" w14:textId="77777777" w:rsidR="008D346B" w:rsidRPr="00F44EE2" w:rsidRDefault="005825D5">
      <w:pPr>
        <w:jc w:val="center"/>
        <w:rPr>
          <w:rFonts w:ascii="Arial" w:eastAsia="Arial" w:hAnsi="Arial" w:cs="Arial"/>
          <w:b/>
          <w:bCs/>
          <w:sz w:val="32"/>
          <w:szCs w:val="32"/>
        </w:rPr>
      </w:pPr>
      <w:r w:rsidRPr="00F44EE2">
        <w:rPr>
          <w:rFonts w:ascii="Arial" w:eastAsia="Arial" w:hAnsi="Arial" w:cs="Arial"/>
          <w:b/>
          <w:bCs/>
          <w:sz w:val="32"/>
          <w:szCs w:val="32"/>
        </w:rPr>
        <w:t>LECTURER: DILHARA MAMPITIYA; CHRISTOPHER MAFUVA</w:t>
      </w:r>
    </w:p>
    <w:p w14:paraId="7B4C22AF" w14:textId="77777777" w:rsidR="008D346B" w:rsidRPr="00F44EE2" w:rsidRDefault="005825D5">
      <w:pPr>
        <w:jc w:val="center"/>
        <w:rPr>
          <w:rFonts w:ascii="Arial" w:eastAsia="Arial" w:hAnsi="Arial" w:cs="Arial"/>
          <w:b/>
          <w:bCs/>
          <w:sz w:val="32"/>
          <w:szCs w:val="32"/>
        </w:rPr>
      </w:pPr>
      <w:r w:rsidRPr="00F44EE2">
        <w:rPr>
          <w:rFonts w:ascii="Arial" w:eastAsia="Arial" w:hAnsi="Arial" w:cs="Arial"/>
          <w:b/>
          <w:bCs/>
          <w:sz w:val="32"/>
          <w:szCs w:val="32"/>
        </w:rPr>
        <w:t>INTERNAL VERIFIER: DR HAMDI HUSSAIN</w:t>
      </w:r>
    </w:p>
    <w:p w14:paraId="32DB82FE" w14:textId="77777777" w:rsidR="00FD1703" w:rsidRDefault="005825D5">
      <w:pPr>
        <w:jc w:val="center"/>
        <w:rPr>
          <w:rFonts w:ascii="Arial" w:eastAsia="Arial" w:hAnsi="Arial" w:cs="Arial"/>
          <w:b/>
          <w:bCs/>
          <w:sz w:val="32"/>
          <w:szCs w:val="32"/>
        </w:rPr>
      </w:pPr>
      <w:r w:rsidRPr="00F44EE2">
        <w:rPr>
          <w:rFonts w:ascii="Arial" w:eastAsia="Arial" w:hAnsi="Arial" w:cs="Arial"/>
          <w:b/>
          <w:bCs/>
          <w:sz w:val="32"/>
          <w:szCs w:val="32"/>
        </w:rPr>
        <w:t xml:space="preserve">ASSIGNMENT TITLE: </w:t>
      </w:r>
      <w:r w:rsidR="006B71F5" w:rsidRPr="00F44EE2">
        <w:rPr>
          <w:rFonts w:ascii="Arial" w:eastAsia="Arial" w:hAnsi="Arial" w:cs="Arial"/>
          <w:b/>
          <w:bCs/>
          <w:sz w:val="32"/>
          <w:szCs w:val="32"/>
        </w:rPr>
        <w:t>COMPONENT 2 SERVICE IMPROVEMENT REPORT</w:t>
      </w:r>
      <w:r w:rsidR="006B71F5">
        <w:rPr>
          <w:rFonts w:ascii="Arial" w:eastAsia="Arial" w:hAnsi="Arial" w:cs="Arial"/>
          <w:b/>
          <w:bCs/>
          <w:sz w:val="32"/>
          <w:szCs w:val="32"/>
        </w:rPr>
        <w:t xml:space="preserve"> FOR </w:t>
      </w:r>
      <w:r w:rsidR="006B71F5" w:rsidRPr="006B71F5">
        <w:rPr>
          <w:rFonts w:ascii="Arial" w:eastAsia="Arial" w:hAnsi="Arial" w:cs="Arial"/>
          <w:b/>
          <w:bCs/>
          <w:sz w:val="32"/>
          <w:szCs w:val="32"/>
        </w:rPr>
        <w:t>FAILURES OF BRISTOL ROYAL INFIRMARY’S PAEDIATRIC CARDIAC SURGERY</w:t>
      </w:r>
    </w:p>
    <w:p w14:paraId="18C38A63" w14:textId="46CE3C89" w:rsidR="00EC7644" w:rsidRPr="00EC7644" w:rsidRDefault="00EC7644" w:rsidP="00EC7644">
      <w:pPr>
        <w:jc w:val="center"/>
        <w:rPr>
          <w:rFonts w:ascii="Arial" w:eastAsia="Arial" w:hAnsi="Arial" w:cs="Arial"/>
          <w:b/>
          <w:bCs/>
          <w:sz w:val="32"/>
          <w:szCs w:val="32"/>
        </w:rPr>
      </w:pPr>
      <w:r>
        <w:rPr>
          <w:rFonts w:ascii="Arial" w:eastAsia="Arial" w:hAnsi="Arial" w:cs="Arial"/>
          <w:b/>
          <w:bCs/>
          <w:sz w:val="32"/>
          <w:szCs w:val="32"/>
        </w:rPr>
        <w:t xml:space="preserve">Student name: </w:t>
      </w:r>
      <w:r w:rsidRPr="00EC7644">
        <w:rPr>
          <w:rFonts w:ascii="Arial" w:eastAsia="Arial" w:hAnsi="Arial" w:cs="Arial"/>
          <w:b/>
          <w:bCs/>
          <w:sz w:val="32"/>
          <w:szCs w:val="32"/>
        </w:rPr>
        <w:t xml:space="preserve">Vignesh kalsariya </w:t>
      </w:r>
    </w:p>
    <w:p w14:paraId="32BB6C04" w14:textId="022782D4" w:rsidR="00EC7644" w:rsidRDefault="00EC7644" w:rsidP="00EC7644">
      <w:pPr>
        <w:jc w:val="center"/>
        <w:rPr>
          <w:rFonts w:ascii="Arial" w:eastAsia="Arial" w:hAnsi="Arial" w:cs="Arial"/>
          <w:b/>
          <w:bCs/>
          <w:sz w:val="32"/>
          <w:szCs w:val="32"/>
        </w:rPr>
      </w:pPr>
      <w:r>
        <w:rPr>
          <w:rFonts w:ascii="Arial" w:eastAsia="Arial" w:hAnsi="Arial" w:cs="Arial"/>
          <w:b/>
          <w:bCs/>
          <w:sz w:val="32"/>
          <w:szCs w:val="32"/>
        </w:rPr>
        <w:t xml:space="preserve">Student </w:t>
      </w:r>
      <w:r w:rsidRPr="00EC7644">
        <w:rPr>
          <w:rFonts w:ascii="Arial" w:eastAsia="Arial" w:hAnsi="Arial" w:cs="Arial"/>
          <w:b/>
          <w:bCs/>
          <w:sz w:val="32"/>
          <w:szCs w:val="32"/>
        </w:rPr>
        <w:t>Id</w:t>
      </w:r>
      <w:r>
        <w:rPr>
          <w:rFonts w:ascii="Arial" w:eastAsia="Arial" w:hAnsi="Arial" w:cs="Arial"/>
          <w:b/>
          <w:bCs/>
          <w:sz w:val="32"/>
          <w:szCs w:val="32"/>
        </w:rPr>
        <w:t>:</w:t>
      </w:r>
      <w:r w:rsidRPr="00EC7644">
        <w:rPr>
          <w:rFonts w:ascii="Arial" w:eastAsia="Arial" w:hAnsi="Arial" w:cs="Arial"/>
          <w:b/>
          <w:bCs/>
          <w:sz w:val="32"/>
          <w:szCs w:val="32"/>
        </w:rPr>
        <w:t xml:space="preserve"> 2525353</w:t>
      </w:r>
    </w:p>
    <w:p w14:paraId="2A3D2803" w14:textId="77777777" w:rsidR="006B71F5" w:rsidRPr="00F44EE2" w:rsidRDefault="006B71F5">
      <w:pPr>
        <w:jc w:val="center"/>
        <w:rPr>
          <w:rFonts w:ascii="Arial" w:eastAsia="Arial" w:hAnsi="Arial" w:cs="Arial"/>
          <w:b/>
          <w:bCs/>
          <w:sz w:val="32"/>
          <w:szCs w:val="32"/>
        </w:rPr>
      </w:pPr>
    </w:p>
    <w:p w14:paraId="0734B77C" w14:textId="77777777" w:rsidR="00410CA3" w:rsidRPr="00F44EE2" w:rsidRDefault="00410CA3">
      <w:pPr>
        <w:rPr>
          <w:rFonts w:ascii="Arial" w:eastAsia="Arial" w:hAnsi="Arial" w:cs="Arial"/>
          <w:b/>
          <w:bCs/>
          <w:sz w:val="32"/>
          <w:szCs w:val="32"/>
        </w:rPr>
      </w:pPr>
      <w:r w:rsidRPr="00F44EE2">
        <w:rPr>
          <w:rFonts w:ascii="Arial" w:eastAsia="Arial" w:hAnsi="Arial" w:cs="Arial"/>
          <w:b/>
          <w:bCs/>
          <w:sz w:val="32"/>
          <w:szCs w:val="32"/>
        </w:rPr>
        <w:br w:type="page"/>
      </w:r>
    </w:p>
    <w:p w14:paraId="0C6FD2F6" w14:textId="77777777" w:rsidR="00410CA3" w:rsidRPr="00F44EE2" w:rsidRDefault="00410CA3" w:rsidP="00410CA3">
      <w:pPr>
        <w:jc w:val="center"/>
        <w:rPr>
          <w:rFonts w:ascii="Arial" w:eastAsia="Arial" w:hAnsi="Arial" w:cs="Arial"/>
          <w:b/>
          <w:bCs/>
          <w:sz w:val="22"/>
          <w:szCs w:val="22"/>
        </w:rPr>
      </w:pPr>
      <w:r w:rsidRPr="00F44EE2">
        <w:rPr>
          <w:rFonts w:ascii="Arial" w:eastAsia="Arial" w:hAnsi="Arial" w:cs="Arial"/>
          <w:b/>
          <w:bCs/>
          <w:sz w:val="22"/>
          <w:szCs w:val="22"/>
        </w:rPr>
        <w:lastRenderedPageBreak/>
        <w:t>Executive summary</w:t>
      </w:r>
    </w:p>
    <w:p w14:paraId="38FCE2B6" w14:textId="77777777" w:rsidR="00FB4CAC" w:rsidRPr="00F44EE2" w:rsidRDefault="00410CA3" w:rsidP="00FB4CAC">
      <w:pPr>
        <w:rPr>
          <w:rFonts w:ascii="Arial" w:eastAsia="Arial" w:hAnsi="Arial" w:cs="Arial"/>
          <w:sz w:val="22"/>
          <w:szCs w:val="22"/>
        </w:rPr>
      </w:pPr>
      <w:r w:rsidRPr="00F44EE2">
        <w:rPr>
          <w:rFonts w:ascii="Arial" w:eastAsia="Arial" w:hAnsi="Arial" w:cs="Arial"/>
          <w:sz w:val="22"/>
          <w:szCs w:val="22"/>
        </w:rPr>
        <w:t xml:space="preserve">The high mortality rate among infants </w:t>
      </w:r>
      <w:r w:rsidR="00B93B56" w:rsidRPr="00F44EE2">
        <w:rPr>
          <w:rFonts w:ascii="Arial" w:eastAsia="Arial" w:hAnsi="Arial" w:cs="Arial"/>
          <w:sz w:val="22"/>
          <w:szCs w:val="22"/>
        </w:rPr>
        <w:t>in</w:t>
      </w:r>
      <w:r w:rsidRPr="00F44EE2">
        <w:rPr>
          <w:rFonts w:ascii="Arial" w:eastAsia="Arial" w:hAnsi="Arial" w:cs="Arial"/>
          <w:sz w:val="22"/>
          <w:szCs w:val="22"/>
        </w:rPr>
        <w:t xml:space="preserve"> undergoing complex cardiac procedures was identified.</w:t>
      </w:r>
      <w:r w:rsidRPr="00F44EE2">
        <w:rPr>
          <w:rFonts w:ascii="Arial" w:hAnsi="Arial" w:cs="Arial"/>
          <w:sz w:val="22"/>
          <w:szCs w:val="22"/>
        </w:rPr>
        <w:t xml:space="preserve"> Therefore, </w:t>
      </w:r>
      <w:r w:rsidRPr="00F44EE2">
        <w:rPr>
          <w:rFonts w:ascii="Arial" w:eastAsia="Arial" w:hAnsi="Arial" w:cs="Arial"/>
          <w:sz w:val="22"/>
          <w:szCs w:val="22"/>
        </w:rPr>
        <w:t xml:space="preserve">investing in the right healthcare resources and governance, paediatric cardiac surgery of infants at the case organisation can be conducted with a high success rate. </w:t>
      </w:r>
      <w:r w:rsidR="00EE2468" w:rsidRPr="00F44EE2">
        <w:rPr>
          <w:rFonts w:ascii="Arial" w:eastAsia="Arial" w:hAnsi="Arial" w:cs="Arial"/>
          <w:sz w:val="22"/>
          <w:szCs w:val="22"/>
        </w:rPr>
        <w:t xml:space="preserve">The Bristol Royal Infirmary case highlights that isolated intervention is not sufficient unless it is supported by an organisational culture that values continuous learning, transparency and evidence-based decision-making. </w:t>
      </w:r>
      <w:r w:rsidR="00FB4CAC" w:rsidRPr="00F44EE2">
        <w:rPr>
          <w:rFonts w:ascii="Arial" w:eastAsia="Arial" w:hAnsi="Arial" w:cs="Arial"/>
          <w:sz w:val="22"/>
          <w:szCs w:val="22"/>
        </w:rPr>
        <w:t>The Bristol Royal Infirmary Inquiry has showcased issues and deficiencies within the processes of governance, management, communication, and accountability, resulting in a disproportionately higher infant mortality rate in pediatric cardiac surgery. Utilising the Fishbone and Donabedian models, this report will examine the causes and outline the measures for improvements, emphasizing evidence-based solutions.</w:t>
      </w:r>
    </w:p>
    <w:p w14:paraId="5892348F" w14:textId="77777777" w:rsidR="00410CA3" w:rsidRPr="00F44EE2" w:rsidRDefault="00410CA3" w:rsidP="00410CA3">
      <w:pPr>
        <w:rPr>
          <w:rFonts w:ascii="Arial" w:hAnsi="Arial" w:cs="Arial"/>
          <w:sz w:val="22"/>
          <w:szCs w:val="22"/>
        </w:rPr>
      </w:pPr>
    </w:p>
    <w:p w14:paraId="7BF746FC" w14:textId="77777777" w:rsidR="00FD1703" w:rsidRPr="00F44EE2" w:rsidRDefault="00FD1703">
      <w:pPr>
        <w:rPr>
          <w:rFonts w:ascii="Arial" w:eastAsia="Arial" w:hAnsi="Arial" w:cs="Arial"/>
          <w:b/>
          <w:bCs/>
          <w:sz w:val="32"/>
          <w:szCs w:val="32"/>
        </w:rPr>
      </w:pPr>
      <w:r w:rsidRPr="00F44EE2">
        <w:rPr>
          <w:rFonts w:ascii="Arial" w:eastAsia="Arial" w:hAnsi="Arial" w:cs="Arial"/>
          <w:b/>
          <w:bCs/>
          <w:sz w:val="32"/>
          <w:szCs w:val="32"/>
        </w:rPr>
        <w:br w:type="page"/>
      </w:r>
    </w:p>
    <w:sdt>
      <w:sdtPr>
        <w:rPr>
          <w:rFonts w:ascii="Arial" w:eastAsia="Times New Roman" w:hAnsi="Arial" w:cs="Arial"/>
          <w:color w:val="auto"/>
          <w:sz w:val="22"/>
          <w:szCs w:val="22"/>
          <w:lang w:val="en-GB" w:eastAsia="en-IN"/>
        </w:rPr>
        <w:id w:val="-11998962"/>
        <w:docPartObj>
          <w:docPartGallery w:val="Table of Contents"/>
          <w:docPartUnique/>
        </w:docPartObj>
      </w:sdtPr>
      <w:sdtEndPr>
        <w:rPr>
          <w:b/>
          <w:bCs/>
          <w:noProof/>
        </w:rPr>
      </w:sdtEndPr>
      <w:sdtContent>
        <w:p w14:paraId="586B271C" w14:textId="77777777" w:rsidR="00FD1703" w:rsidRPr="00F44EE2" w:rsidRDefault="00FD1703" w:rsidP="00FD1703">
          <w:pPr>
            <w:pStyle w:val="TOCHeading"/>
            <w:spacing w:line="360" w:lineRule="auto"/>
            <w:jc w:val="center"/>
            <w:rPr>
              <w:rFonts w:ascii="Arial" w:hAnsi="Arial" w:cs="Arial"/>
              <w:b/>
              <w:bCs/>
              <w:color w:val="auto"/>
              <w:sz w:val="22"/>
              <w:szCs w:val="22"/>
              <w:lang w:val="en-GB"/>
            </w:rPr>
          </w:pPr>
          <w:r w:rsidRPr="00F44EE2">
            <w:rPr>
              <w:rFonts w:ascii="Arial" w:hAnsi="Arial" w:cs="Arial"/>
              <w:b/>
              <w:bCs/>
              <w:color w:val="auto"/>
              <w:sz w:val="22"/>
              <w:szCs w:val="22"/>
              <w:lang w:val="en-GB"/>
            </w:rPr>
            <w:t>Table of Contents</w:t>
          </w:r>
        </w:p>
        <w:p w14:paraId="21C836DD" w14:textId="77777777" w:rsidR="00AC6416" w:rsidRPr="00AC6416" w:rsidRDefault="00052A24" w:rsidP="00AC6416">
          <w:pPr>
            <w:pStyle w:val="TOC1"/>
            <w:tabs>
              <w:tab w:val="right" w:leader="dot" w:pos="9350"/>
            </w:tabs>
            <w:rPr>
              <w:rFonts w:ascii="Arial" w:eastAsiaTheme="minorEastAsia" w:hAnsi="Arial" w:cs="Arial"/>
              <w:noProof/>
              <w:sz w:val="22"/>
              <w:szCs w:val="22"/>
              <w:lang w:val="en-US" w:eastAsia="en-US"/>
            </w:rPr>
          </w:pPr>
          <w:r w:rsidRPr="00F44EE2">
            <w:rPr>
              <w:rFonts w:ascii="Arial" w:hAnsi="Arial" w:cs="Arial"/>
              <w:sz w:val="22"/>
              <w:szCs w:val="22"/>
            </w:rPr>
            <w:fldChar w:fldCharType="begin"/>
          </w:r>
          <w:r w:rsidR="00FD1703" w:rsidRPr="00F44EE2">
            <w:rPr>
              <w:rFonts w:ascii="Arial" w:hAnsi="Arial" w:cs="Arial"/>
              <w:sz w:val="22"/>
              <w:szCs w:val="22"/>
            </w:rPr>
            <w:instrText xml:space="preserve"> TOC \o "1-3" \h \z \u </w:instrText>
          </w:r>
          <w:r w:rsidRPr="00F44EE2">
            <w:rPr>
              <w:rFonts w:ascii="Arial" w:hAnsi="Arial" w:cs="Arial"/>
              <w:sz w:val="22"/>
              <w:szCs w:val="22"/>
            </w:rPr>
            <w:fldChar w:fldCharType="separate"/>
          </w:r>
          <w:hyperlink w:anchor="_Toc236854712" w:history="1">
            <w:r w:rsidR="00AC6416" w:rsidRPr="00AC6416">
              <w:rPr>
                <w:rStyle w:val="Hyperlink"/>
                <w:rFonts w:ascii="Arial" w:hAnsi="Arial" w:cs="Arial"/>
                <w:noProof/>
                <w:sz w:val="22"/>
                <w:szCs w:val="22"/>
              </w:rPr>
              <w:t>1. Introduction</w:t>
            </w:r>
            <w:r w:rsidR="00AC6416" w:rsidRPr="00AC6416">
              <w:rPr>
                <w:rFonts w:ascii="Arial" w:hAnsi="Arial" w:cs="Arial"/>
                <w:noProof/>
                <w:webHidden/>
                <w:sz w:val="22"/>
                <w:szCs w:val="22"/>
              </w:rPr>
              <w:tab/>
            </w:r>
            <w:r w:rsidR="00AC6416" w:rsidRPr="00AC6416">
              <w:rPr>
                <w:rFonts w:ascii="Arial" w:hAnsi="Arial" w:cs="Arial"/>
                <w:noProof/>
                <w:webHidden/>
                <w:sz w:val="22"/>
                <w:szCs w:val="22"/>
              </w:rPr>
              <w:fldChar w:fldCharType="begin"/>
            </w:r>
            <w:r w:rsidR="00AC6416" w:rsidRPr="00AC6416">
              <w:rPr>
                <w:rFonts w:ascii="Arial" w:hAnsi="Arial" w:cs="Arial"/>
                <w:noProof/>
                <w:webHidden/>
                <w:sz w:val="22"/>
                <w:szCs w:val="22"/>
              </w:rPr>
              <w:instrText xml:space="preserve"> PAGEREF _Toc236854712 \h </w:instrText>
            </w:r>
            <w:r w:rsidR="00AC6416" w:rsidRPr="00AC6416">
              <w:rPr>
                <w:rFonts w:ascii="Arial" w:hAnsi="Arial" w:cs="Arial"/>
                <w:noProof/>
                <w:webHidden/>
                <w:sz w:val="22"/>
                <w:szCs w:val="22"/>
              </w:rPr>
            </w:r>
            <w:r w:rsidR="00AC6416" w:rsidRPr="00AC6416">
              <w:rPr>
                <w:rFonts w:ascii="Arial" w:hAnsi="Arial" w:cs="Arial"/>
                <w:noProof/>
                <w:webHidden/>
                <w:sz w:val="22"/>
                <w:szCs w:val="22"/>
              </w:rPr>
              <w:fldChar w:fldCharType="separate"/>
            </w:r>
            <w:r w:rsidR="00AC6416" w:rsidRPr="00AC6416">
              <w:rPr>
                <w:rFonts w:ascii="Arial" w:hAnsi="Arial" w:cs="Arial"/>
                <w:noProof/>
                <w:webHidden/>
                <w:sz w:val="22"/>
                <w:szCs w:val="22"/>
              </w:rPr>
              <w:t>3</w:t>
            </w:r>
            <w:r w:rsidR="00AC6416" w:rsidRPr="00AC6416">
              <w:rPr>
                <w:rFonts w:ascii="Arial" w:hAnsi="Arial" w:cs="Arial"/>
                <w:noProof/>
                <w:webHidden/>
                <w:sz w:val="22"/>
                <w:szCs w:val="22"/>
              </w:rPr>
              <w:fldChar w:fldCharType="end"/>
            </w:r>
          </w:hyperlink>
        </w:p>
        <w:p w14:paraId="18ED8006" w14:textId="77777777" w:rsidR="00AC6416" w:rsidRPr="00AC6416" w:rsidRDefault="00AC6416" w:rsidP="00AC6416">
          <w:pPr>
            <w:pStyle w:val="TOC2"/>
            <w:tabs>
              <w:tab w:val="right" w:leader="dot" w:pos="9350"/>
            </w:tabs>
            <w:rPr>
              <w:rFonts w:ascii="Arial" w:eastAsiaTheme="minorEastAsia" w:hAnsi="Arial" w:cs="Arial"/>
              <w:noProof/>
              <w:sz w:val="22"/>
              <w:szCs w:val="22"/>
              <w:lang w:val="en-US" w:eastAsia="en-US"/>
            </w:rPr>
          </w:pPr>
          <w:hyperlink w:anchor="_Toc236854713" w:history="1">
            <w:r w:rsidRPr="00AC6416">
              <w:rPr>
                <w:rStyle w:val="Hyperlink"/>
                <w:rFonts w:ascii="Arial" w:hAnsi="Arial" w:cs="Arial"/>
                <w:noProof/>
                <w:sz w:val="22"/>
                <w:szCs w:val="22"/>
              </w:rPr>
              <w:t>1.1 Identifying the Background</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_Toc236854713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3</w:t>
            </w:r>
            <w:r w:rsidRPr="00AC6416">
              <w:rPr>
                <w:rFonts w:ascii="Arial" w:hAnsi="Arial" w:cs="Arial"/>
                <w:noProof/>
                <w:webHidden/>
                <w:sz w:val="22"/>
                <w:szCs w:val="22"/>
              </w:rPr>
              <w:fldChar w:fldCharType="end"/>
            </w:r>
          </w:hyperlink>
        </w:p>
        <w:p w14:paraId="6A552172" w14:textId="77777777" w:rsidR="00AC6416" w:rsidRPr="00AC6416" w:rsidRDefault="00AC6416" w:rsidP="00AC6416">
          <w:pPr>
            <w:pStyle w:val="TOC2"/>
            <w:tabs>
              <w:tab w:val="right" w:leader="dot" w:pos="9350"/>
            </w:tabs>
            <w:rPr>
              <w:rFonts w:ascii="Arial" w:eastAsiaTheme="minorEastAsia" w:hAnsi="Arial" w:cs="Arial"/>
              <w:noProof/>
              <w:sz w:val="22"/>
              <w:szCs w:val="22"/>
              <w:lang w:val="en-US" w:eastAsia="en-US"/>
            </w:rPr>
          </w:pPr>
          <w:hyperlink w:anchor="_Toc236854714" w:history="1">
            <w:r w:rsidRPr="00AC6416">
              <w:rPr>
                <w:rStyle w:val="Hyperlink"/>
                <w:rFonts w:ascii="Arial" w:hAnsi="Arial" w:cs="Arial"/>
                <w:noProof/>
                <w:sz w:val="22"/>
                <w:szCs w:val="22"/>
              </w:rPr>
              <w:t>1.2 Evidential Support for the Problem</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_Toc236854714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3</w:t>
            </w:r>
            <w:r w:rsidRPr="00AC6416">
              <w:rPr>
                <w:rFonts w:ascii="Arial" w:hAnsi="Arial" w:cs="Arial"/>
                <w:noProof/>
                <w:webHidden/>
                <w:sz w:val="22"/>
                <w:szCs w:val="22"/>
              </w:rPr>
              <w:fldChar w:fldCharType="end"/>
            </w:r>
          </w:hyperlink>
        </w:p>
        <w:p w14:paraId="5EF10640" w14:textId="77777777" w:rsidR="00AC6416" w:rsidRPr="00AC6416" w:rsidRDefault="00AC6416" w:rsidP="00AC6416">
          <w:pPr>
            <w:pStyle w:val="TOC1"/>
            <w:tabs>
              <w:tab w:val="right" w:leader="dot" w:pos="9350"/>
            </w:tabs>
            <w:rPr>
              <w:rFonts w:ascii="Arial" w:eastAsiaTheme="minorEastAsia" w:hAnsi="Arial" w:cs="Arial"/>
              <w:noProof/>
              <w:sz w:val="22"/>
              <w:szCs w:val="22"/>
              <w:lang w:val="en-US" w:eastAsia="en-US"/>
            </w:rPr>
          </w:pPr>
          <w:hyperlink w:anchor="_Toc236854715" w:history="1">
            <w:r w:rsidRPr="00AC6416">
              <w:rPr>
                <w:rStyle w:val="Hyperlink"/>
                <w:rFonts w:ascii="Arial" w:hAnsi="Arial" w:cs="Arial"/>
                <w:noProof/>
                <w:sz w:val="22"/>
                <w:szCs w:val="22"/>
              </w:rPr>
              <w:t>2. Main Body</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_Toc236854715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4</w:t>
            </w:r>
            <w:r w:rsidRPr="00AC6416">
              <w:rPr>
                <w:rFonts w:ascii="Arial" w:hAnsi="Arial" w:cs="Arial"/>
                <w:noProof/>
                <w:webHidden/>
                <w:sz w:val="22"/>
                <w:szCs w:val="22"/>
              </w:rPr>
              <w:fldChar w:fldCharType="end"/>
            </w:r>
          </w:hyperlink>
        </w:p>
        <w:p w14:paraId="5F89BE68" w14:textId="77777777" w:rsidR="00AC6416" w:rsidRPr="00AC6416" w:rsidRDefault="00AC6416" w:rsidP="00AC6416">
          <w:pPr>
            <w:pStyle w:val="TOC2"/>
            <w:tabs>
              <w:tab w:val="right" w:leader="dot" w:pos="9350"/>
            </w:tabs>
            <w:rPr>
              <w:rFonts w:ascii="Arial" w:eastAsiaTheme="minorEastAsia" w:hAnsi="Arial" w:cs="Arial"/>
              <w:noProof/>
              <w:sz w:val="22"/>
              <w:szCs w:val="22"/>
              <w:lang w:val="en-US" w:eastAsia="en-US"/>
            </w:rPr>
          </w:pPr>
          <w:hyperlink w:anchor="_Toc236854716" w:history="1">
            <w:r w:rsidRPr="00AC6416">
              <w:rPr>
                <w:rStyle w:val="Hyperlink"/>
                <w:rFonts w:ascii="Arial" w:hAnsi="Arial" w:cs="Arial"/>
                <w:noProof/>
                <w:sz w:val="22"/>
                <w:szCs w:val="22"/>
              </w:rPr>
              <w:t>2.1 Rational for the Issue</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_Toc236854716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4</w:t>
            </w:r>
            <w:r w:rsidRPr="00AC6416">
              <w:rPr>
                <w:rFonts w:ascii="Arial" w:hAnsi="Arial" w:cs="Arial"/>
                <w:noProof/>
                <w:webHidden/>
                <w:sz w:val="22"/>
                <w:szCs w:val="22"/>
              </w:rPr>
              <w:fldChar w:fldCharType="end"/>
            </w:r>
          </w:hyperlink>
        </w:p>
        <w:p w14:paraId="425A90F8" w14:textId="77777777" w:rsidR="00AC6416" w:rsidRPr="00AC6416" w:rsidRDefault="00AC6416" w:rsidP="00AC6416">
          <w:pPr>
            <w:pStyle w:val="TOC2"/>
            <w:tabs>
              <w:tab w:val="right" w:leader="dot" w:pos="9350"/>
            </w:tabs>
            <w:rPr>
              <w:rFonts w:ascii="Arial" w:eastAsiaTheme="minorEastAsia" w:hAnsi="Arial" w:cs="Arial"/>
              <w:noProof/>
              <w:sz w:val="22"/>
              <w:szCs w:val="22"/>
              <w:lang w:val="en-US" w:eastAsia="en-US"/>
            </w:rPr>
          </w:pPr>
          <w:hyperlink w:anchor="_Toc236854717" w:history="1">
            <w:r w:rsidRPr="00AC6416">
              <w:rPr>
                <w:rStyle w:val="Hyperlink"/>
                <w:rFonts w:ascii="Arial" w:hAnsi="Arial" w:cs="Arial"/>
                <w:noProof/>
                <w:sz w:val="22"/>
                <w:szCs w:val="22"/>
              </w:rPr>
              <w:t>2.2 Application of models</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_Toc236854717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4</w:t>
            </w:r>
            <w:r w:rsidRPr="00AC6416">
              <w:rPr>
                <w:rFonts w:ascii="Arial" w:hAnsi="Arial" w:cs="Arial"/>
                <w:noProof/>
                <w:webHidden/>
                <w:sz w:val="22"/>
                <w:szCs w:val="22"/>
              </w:rPr>
              <w:fldChar w:fldCharType="end"/>
            </w:r>
          </w:hyperlink>
        </w:p>
        <w:p w14:paraId="2778573B" w14:textId="77777777" w:rsidR="00AC6416" w:rsidRPr="00AC6416" w:rsidRDefault="00AC6416" w:rsidP="00AC6416">
          <w:pPr>
            <w:pStyle w:val="TOC3"/>
            <w:tabs>
              <w:tab w:val="right" w:leader="dot" w:pos="9350"/>
            </w:tabs>
            <w:rPr>
              <w:rFonts w:ascii="Arial" w:eastAsiaTheme="minorEastAsia" w:hAnsi="Arial" w:cs="Arial"/>
              <w:noProof/>
              <w:sz w:val="22"/>
              <w:szCs w:val="22"/>
              <w:lang w:val="en-US" w:eastAsia="en-US"/>
            </w:rPr>
          </w:pPr>
          <w:hyperlink w:anchor="_Toc236854718" w:history="1">
            <w:r w:rsidRPr="00AC6416">
              <w:rPr>
                <w:rStyle w:val="Hyperlink"/>
                <w:rFonts w:ascii="Arial" w:hAnsi="Arial" w:cs="Arial"/>
                <w:noProof/>
                <w:sz w:val="22"/>
                <w:szCs w:val="22"/>
              </w:rPr>
              <w:t>2.2.2 The Donabedian Model</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_Toc236854718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6</w:t>
            </w:r>
            <w:r w:rsidRPr="00AC6416">
              <w:rPr>
                <w:rFonts w:ascii="Arial" w:hAnsi="Arial" w:cs="Arial"/>
                <w:noProof/>
                <w:webHidden/>
                <w:sz w:val="22"/>
                <w:szCs w:val="22"/>
              </w:rPr>
              <w:fldChar w:fldCharType="end"/>
            </w:r>
          </w:hyperlink>
        </w:p>
        <w:p w14:paraId="4EB743CE" w14:textId="77777777" w:rsidR="00AC6416" w:rsidRPr="00AC6416" w:rsidRDefault="00AC6416" w:rsidP="00AC6416">
          <w:pPr>
            <w:pStyle w:val="TOC3"/>
            <w:tabs>
              <w:tab w:val="right" w:leader="dot" w:pos="9350"/>
            </w:tabs>
            <w:rPr>
              <w:rFonts w:ascii="Arial" w:eastAsiaTheme="minorEastAsia" w:hAnsi="Arial" w:cs="Arial"/>
              <w:noProof/>
              <w:sz w:val="22"/>
              <w:szCs w:val="22"/>
              <w:lang w:val="en-US" w:eastAsia="en-US"/>
            </w:rPr>
          </w:pPr>
          <w:hyperlink w:anchor="_Toc236854719" w:history="1">
            <w:r w:rsidRPr="00AC6416">
              <w:rPr>
                <w:rStyle w:val="Hyperlink"/>
                <w:rFonts w:ascii="Arial" w:hAnsi="Arial" w:cs="Arial"/>
                <w:noProof/>
                <w:sz w:val="22"/>
                <w:szCs w:val="22"/>
              </w:rPr>
              <w:t>2.2.3 Five Whys framework</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_Toc236854719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7</w:t>
            </w:r>
            <w:r w:rsidRPr="00AC6416">
              <w:rPr>
                <w:rFonts w:ascii="Arial" w:hAnsi="Arial" w:cs="Arial"/>
                <w:noProof/>
                <w:webHidden/>
                <w:sz w:val="22"/>
                <w:szCs w:val="22"/>
              </w:rPr>
              <w:fldChar w:fldCharType="end"/>
            </w:r>
          </w:hyperlink>
        </w:p>
        <w:p w14:paraId="67B119B7" w14:textId="77777777" w:rsidR="00AC6416" w:rsidRPr="00AC6416" w:rsidRDefault="00AC6416" w:rsidP="00AC6416">
          <w:pPr>
            <w:pStyle w:val="TOC3"/>
            <w:tabs>
              <w:tab w:val="right" w:leader="dot" w:pos="9350"/>
            </w:tabs>
            <w:rPr>
              <w:rFonts w:ascii="Arial" w:eastAsiaTheme="minorEastAsia" w:hAnsi="Arial" w:cs="Arial"/>
              <w:noProof/>
              <w:sz w:val="22"/>
              <w:szCs w:val="22"/>
              <w:lang w:val="en-US" w:eastAsia="en-US"/>
            </w:rPr>
          </w:pPr>
          <w:hyperlink w:anchor="_Toc236854720" w:history="1">
            <w:r w:rsidRPr="00AC6416">
              <w:rPr>
                <w:rStyle w:val="Hyperlink"/>
                <w:rFonts w:ascii="Arial" w:hAnsi="Arial" w:cs="Arial"/>
                <w:noProof/>
                <w:sz w:val="22"/>
                <w:szCs w:val="22"/>
              </w:rPr>
              <w:t>2.2.4 SWOT analysis</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_Toc236854720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8</w:t>
            </w:r>
            <w:r w:rsidRPr="00AC6416">
              <w:rPr>
                <w:rFonts w:ascii="Arial" w:hAnsi="Arial" w:cs="Arial"/>
                <w:noProof/>
                <w:webHidden/>
                <w:sz w:val="22"/>
                <w:szCs w:val="22"/>
              </w:rPr>
              <w:fldChar w:fldCharType="end"/>
            </w:r>
          </w:hyperlink>
        </w:p>
        <w:p w14:paraId="10346031" w14:textId="77777777" w:rsidR="00AC6416" w:rsidRPr="00AC6416" w:rsidRDefault="00AC6416" w:rsidP="00AC6416">
          <w:pPr>
            <w:pStyle w:val="TOC2"/>
            <w:tabs>
              <w:tab w:val="right" w:leader="dot" w:pos="9350"/>
            </w:tabs>
            <w:rPr>
              <w:rFonts w:ascii="Arial" w:eastAsiaTheme="minorEastAsia" w:hAnsi="Arial" w:cs="Arial"/>
              <w:noProof/>
              <w:sz w:val="22"/>
              <w:szCs w:val="22"/>
              <w:lang w:val="en-US" w:eastAsia="en-US"/>
            </w:rPr>
          </w:pPr>
          <w:hyperlink w:anchor="_Toc236854721" w:history="1">
            <w:r w:rsidRPr="00AC6416">
              <w:rPr>
                <w:rStyle w:val="Hyperlink"/>
                <w:rFonts w:ascii="Arial" w:hAnsi="Arial" w:cs="Arial"/>
                <w:noProof/>
                <w:sz w:val="22"/>
                <w:szCs w:val="22"/>
              </w:rPr>
              <w:t>3. Recommendation</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_Toc236854721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9</w:t>
            </w:r>
            <w:r w:rsidRPr="00AC6416">
              <w:rPr>
                <w:rFonts w:ascii="Arial" w:hAnsi="Arial" w:cs="Arial"/>
                <w:noProof/>
                <w:webHidden/>
                <w:sz w:val="22"/>
                <w:szCs w:val="22"/>
              </w:rPr>
              <w:fldChar w:fldCharType="end"/>
            </w:r>
          </w:hyperlink>
        </w:p>
        <w:p w14:paraId="445B020E" w14:textId="77777777" w:rsidR="00AC6416" w:rsidRPr="00AC6416" w:rsidRDefault="00AC6416" w:rsidP="00AC6416">
          <w:pPr>
            <w:pStyle w:val="TOC3"/>
            <w:tabs>
              <w:tab w:val="right" w:leader="dot" w:pos="9350"/>
            </w:tabs>
            <w:rPr>
              <w:rFonts w:ascii="Arial" w:eastAsiaTheme="minorEastAsia" w:hAnsi="Arial" w:cs="Arial"/>
              <w:noProof/>
              <w:sz w:val="22"/>
              <w:szCs w:val="22"/>
              <w:lang w:val="en-US" w:eastAsia="en-US"/>
            </w:rPr>
          </w:pPr>
          <w:hyperlink w:anchor="_Toc236854722" w:history="1">
            <w:r w:rsidRPr="00AC6416">
              <w:rPr>
                <w:rStyle w:val="Hyperlink"/>
                <w:rFonts w:ascii="Arial" w:hAnsi="Arial" w:cs="Arial"/>
                <w:noProof/>
                <w:sz w:val="22"/>
                <w:szCs w:val="22"/>
              </w:rPr>
              <w:t>3.1 Recommended strategy based on root cause</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_Toc236854722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9</w:t>
            </w:r>
            <w:r w:rsidRPr="00AC6416">
              <w:rPr>
                <w:rFonts w:ascii="Arial" w:hAnsi="Arial" w:cs="Arial"/>
                <w:noProof/>
                <w:webHidden/>
                <w:sz w:val="22"/>
                <w:szCs w:val="22"/>
              </w:rPr>
              <w:fldChar w:fldCharType="end"/>
            </w:r>
          </w:hyperlink>
        </w:p>
        <w:p w14:paraId="726AAD26" w14:textId="77777777" w:rsidR="00AC6416" w:rsidRPr="00AC6416" w:rsidRDefault="00AC6416" w:rsidP="00AC6416">
          <w:pPr>
            <w:pStyle w:val="TOC3"/>
            <w:tabs>
              <w:tab w:val="right" w:leader="dot" w:pos="9350"/>
            </w:tabs>
            <w:rPr>
              <w:rFonts w:ascii="Arial" w:eastAsiaTheme="minorEastAsia" w:hAnsi="Arial" w:cs="Arial"/>
              <w:noProof/>
              <w:sz w:val="22"/>
              <w:szCs w:val="22"/>
              <w:lang w:val="en-US" w:eastAsia="en-US"/>
            </w:rPr>
          </w:pPr>
          <w:hyperlink w:anchor="_Toc236854723" w:history="1">
            <w:r w:rsidRPr="00AC6416">
              <w:rPr>
                <w:rStyle w:val="Hyperlink"/>
                <w:rFonts w:ascii="Arial" w:hAnsi="Arial" w:cs="Arial"/>
                <w:noProof/>
                <w:sz w:val="22"/>
                <w:szCs w:val="22"/>
              </w:rPr>
              <w:t>3.2 Recommendation using quality improvement tools</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_Toc236854723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10</w:t>
            </w:r>
            <w:r w:rsidRPr="00AC6416">
              <w:rPr>
                <w:rFonts w:ascii="Arial" w:hAnsi="Arial" w:cs="Arial"/>
                <w:noProof/>
                <w:webHidden/>
                <w:sz w:val="22"/>
                <w:szCs w:val="22"/>
              </w:rPr>
              <w:fldChar w:fldCharType="end"/>
            </w:r>
          </w:hyperlink>
        </w:p>
        <w:p w14:paraId="01817163" w14:textId="77777777" w:rsidR="00AC6416" w:rsidRPr="00AC6416" w:rsidRDefault="00AC6416" w:rsidP="00AC6416">
          <w:pPr>
            <w:pStyle w:val="TOC3"/>
            <w:tabs>
              <w:tab w:val="right" w:leader="dot" w:pos="9350"/>
            </w:tabs>
            <w:rPr>
              <w:rFonts w:ascii="Arial" w:eastAsiaTheme="minorEastAsia" w:hAnsi="Arial" w:cs="Arial"/>
              <w:noProof/>
              <w:sz w:val="22"/>
              <w:szCs w:val="22"/>
              <w:lang w:val="en-US" w:eastAsia="en-US"/>
            </w:rPr>
          </w:pPr>
          <w:hyperlink w:anchor="_Toc236854724" w:history="1">
            <w:r w:rsidRPr="00AC6416">
              <w:rPr>
                <w:rStyle w:val="Hyperlink"/>
                <w:rFonts w:ascii="Arial" w:hAnsi="Arial" w:cs="Arial"/>
                <w:noProof/>
                <w:sz w:val="22"/>
                <w:szCs w:val="22"/>
              </w:rPr>
              <w:t>3.3 Lean and Six Sigma</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_Toc236854724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11</w:t>
            </w:r>
            <w:r w:rsidRPr="00AC6416">
              <w:rPr>
                <w:rFonts w:ascii="Arial" w:hAnsi="Arial" w:cs="Arial"/>
                <w:noProof/>
                <w:webHidden/>
                <w:sz w:val="22"/>
                <w:szCs w:val="22"/>
              </w:rPr>
              <w:fldChar w:fldCharType="end"/>
            </w:r>
          </w:hyperlink>
        </w:p>
        <w:p w14:paraId="5DE789B4" w14:textId="77777777" w:rsidR="00AC6416" w:rsidRPr="00AC6416" w:rsidRDefault="00AC6416" w:rsidP="00AC6416">
          <w:pPr>
            <w:pStyle w:val="TOC1"/>
            <w:tabs>
              <w:tab w:val="right" w:leader="dot" w:pos="9350"/>
            </w:tabs>
            <w:rPr>
              <w:rFonts w:ascii="Arial" w:eastAsiaTheme="minorEastAsia" w:hAnsi="Arial" w:cs="Arial"/>
              <w:noProof/>
              <w:sz w:val="22"/>
              <w:szCs w:val="22"/>
              <w:lang w:val="en-US" w:eastAsia="en-US"/>
            </w:rPr>
          </w:pPr>
          <w:hyperlink w:anchor="_Toc236854725" w:history="1">
            <w:r w:rsidRPr="00AC6416">
              <w:rPr>
                <w:rStyle w:val="Hyperlink"/>
                <w:rFonts w:ascii="Arial" w:hAnsi="Arial" w:cs="Arial"/>
                <w:noProof/>
                <w:sz w:val="22"/>
                <w:szCs w:val="22"/>
              </w:rPr>
              <w:t>4. Conclusion</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_Toc236854725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12</w:t>
            </w:r>
            <w:r w:rsidRPr="00AC6416">
              <w:rPr>
                <w:rFonts w:ascii="Arial" w:hAnsi="Arial" w:cs="Arial"/>
                <w:noProof/>
                <w:webHidden/>
                <w:sz w:val="22"/>
                <w:szCs w:val="22"/>
              </w:rPr>
              <w:fldChar w:fldCharType="end"/>
            </w:r>
          </w:hyperlink>
        </w:p>
        <w:p w14:paraId="169A94B6" w14:textId="77777777" w:rsidR="00AC6416" w:rsidRPr="00AC6416" w:rsidRDefault="00AC6416" w:rsidP="00AC6416">
          <w:pPr>
            <w:pStyle w:val="TOC1"/>
            <w:tabs>
              <w:tab w:val="right" w:leader="dot" w:pos="9350"/>
            </w:tabs>
            <w:rPr>
              <w:rFonts w:ascii="Arial" w:eastAsiaTheme="minorEastAsia" w:hAnsi="Arial" w:cs="Arial"/>
              <w:noProof/>
              <w:sz w:val="22"/>
              <w:szCs w:val="22"/>
              <w:lang w:val="en-US" w:eastAsia="en-US"/>
            </w:rPr>
          </w:pPr>
          <w:hyperlink w:anchor="_Toc236854726" w:history="1">
            <w:r w:rsidRPr="00AC6416">
              <w:rPr>
                <w:rStyle w:val="Hyperlink"/>
                <w:rFonts w:ascii="Arial" w:hAnsi="Arial" w:cs="Arial"/>
                <w:noProof/>
                <w:sz w:val="22"/>
                <w:szCs w:val="22"/>
              </w:rPr>
              <w:t>References</w:t>
            </w:r>
            <w:r w:rsidRPr="00AC6416">
              <w:rPr>
                <w:rFonts w:ascii="Arial" w:hAnsi="Arial" w:cs="Arial"/>
                <w:noProof/>
                <w:webHidden/>
                <w:sz w:val="22"/>
                <w:szCs w:val="22"/>
              </w:rPr>
              <w:tab/>
            </w:r>
            <w:r w:rsidRPr="00AC6416">
              <w:rPr>
                <w:rFonts w:ascii="Arial" w:hAnsi="Arial" w:cs="Arial"/>
                <w:noProof/>
                <w:webHidden/>
                <w:sz w:val="22"/>
                <w:szCs w:val="22"/>
              </w:rPr>
              <w:fldChar w:fldCharType="begin"/>
            </w:r>
            <w:r w:rsidRPr="00AC6416">
              <w:rPr>
                <w:rFonts w:ascii="Arial" w:hAnsi="Arial" w:cs="Arial"/>
                <w:noProof/>
                <w:webHidden/>
                <w:sz w:val="22"/>
                <w:szCs w:val="22"/>
              </w:rPr>
              <w:instrText xml:space="preserve"> PAGEREF _Toc236854726 \h </w:instrText>
            </w:r>
            <w:r w:rsidRPr="00AC6416">
              <w:rPr>
                <w:rFonts w:ascii="Arial" w:hAnsi="Arial" w:cs="Arial"/>
                <w:noProof/>
                <w:webHidden/>
                <w:sz w:val="22"/>
                <w:szCs w:val="22"/>
              </w:rPr>
            </w:r>
            <w:r w:rsidRPr="00AC6416">
              <w:rPr>
                <w:rFonts w:ascii="Arial" w:hAnsi="Arial" w:cs="Arial"/>
                <w:noProof/>
                <w:webHidden/>
                <w:sz w:val="22"/>
                <w:szCs w:val="22"/>
              </w:rPr>
              <w:fldChar w:fldCharType="separate"/>
            </w:r>
            <w:r w:rsidRPr="00AC6416">
              <w:rPr>
                <w:rFonts w:ascii="Arial" w:hAnsi="Arial" w:cs="Arial"/>
                <w:noProof/>
                <w:webHidden/>
                <w:sz w:val="22"/>
                <w:szCs w:val="22"/>
              </w:rPr>
              <w:t>14</w:t>
            </w:r>
            <w:r w:rsidRPr="00AC6416">
              <w:rPr>
                <w:rFonts w:ascii="Arial" w:hAnsi="Arial" w:cs="Arial"/>
                <w:noProof/>
                <w:webHidden/>
                <w:sz w:val="22"/>
                <w:szCs w:val="22"/>
              </w:rPr>
              <w:fldChar w:fldCharType="end"/>
            </w:r>
          </w:hyperlink>
        </w:p>
        <w:p w14:paraId="4347D2A6" w14:textId="77777777" w:rsidR="00FD1703" w:rsidRPr="00F44EE2" w:rsidRDefault="00052A24" w:rsidP="00FD1703">
          <w:pPr>
            <w:rPr>
              <w:rFonts w:ascii="Arial" w:hAnsi="Arial" w:cs="Arial"/>
              <w:sz w:val="22"/>
              <w:szCs w:val="22"/>
            </w:rPr>
          </w:pPr>
          <w:r w:rsidRPr="00F44EE2">
            <w:rPr>
              <w:rFonts w:ascii="Arial" w:hAnsi="Arial" w:cs="Arial"/>
              <w:b/>
              <w:bCs/>
              <w:noProof/>
              <w:sz w:val="22"/>
              <w:szCs w:val="22"/>
            </w:rPr>
            <w:fldChar w:fldCharType="end"/>
          </w:r>
        </w:p>
      </w:sdtContent>
    </w:sdt>
    <w:p w14:paraId="3568FD8D" w14:textId="77777777" w:rsidR="008D346B" w:rsidRPr="00F44EE2" w:rsidRDefault="005825D5" w:rsidP="00FD1703">
      <w:pPr>
        <w:rPr>
          <w:rFonts w:ascii="Arial" w:eastAsia="Arial" w:hAnsi="Arial" w:cs="Arial"/>
          <w:b/>
          <w:bCs/>
          <w:sz w:val="22"/>
          <w:szCs w:val="22"/>
        </w:rPr>
      </w:pPr>
      <w:r w:rsidRPr="00F44EE2">
        <w:rPr>
          <w:rFonts w:ascii="Arial" w:hAnsi="Arial" w:cs="Arial"/>
          <w:sz w:val="22"/>
          <w:szCs w:val="22"/>
        </w:rPr>
        <w:br w:type="page"/>
      </w:r>
    </w:p>
    <w:p w14:paraId="17D3DC7F" w14:textId="77777777" w:rsidR="00FB4CAC" w:rsidRPr="00021576" w:rsidRDefault="00FB4CAC" w:rsidP="00021576">
      <w:pPr>
        <w:pStyle w:val="Heading1"/>
      </w:pPr>
      <w:bookmarkStart w:id="0" w:name="_Toc236854712"/>
      <w:r w:rsidRPr="00021576">
        <w:lastRenderedPageBreak/>
        <w:t>1. Introduction</w:t>
      </w:r>
      <w:bookmarkEnd w:id="0"/>
    </w:p>
    <w:p w14:paraId="35BEB88C" w14:textId="77777777" w:rsidR="00FB4CAC" w:rsidRPr="00021576" w:rsidRDefault="00FB4CAC" w:rsidP="00021576">
      <w:pPr>
        <w:pStyle w:val="Heading2"/>
      </w:pPr>
      <w:bookmarkStart w:id="1" w:name="_Toc236854713"/>
      <w:r w:rsidRPr="00021576">
        <w:t>1.1 Identifying the Background</w:t>
      </w:r>
      <w:bookmarkEnd w:id="1"/>
    </w:p>
    <w:p w14:paraId="70BAA67A" w14:textId="77777777" w:rsidR="00FB4CAC" w:rsidRPr="00021576" w:rsidRDefault="00FB4CAC" w:rsidP="00021576">
      <w:pPr>
        <w:rPr>
          <w:rFonts w:ascii="Arial" w:hAnsi="Arial" w:cs="Arial"/>
          <w:sz w:val="22"/>
          <w:szCs w:val="22"/>
        </w:rPr>
      </w:pPr>
      <w:r w:rsidRPr="00021576">
        <w:rPr>
          <w:rFonts w:ascii="Arial" w:hAnsi="Arial" w:cs="Arial"/>
          <w:sz w:val="22"/>
          <w:szCs w:val="22"/>
        </w:rPr>
        <w:t>The healthcare organisations are always expected to deliver safe, effective as well as equal care still, there are some cases in which the failure in the governance as well as quality insurance have been devastated at the healthcare organisations. One of the best examples of this is Bristol Royal Infirmary Inquiry which happened in the UK, which investigated the unusually high mortality rates among infants, especially in paediatric cardiac surgeries. The investigation demonstrated the deaths of 30 to 35 children undergoing pediatric cardiac surgery between 1984 and 1995 (Bristol Royal Infirmary Inquiry, 2001). The enquiry revealed a lot of weaknesses in the clinical governance, accountability as well as communication, which ultimately reduced the public trust in the National Health Services, NHS and this also led to widespread reforms in the healthcare sector.</w:t>
      </w:r>
    </w:p>
    <w:p w14:paraId="43918B6F" w14:textId="77777777" w:rsidR="00FB4CAC" w:rsidRPr="00021576" w:rsidRDefault="00FB4CAC" w:rsidP="00021576">
      <w:pPr>
        <w:rPr>
          <w:rFonts w:ascii="Arial" w:hAnsi="Arial" w:cs="Arial"/>
          <w:sz w:val="22"/>
          <w:szCs w:val="22"/>
        </w:rPr>
      </w:pPr>
      <w:r w:rsidRPr="00021576">
        <w:rPr>
          <w:rFonts w:ascii="Arial" w:hAnsi="Arial" w:cs="Arial"/>
          <w:sz w:val="22"/>
          <w:szCs w:val="22"/>
        </w:rPr>
        <w:t xml:space="preserve">This case in Bristol is recognised as the watershed moment in the UK and its healthcare policies. The mortality rate for the paediatric cardiac surgery at Bristol were much higher than the national average with some procedures recording death rate, double those of other centres. The senior clinicians along with the managers failed to act quickly which showed too many flaws in the leadership and risk management at the hospital (NIH, 2004). The parents also reported poor communication along with the limited involvement in the decision-making, which showcase the absence of patient centred care. The </w:t>
      </w:r>
      <w:r w:rsidR="007337F1" w:rsidRPr="00021576">
        <w:rPr>
          <w:rFonts w:ascii="Arial" w:hAnsi="Arial" w:cs="Arial"/>
          <w:sz w:val="22"/>
          <w:szCs w:val="22"/>
        </w:rPr>
        <w:t>long-term</w:t>
      </w:r>
      <w:r w:rsidRPr="00021576">
        <w:rPr>
          <w:rFonts w:ascii="Arial" w:hAnsi="Arial" w:cs="Arial"/>
          <w:sz w:val="22"/>
          <w:szCs w:val="22"/>
        </w:rPr>
        <w:t xml:space="preserve"> prevalence of the problem lies in ongoing failures in clinical governance along with the patient safety across healthcare systems even decades after the Bristol Inquiry (Department of Health, 2001).</w:t>
      </w:r>
    </w:p>
    <w:p w14:paraId="419EF791" w14:textId="77777777" w:rsidR="00FB4CAC" w:rsidRPr="00021576" w:rsidRDefault="00FB4CAC" w:rsidP="00021576">
      <w:pPr>
        <w:rPr>
          <w:rFonts w:ascii="Arial" w:hAnsi="Arial" w:cs="Arial"/>
          <w:sz w:val="22"/>
          <w:szCs w:val="22"/>
        </w:rPr>
      </w:pPr>
      <w:r w:rsidRPr="00021576">
        <w:rPr>
          <w:rFonts w:ascii="Arial" w:hAnsi="Arial" w:cs="Arial"/>
          <w:sz w:val="22"/>
          <w:szCs w:val="22"/>
        </w:rPr>
        <w:t>The Bristol Inquiry demonstrated that the governance framework in the hospitals lacked the capacity to ensure the safe practises as well as the leadership also failed to create transparency and continuous improvement.</w:t>
      </w:r>
    </w:p>
    <w:p w14:paraId="0A8C5224" w14:textId="77777777" w:rsidR="00FB4CAC" w:rsidRPr="00021576" w:rsidRDefault="00FB4CAC" w:rsidP="00021576">
      <w:pPr>
        <w:pStyle w:val="Heading2"/>
      </w:pPr>
      <w:bookmarkStart w:id="2" w:name="_Toc236854714"/>
      <w:r w:rsidRPr="00021576">
        <w:t>1.2 Evidential Support for the Problem</w:t>
      </w:r>
      <w:bookmarkEnd w:id="2"/>
      <w:r w:rsidRPr="00021576">
        <w:t> </w:t>
      </w:r>
    </w:p>
    <w:p w14:paraId="4437E819" w14:textId="77777777" w:rsidR="00FB4CAC" w:rsidRPr="00021576" w:rsidRDefault="00FB4CAC" w:rsidP="00021576">
      <w:pPr>
        <w:rPr>
          <w:rFonts w:ascii="Arial" w:hAnsi="Arial" w:cs="Arial"/>
          <w:sz w:val="22"/>
          <w:szCs w:val="22"/>
        </w:rPr>
      </w:pPr>
      <w:r w:rsidRPr="00021576">
        <w:rPr>
          <w:rFonts w:ascii="Arial" w:hAnsi="Arial" w:cs="Arial"/>
          <w:sz w:val="22"/>
          <w:szCs w:val="22"/>
        </w:rPr>
        <w:t xml:space="preserve">The case of Bristol is not just a local failure, but it was the wider national public health concern. This case plays a significant role in shaping up the modern approaches for the quality improvement in </w:t>
      </w:r>
      <w:r w:rsidR="00F44EE2" w:rsidRPr="00021576">
        <w:rPr>
          <w:rFonts w:ascii="Arial" w:hAnsi="Arial" w:cs="Arial"/>
          <w:sz w:val="22"/>
          <w:szCs w:val="22"/>
        </w:rPr>
        <w:t>healthcare,</w:t>
      </w:r>
      <w:r w:rsidRPr="00021576">
        <w:rPr>
          <w:rFonts w:ascii="Arial" w:hAnsi="Arial" w:cs="Arial"/>
          <w:sz w:val="22"/>
          <w:szCs w:val="22"/>
        </w:rPr>
        <w:t xml:space="preserve"> especially in the NHS (Ham, 2001). The incident presented the requirement for a mandatory reporting system, better accountability, framework, as well as more focus on the involvement of patient and family. This incident creates a base for analysing the quality assurance as well as service improvement. The problem identified was the increase in the infant mortality rate because of the negligence in the governance and the leadership which will remain a central point in this research (Cooper and Thomas, 2023). It showcases how the fragmented accountability structures, in adequate monitoring as well as staff shortage can reduce </w:t>
      </w:r>
      <w:r w:rsidRPr="00021576">
        <w:rPr>
          <w:rFonts w:ascii="Arial" w:hAnsi="Arial" w:cs="Arial"/>
          <w:sz w:val="22"/>
          <w:szCs w:val="22"/>
        </w:rPr>
        <w:lastRenderedPageBreak/>
        <w:t>patient safety (Alruwaili</w:t>
      </w:r>
      <w:r w:rsidR="007337F1" w:rsidRPr="00021576">
        <w:rPr>
          <w:rFonts w:ascii="Arial" w:hAnsi="Arial" w:cs="Arial"/>
          <w:sz w:val="22"/>
          <w:szCs w:val="22"/>
        </w:rPr>
        <w:t xml:space="preserve"> </w:t>
      </w:r>
      <w:r w:rsidRPr="00021576">
        <w:rPr>
          <w:rFonts w:ascii="Arial" w:hAnsi="Arial" w:cs="Arial"/>
          <w:i/>
          <w:iCs/>
          <w:sz w:val="22"/>
          <w:szCs w:val="22"/>
        </w:rPr>
        <w:t xml:space="preserve">et al. </w:t>
      </w:r>
      <w:r w:rsidRPr="00021576">
        <w:rPr>
          <w:rFonts w:ascii="Arial" w:hAnsi="Arial" w:cs="Arial"/>
          <w:sz w:val="22"/>
          <w:szCs w:val="22"/>
        </w:rPr>
        <w:t>2025). The failure at Bristol showcases the urgent need for having strong governance, effective leadership, as well as patient centred care for improvement of overall services. The implementation of an evidence-based approach like the Plan-Do-Study-Act (PDSA) cycle can improve the process of clinical governance, incorporate continuous monitoring, and provide for patient-centred improvement in healthcare practice. Ultimately, the lessons learned from this case will remain vital for ensuring the overall sustainable development in today's health and social care environment. </w:t>
      </w:r>
    </w:p>
    <w:p w14:paraId="2FCFE9B0" w14:textId="77777777" w:rsidR="008D346B" w:rsidRPr="00021576" w:rsidRDefault="00F44EE2" w:rsidP="00021576">
      <w:pPr>
        <w:pStyle w:val="Heading1"/>
      </w:pPr>
      <w:bookmarkStart w:id="3" w:name="_Toc236854715"/>
      <w:r w:rsidRPr="00021576">
        <w:t xml:space="preserve">2. </w:t>
      </w:r>
      <w:r w:rsidR="005825D5" w:rsidRPr="00021576">
        <w:t>Main Body</w:t>
      </w:r>
      <w:bookmarkEnd w:id="3"/>
    </w:p>
    <w:p w14:paraId="5644E046" w14:textId="77777777" w:rsidR="00FB4CAC" w:rsidRPr="00021576" w:rsidRDefault="00FB4CAC" w:rsidP="00021576">
      <w:pPr>
        <w:pStyle w:val="Heading2"/>
      </w:pPr>
      <w:bookmarkStart w:id="4" w:name="_Toc236854716"/>
      <w:r w:rsidRPr="00021576">
        <w:t>2.1 Rational for the Issue</w:t>
      </w:r>
      <w:bookmarkEnd w:id="4"/>
    </w:p>
    <w:p w14:paraId="2B5CC761" w14:textId="77777777" w:rsidR="00FB4CAC" w:rsidRPr="00021576" w:rsidRDefault="00FB4CAC" w:rsidP="00021576">
      <w:pPr>
        <w:rPr>
          <w:rFonts w:ascii="Arial" w:hAnsi="Arial" w:cs="Arial"/>
          <w:sz w:val="22"/>
          <w:szCs w:val="22"/>
        </w:rPr>
      </w:pPr>
      <w:r w:rsidRPr="00021576">
        <w:rPr>
          <w:rFonts w:ascii="Arial" w:hAnsi="Arial" w:cs="Arial"/>
          <w:color w:val="000000"/>
          <w:sz w:val="22"/>
          <w:szCs w:val="22"/>
        </w:rPr>
        <w:t xml:space="preserve">The Bristol Royal Infirmary Inquiry was selected as the focal case study because its showcase is one of the most significant failures in UK healthcare with the long lasting implications for the clinical covenant along with the patient's safety (Cahill, 2022). The unusually high mortality rates among infants in paediatric cardiac surgery between 1984 and 1985, showcases the systemic weaknesses in the leadership, accountability as well as the overall quality assurance (Dyer, 2002). This issue is </w:t>
      </w:r>
      <w:r w:rsidR="00F44EE2" w:rsidRPr="00021576">
        <w:rPr>
          <w:rFonts w:ascii="Arial" w:hAnsi="Arial" w:cs="Arial"/>
          <w:color w:val="000000"/>
          <w:sz w:val="22"/>
          <w:szCs w:val="22"/>
        </w:rPr>
        <w:t>especially</w:t>
      </w:r>
      <w:r w:rsidRPr="00021576">
        <w:rPr>
          <w:rFonts w:ascii="Arial" w:hAnsi="Arial" w:cs="Arial"/>
          <w:color w:val="000000"/>
          <w:sz w:val="22"/>
          <w:szCs w:val="22"/>
        </w:rPr>
        <w:t xml:space="preserve"> relevant to the study of service improvement because cases the organisational negligence along with poor communication can directly compromise the overall patient safety outcomes.</w:t>
      </w:r>
    </w:p>
    <w:p w14:paraId="2159A7EF" w14:textId="77777777" w:rsidR="00FB4CAC" w:rsidRPr="00021576" w:rsidRDefault="00FB4CAC" w:rsidP="00021576">
      <w:pPr>
        <w:rPr>
          <w:rFonts w:ascii="Arial" w:hAnsi="Arial" w:cs="Arial"/>
          <w:sz w:val="22"/>
          <w:szCs w:val="22"/>
        </w:rPr>
      </w:pPr>
      <w:r w:rsidRPr="00021576">
        <w:rPr>
          <w:rFonts w:ascii="Arial" w:hAnsi="Arial" w:cs="Arial"/>
          <w:color w:val="000000"/>
          <w:sz w:val="22"/>
          <w:szCs w:val="22"/>
        </w:rPr>
        <w:t>Selection of this topic is based on its relevance which aligns with the changes made after the investigation of this problem. The healthcare organisations are still struggling with implementing effective governance structures, transparency, as well as patient-oriented care (BBC News, 2016). In addition, the case of Bristol is an important case through which to examine how problems in clinical risk management and leadership can spiral into public health issues. It is also a useful framework in understanding the application of theories such as the Fishbone Diagram, Root Cause Analysis, as well as the Donabedian Model. In reviewing the case of Bristol, this report will be able to come up with recommendations that will not only overcome past problems but will also provide for future development within health and social care services. This analysis identifies the determinants that have brought about the problem, which include weak leadership, poor governance, poor communication, lack of monitoring, and insufficient resources resulting in the rise in infant deaths at the Bristol Royal Infirmary.</w:t>
      </w:r>
    </w:p>
    <w:p w14:paraId="078C518C" w14:textId="77777777" w:rsidR="008D346B" w:rsidRPr="00021576" w:rsidRDefault="00FB4CAC" w:rsidP="00021576">
      <w:pPr>
        <w:pStyle w:val="Heading2"/>
      </w:pPr>
      <w:bookmarkStart w:id="5" w:name="_kqev6fjcmjmx" w:colFirst="0" w:colLast="0"/>
      <w:bookmarkStart w:id="6" w:name="_Toc236854717"/>
      <w:bookmarkEnd w:id="5"/>
      <w:r w:rsidRPr="00021576">
        <w:t xml:space="preserve">2.2 </w:t>
      </w:r>
      <w:r w:rsidR="005825D5" w:rsidRPr="00021576">
        <w:t>Application of models</w:t>
      </w:r>
      <w:bookmarkEnd w:id="6"/>
    </w:p>
    <w:p w14:paraId="2D21138B" w14:textId="77777777" w:rsidR="00FB4CAC" w:rsidRPr="00021576" w:rsidRDefault="00FB4CAC" w:rsidP="00021576">
      <w:pPr>
        <w:rPr>
          <w:rFonts w:ascii="Arial" w:hAnsi="Arial" w:cs="Arial"/>
          <w:sz w:val="22"/>
          <w:szCs w:val="22"/>
        </w:rPr>
      </w:pPr>
      <w:r w:rsidRPr="00021576">
        <w:rPr>
          <w:rFonts w:ascii="Arial" w:hAnsi="Arial" w:cs="Arial"/>
          <w:b/>
          <w:bCs/>
          <w:color w:val="000000"/>
          <w:sz w:val="22"/>
          <w:szCs w:val="22"/>
        </w:rPr>
        <w:t>2.2.1 Fishbone Diagram</w:t>
      </w:r>
    </w:p>
    <w:p w14:paraId="68F7915D" w14:textId="77777777" w:rsidR="00FB4CAC" w:rsidRPr="00021576" w:rsidRDefault="00FB4CAC" w:rsidP="00021576">
      <w:pPr>
        <w:rPr>
          <w:rFonts w:ascii="Arial" w:hAnsi="Arial" w:cs="Arial"/>
          <w:sz w:val="22"/>
          <w:szCs w:val="22"/>
        </w:rPr>
      </w:pPr>
      <w:r w:rsidRPr="00021576">
        <w:rPr>
          <w:rFonts w:ascii="Arial" w:hAnsi="Arial" w:cs="Arial"/>
          <w:noProof/>
          <w:sz w:val="22"/>
          <w:szCs w:val="22"/>
          <w:lang w:eastAsia="en-US"/>
        </w:rPr>
        <w:lastRenderedPageBreak/>
        <w:drawing>
          <wp:inline distT="0" distB="0" distL="0" distR="0" wp14:anchorId="1B9475E5" wp14:editId="297B9481">
            <wp:extent cx="5943600" cy="3543300"/>
            <wp:effectExtent l="0" t="0" r="0" b="0"/>
            <wp:docPr id="1990400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43300"/>
                    </a:xfrm>
                    <a:prstGeom prst="rect">
                      <a:avLst/>
                    </a:prstGeom>
                    <a:noFill/>
                    <a:ln>
                      <a:noFill/>
                    </a:ln>
                  </pic:spPr>
                </pic:pic>
              </a:graphicData>
            </a:graphic>
          </wp:inline>
        </w:drawing>
      </w:r>
    </w:p>
    <w:p w14:paraId="7C907CC4" w14:textId="77777777" w:rsidR="00FB4CAC" w:rsidRPr="00021576" w:rsidRDefault="00FB4CAC" w:rsidP="00021576">
      <w:pPr>
        <w:jc w:val="center"/>
        <w:rPr>
          <w:rFonts w:ascii="Arial" w:hAnsi="Arial" w:cs="Arial"/>
          <w:sz w:val="22"/>
          <w:szCs w:val="22"/>
        </w:rPr>
      </w:pPr>
      <w:r w:rsidRPr="00021576">
        <w:rPr>
          <w:rFonts w:ascii="Arial" w:hAnsi="Arial" w:cs="Arial"/>
          <w:b/>
          <w:bCs/>
          <w:color w:val="000000"/>
          <w:sz w:val="22"/>
          <w:szCs w:val="22"/>
        </w:rPr>
        <w:t>Figure: Fishbone Diagram</w:t>
      </w:r>
    </w:p>
    <w:p w14:paraId="4E0F5F31" w14:textId="71ABEAFC" w:rsidR="00FB4CAC" w:rsidRPr="00021576" w:rsidRDefault="00FB4CAC" w:rsidP="00021576">
      <w:pPr>
        <w:jc w:val="center"/>
        <w:rPr>
          <w:rFonts w:ascii="Arial" w:hAnsi="Arial" w:cs="Arial"/>
          <w:sz w:val="22"/>
          <w:szCs w:val="22"/>
        </w:rPr>
      </w:pPr>
      <w:r w:rsidRPr="00021576">
        <w:rPr>
          <w:rFonts w:ascii="Arial" w:hAnsi="Arial" w:cs="Arial"/>
          <w:color w:val="000000"/>
          <w:sz w:val="22"/>
          <w:szCs w:val="22"/>
        </w:rPr>
        <w:t xml:space="preserve">(Source: </w:t>
      </w:r>
      <w:r w:rsidR="00033EDB" w:rsidRPr="00021576">
        <w:rPr>
          <w:rFonts w:ascii="Arial" w:hAnsi="Arial" w:cs="Arial"/>
          <w:color w:val="000000"/>
          <w:sz w:val="22"/>
          <w:szCs w:val="22"/>
        </w:rPr>
        <w:t>Self-Developed</w:t>
      </w:r>
      <w:r w:rsidRPr="00021576">
        <w:rPr>
          <w:rFonts w:ascii="Arial" w:hAnsi="Arial" w:cs="Arial"/>
          <w:color w:val="000000"/>
          <w:sz w:val="22"/>
          <w:szCs w:val="22"/>
        </w:rPr>
        <w:t>)</w:t>
      </w:r>
    </w:p>
    <w:p w14:paraId="3EC3BB89" w14:textId="77777777" w:rsidR="00FB4CAC" w:rsidRPr="00021576" w:rsidRDefault="00FB4CAC" w:rsidP="00021576">
      <w:pPr>
        <w:rPr>
          <w:rFonts w:ascii="Arial" w:hAnsi="Arial" w:cs="Arial"/>
          <w:sz w:val="22"/>
          <w:szCs w:val="22"/>
        </w:rPr>
      </w:pPr>
      <w:r w:rsidRPr="00021576">
        <w:rPr>
          <w:rFonts w:ascii="Arial" w:hAnsi="Arial" w:cs="Arial"/>
          <w:b/>
          <w:bCs/>
          <w:color w:val="000000"/>
          <w:sz w:val="22"/>
          <w:szCs w:val="22"/>
        </w:rPr>
        <w:t>Analysis</w:t>
      </w:r>
    </w:p>
    <w:p w14:paraId="75FE3D59" w14:textId="77777777" w:rsidR="00FB4CAC" w:rsidRPr="00021576" w:rsidRDefault="00FB4CAC" w:rsidP="00021576">
      <w:pPr>
        <w:rPr>
          <w:rFonts w:ascii="Arial" w:hAnsi="Arial" w:cs="Arial"/>
          <w:sz w:val="22"/>
          <w:szCs w:val="22"/>
        </w:rPr>
      </w:pPr>
      <w:r w:rsidRPr="00021576">
        <w:rPr>
          <w:rFonts w:ascii="Arial" w:hAnsi="Arial" w:cs="Arial"/>
          <w:color w:val="000000"/>
          <w:sz w:val="22"/>
          <w:szCs w:val="22"/>
        </w:rPr>
        <w:t xml:space="preserve">The fishbone diagram showcases how the different interrelated factors lead to the failures of Bristol Royal Infirmary’s paediatric cardiac surgery. The people category showcase Limited specialised staff and leadership which undermined the overall clinical decision-making as well as accountability (AHRQ, 2001). The environment factor showcases the shortage of the resources as well as the split site issues that disrupted the workflow and also reduced the overall efficiency. The process factor demonstrated the negligence in the governance as well as delay in the audits that revealed a lack of systemic quality control. The management failures further consisted of poor oversight and risk management that led to the unsafe practices unchecked. The communication gaps between the staff and the parents also led to the misinformation, reduced trust as well as delay in the consent process (Kumah </w:t>
      </w:r>
      <w:r w:rsidRPr="00021576">
        <w:rPr>
          <w:rFonts w:ascii="Arial" w:hAnsi="Arial" w:cs="Arial"/>
          <w:i/>
          <w:iCs/>
          <w:color w:val="000000"/>
          <w:sz w:val="22"/>
          <w:szCs w:val="22"/>
        </w:rPr>
        <w:t xml:space="preserve">et al. </w:t>
      </w:r>
      <w:r w:rsidRPr="00021576">
        <w:rPr>
          <w:rFonts w:ascii="Arial" w:hAnsi="Arial" w:cs="Arial"/>
          <w:color w:val="000000"/>
          <w:sz w:val="22"/>
          <w:szCs w:val="22"/>
        </w:rPr>
        <w:t>2024). Lastly, the measurement deficiencies like adequate monitoring as well as ignorance of the warning science increased the mortality rates.</w:t>
      </w:r>
    </w:p>
    <w:p w14:paraId="35848395" w14:textId="77777777" w:rsidR="00FB4CAC" w:rsidRPr="00021576" w:rsidRDefault="00FB4CAC" w:rsidP="00021576">
      <w:pPr>
        <w:rPr>
          <w:rFonts w:ascii="Arial" w:hAnsi="Arial" w:cs="Arial"/>
          <w:sz w:val="22"/>
          <w:szCs w:val="22"/>
        </w:rPr>
      </w:pPr>
      <w:r w:rsidRPr="00021576">
        <w:rPr>
          <w:rFonts w:ascii="Arial" w:hAnsi="Arial" w:cs="Arial"/>
          <w:color w:val="000000"/>
          <w:sz w:val="22"/>
          <w:szCs w:val="22"/>
        </w:rPr>
        <w:t>Collectively, all these categories showcase that the failure was not the just clinical error, but it was a more systemic breakdown in the organisational, procedural as well as cultural dimensions. The diagram showcases the need for a more integrated quality assurance system that links leadership, accountability, staff competence, as well as transparent communication (Sakdiyah</w:t>
      </w:r>
      <w:r w:rsidR="007337F1" w:rsidRPr="00021576">
        <w:rPr>
          <w:rFonts w:ascii="Arial" w:hAnsi="Arial" w:cs="Arial"/>
          <w:color w:val="000000"/>
          <w:sz w:val="22"/>
          <w:szCs w:val="22"/>
        </w:rPr>
        <w:t xml:space="preserve"> </w:t>
      </w:r>
      <w:r w:rsidRPr="00021576">
        <w:rPr>
          <w:rFonts w:ascii="Arial" w:hAnsi="Arial" w:cs="Arial"/>
          <w:i/>
          <w:iCs/>
          <w:color w:val="000000"/>
          <w:sz w:val="22"/>
          <w:szCs w:val="22"/>
        </w:rPr>
        <w:t xml:space="preserve">et </w:t>
      </w:r>
      <w:r w:rsidRPr="00021576">
        <w:rPr>
          <w:rFonts w:ascii="Arial" w:hAnsi="Arial" w:cs="Arial"/>
          <w:i/>
          <w:iCs/>
          <w:color w:val="000000"/>
          <w:sz w:val="22"/>
          <w:szCs w:val="22"/>
        </w:rPr>
        <w:lastRenderedPageBreak/>
        <w:t xml:space="preserve">al. </w:t>
      </w:r>
      <w:r w:rsidRPr="00021576">
        <w:rPr>
          <w:rFonts w:ascii="Arial" w:hAnsi="Arial" w:cs="Arial"/>
          <w:color w:val="000000"/>
          <w:sz w:val="22"/>
          <w:szCs w:val="22"/>
        </w:rPr>
        <w:t>2022). The visualisation of these interrelationships in the fishbone diagram showcases a strong foundation for the targeted interventions like improved training, governance changes, as well as continuous outcome, monitoring in order to prevent such tragedies in near future.</w:t>
      </w:r>
    </w:p>
    <w:p w14:paraId="37B8B589" w14:textId="77777777" w:rsidR="008D346B" w:rsidRPr="00021576" w:rsidRDefault="005825D5" w:rsidP="00021576">
      <w:pPr>
        <w:pStyle w:val="Heading3"/>
      </w:pPr>
      <w:bookmarkStart w:id="7" w:name="_sviiyz1ilvwt" w:colFirst="0" w:colLast="0"/>
      <w:bookmarkStart w:id="8" w:name="_Toc236854718"/>
      <w:bookmarkEnd w:id="7"/>
      <w:r w:rsidRPr="00021576">
        <w:t>2.</w:t>
      </w:r>
      <w:r w:rsidR="00FB4CAC" w:rsidRPr="00021576">
        <w:t>2</w:t>
      </w:r>
      <w:r w:rsidRPr="00021576">
        <w:t>.2 The Donabedian Model</w:t>
      </w:r>
      <w:bookmarkEnd w:id="8"/>
    </w:p>
    <w:p w14:paraId="44190A68" w14:textId="77777777" w:rsidR="008D346B" w:rsidRPr="00021576" w:rsidRDefault="005825D5" w:rsidP="00021576">
      <w:pPr>
        <w:rPr>
          <w:rFonts w:ascii="Arial" w:eastAsia="Arial" w:hAnsi="Arial" w:cs="Arial"/>
          <w:sz w:val="22"/>
          <w:szCs w:val="22"/>
        </w:rPr>
      </w:pPr>
      <w:r w:rsidRPr="00021576">
        <w:rPr>
          <w:rFonts w:ascii="Arial" w:eastAsia="Arial" w:hAnsi="Arial" w:cs="Arial"/>
          <w:sz w:val="22"/>
          <w:szCs w:val="22"/>
        </w:rPr>
        <w:t xml:space="preserve">It has been recognised that systemic failure in clinical governance, risk management, and institutional oversight in paediatric cardiac surgery has occurred at Bristol Royal Infirmary. The high mortality rate among infants in the UK undergoing complex cardiac procedures has been identified. The Donabedian Model defines a structural framework to evaluate healthcare quality through three interconnected dimensions such as Structure, Process, and Outcome (Yang </w:t>
      </w:r>
      <w:r w:rsidRPr="00021576">
        <w:rPr>
          <w:rFonts w:ascii="Arial" w:eastAsia="Arial" w:hAnsi="Arial" w:cs="Arial"/>
          <w:i/>
          <w:iCs/>
          <w:sz w:val="22"/>
          <w:szCs w:val="22"/>
        </w:rPr>
        <w:t>et al</w:t>
      </w:r>
      <w:r w:rsidRPr="00021576">
        <w:rPr>
          <w:rFonts w:ascii="Arial" w:eastAsia="Arial" w:hAnsi="Arial" w:cs="Arial"/>
          <w:sz w:val="22"/>
          <w:szCs w:val="22"/>
        </w:rPr>
        <w:t xml:space="preserve">. 2025). Implications of this model can be helpful to improve the healthcare infrastructure at Bristol Royal Infirmary. Considering the Bristol Royal Infirmary case study, “structure” can highlight the physical and organisational context, such as inadequate specialised paediatric resources, split-site facilities, and a lack of a clear clinical governance system. Falade </w:t>
      </w:r>
      <w:r w:rsidRPr="00021576">
        <w:rPr>
          <w:rFonts w:ascii="Arial" w:eastAsia="Arial" w:hAnsi="Arial" w:cs="Arial"/>
          <w:i/>
          <w:iCs/>
          <w:sz w:val="22"/>
          <w:szCs w:val="22"/>
        </w:rPr>
        <w:t>et al.</w:t>
      </w:r>
      <w:r w:rsidRPr="00021576">
        <w:rPr>
          <w:rFonts w:ascii="Arial" w:eastAsia="Arial" w:hAnsi="Arial" w:cs="Arial"/>
          <w:sz w:val="22"/>
          <w:szCs w:val="22"/>
        </w:rPr>
        <w:t xml:space="preserve"> (2024) have stated that structural focus under the Donabedian Model considers standardised governance policies, clear regulatory frameworks, as well as adequate resources. Thus, investing in the right healthcare resources and governance, paediatric cardiac surgery of infants at the case organisation can be conducted with a high success rate. </w:t>
      </w:r>
    </w:p>
    <w:p w14:paraId="0FB1161F" w14:textId="77777777" w:rsidR="008D346B" w:rsidRPr="00021576" w:rsidRDefault="005825D5" w:rsidP="00021576">
      <w:pPr>
        <w:rPr>
          <w:rFonts w:ascii="Arial" w:eastAsia="Arial" w:hAnsi="Arial" w:cs="Arial"/>
          <w:sz w:val="22"/>
          <w:szCs w:val="22"/>
        </w:rPr>
      </w:pPr>
      <w:r w:rsidRPr="00021576">
        <w:rPr>
          <w:rFonts w:ascii="Arial" w:eastAsia="Arial" w:hAnsi="Arial" w:cs="Arial"/>
          <w:sz w:val="22"/>
          <w:szCs w:val="22"/>
        </w:rPr>
        <w:t>“Process’ is about examining the actual delivery of care to investigate the real causes of severe failures, including irregular outcome auditing and weak interprofessional communication. Hill</w:t>
      </w:r>
      <w:r w:rsidRPr="00021576">
        <w:rPr>
          <w:rFonts w:ascii="Arial" w:eastAsia="Arial" w:hAnsi="Arial" w:cs="Arial"/>
          <w:i/>
          <w:iCs/>
          <w:sz w:val="22"/>
          <w:szCs w:val="22"/>
        </w:rPr>
        <w:t xml:space="preserve"> et al.</w:t>
      </w:r>
      <w:r w:rsidRPr="00021576">
        <w:rPr>
          <w:rFonts w:ascii="Arial" w:eastAsia="Arial" w:hAnsi="Arial" w:cs="Arial"/>
          <w:sz w:val="22"/>
          <w:szCs w:val="22"/>
        </w:rPr>
        <w:t xml:space="preserve"> (2026) have commented that structural compliance alone in a healthcare system is insufficient to prevent clinical harm. Care delivery and regular audit of surgical results at Bristol Royal Infirmary are the key implications under this “process stage”. The </w:t>
      </w:r>
      <w:r w:rsidR="007337F1" w:rsidRPr="00021576">
        <w:rPr>
          <w:rFonts w:ascii="Arial" w:eastAsia="Arial" w:hAnsi="Arial" w:cs="Arial"/>
          <w:sz w:val="22"/>
          <w:szCs w:val="22"/>
        </w:rPr>
        <w:t>delay in incident reporting and poor engagement with parents is</w:t>
      </w:r>
      <w:r w:rsidRPr="00021576">
        <w:rPr>
          <w:rFonts w:ascii="Arial" w:eastAsia="Arial" w:hAnsi="Arial" w:cs="Arial"/>
          <w:sz w:val="22"/>
          <w:szCs w:val="22"/>
        </w:rPr>
        <w:t xml:space="preserve"> also significant discussion segments. It can be reflected through the “outcome” segment that can measure the impact on health based on the evidenced by high infant mortality rates as well as a widespread loss of patient trust. Topuz </w:t>
      </w:r>
      <w:r w:rsidRPr="00021576">
        <w:rPr>
          <w:rFonts w:ascii="Arial" w:eastAsia="Arial" w:hAnsi="Arial" w:cs="Arial"/>
          <w:i/>
          <w:iCs/>
          <w:sz w:val="22"/>
          <w:szCs w:val="22"/>
        </w:rPr>
        <w:t xml:space="preserve">et al. </w:t>
      </w:r>
      <w:r w:rsidRPr="00021576">
        <w:rPr>
          <w:rFonts w:ascii="Arial" w:eastAsia="Arial" w:hAnsi="Arial" w:cs="Arial"/>
          <w:sz w:val="22"/>
          <w:szCs w:val="22"/>
        </w:rPr>
        <w:t xml:space="preserve">(2025) have stated that increased public trust is considered an indicator of satisfactory service by a healthcare system. Increased success rate in the surgical process and establishment of public trust can be the outcome of the right implication of the Donabedian Model. Therefore, improved treatment stages, active engagement of family members and making decisions focusing on past cases can be the key implications of activities under this model. </w:t>
      </w:r>
    </w:p>
    <w:p w14:paraId="17AA4AAD" w14:textId="77777777" w:rsidR="009605F6" w:rsidRPr="00021576" w:rsidRDefault="009605F6" w:rsidP="00021576">
      <w:pPr>
        <w:jc w:val="center"/>
        <w:rPr>
          <w:rFonts w:ascii="Arial" w:eastAsia="Arial" w:hAnsi="Arial" w:cs="Arial"/>
          <w:b/>
          <w:bCs/>
          <w:sz w:val="22"/>
          <w:szCs w:val="22"/>
        </w:rPr>
      </w:pPr>
      <w:r w:rsidRPr="00021576">
        <w:rPr>
          <w:rFonts w:ascii="Arial" w:eastAsia="Arial" w:hAnsi="Arial" w:cs="Arial"/>
          <w:b/>
          <w:bCs/>
          <w:noProof/>
          <w:sz w:val="22"/>
          <w:szCs w:val="22"/>
          <w:lang w:eastAsia="en-US"/>
        </w:rPr>
        <w:lastRenderedPageBreak/>
        <w:drawing>
          <wp:inline distT="0" distB="0" distL="0" distR="0" wp14:anchorId="04FCE931" wp14:editId="758AA57C">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AFF9726" w14:textId="77777777" w:rsidR="008D346B" w:rsidRPr="00021576" w:rsidRDefault="007337F1" w:rsidP="00021576">
      <w:pPr>
        <w:jc w:val="center"/>
        <w:rPr>
          <w:rFonts w:ascii="Arial" w:eastAsia="Arial" w:hAnsi="Arial" w:cs="Arial"/>
          <w:b/>
          <w:bCs/>
          <w:sz w:val="22"/>
          <w:szCs w:val="22"/>
        </w:rPr>
      </w:pPr>
      <w:r w:rsidRPr="00021576">
        <w:rPr>
          <w:rFonts w:ascii="Arial" w:eastAsia="Arial" w:hAnsi="Arial" w:cs="Arial"/>
          <w:b/>
          <w:bCs/>
          <w:sz w:val="22"/>
          <w:szCs w:val="22"/>
        </w:rPr>
        <w:t>Figure 2</w:t>
      </w:r>
      <w:r w:rsidR="005825D5" w:rsidRPr="00021576">
        <w:rPr>
          <w:rFonts w:ascii="Arial" w:eastAsia="Arial" w:hAnsi="Arial" w:cs="Arial"/>
          <w:b/>
          <w:bCs/>
          <w:sz w:val="22"/>
          <w:szCs w:val="22"/>
        </w:rPr>
        <w:t>: The Donabedian Model in the case of Bristol Royal Infirmary</w:t>
      </w:r>
    </w:p>
    <w:p w14:paraId="3A5697DF" w14:textId="77777777" w:rsidR="008D346B" w:rsidRPr="00021576" w:rsidRDefault="005825D5" w:rsidP="00021576">
      <w:pPr>
        <w:jc w:val="center"/>
        <w:rPr>
          <w:rFonts w:ascii="Arial" w:eastAsia="Arial" w:hAnsi="Arial" w:cs="Arial"/>
          <w:sz w:val="22"/>
          <w:szCs w:val="22"/>
        </w:rPr>
      </w:pPr>
      <w:r w:rsidRPr="00021576">
        <w:rPr>
          <w:rFonts w:ascii="Arial" w:eastAsia="Arial" w:hAnsi="Arial" w:cs="Arial"/>
          <w:sz w:val="22"/>
          <w:szCs w:val="22"/>
        </w:rPr>
        <w:t xml:space="preserve">(Source: </w:t>
      </w:r>
      <w:r w:rsidR="009452E0" w:rsidRPr="00021576">
        <w:rPr>
          <w:rFonts w:ascii="Arial" w:eastAsia="Arial" w:hAnsi="Arial" w:cs="Arial"/>
          <w:sz w:val="22"/>
          <w:szCs w:val="22"/>
        </w:rPr>
        <w:t xml:space="preserve">Inspired by Yang </w:t>
      </w:r>
      <w:r w:rsidR="009452E0" w:rsidRPr="00021576">
        <w:rPr>
          <w:rFonts w:ascii="Arial" w:eastAsia="Arial" w:hAnsi="Arial" w:cs="Arial"/>
          <w:i/>
          <w:iCs/>
          <w:sz w:val="22"/>
          <w:szCs w:val="22"/>
        </w:rPr>
        <w:t>et al</w:t>
      </w:r>
      <w:r w:rsidR="009452E0" w:rsidRPr="00021576">
        <w:rPr>
          <w:rFonts w:ascii="Arial" w:eastAsia="Arial" w:hAnsi="Arial" w:cs="Arial"/>
          <w:sz w:val="22"/>
          <w:szCs w:val="22"/>
        </w:rPr>
        <w:t>. 2025</w:t>
      </w:r>
      <w:r w:rsidRPr="00021576">
        <w:rPr>
          <w:rFonts w:ascii="Arial" w:eastAsia="Arial" w:hAnsi="Arial" w:cs="Arial"/>
          <w:sz w:val="22"/>
          <w:szCs w:val="22"/>
        </w:rPr>
        <w:t>)</w:t>
      </w:r>
    </w:p>
    <w:p w14:paraId="270D24A6" w14:textId="77777777" w:rsidR="008D346B" w:rsidRPr="00021576" w:rsidRDefault="008D346B" w:rsidP="00021576">
      <w:pPr>
        <w:jc w:val="center"/>
        <w:rPr>
          <w:rFonts w:ascii="Arial" w:eastAsia="Arial" w:hAnsi="Arial" w:cs="Arial"/>
          <w:sz w:val="22"/>
          <w:szCs w:val="22"/>
        </w:rPr>
      </w:pPr>
    </w:p>
    <w:p w14:paraId="3E43B797" w14:textId="77777777" w:rsidR="008D346B" w:rsidRPr="00021576" w:rsidRDefault="005825D5" w:rsidP="00021576">
      <w:pPr>
        <w:pStyle w:val="Heading3"/>
      </w:pPr>
      <w:bookmarkStart w:id="9" w:name="_nsp2xniit3cw" w:colFirst="0" w:colLast="0"/>
      <w:bookmarkStart w:id="10" w:name="_Toc236854719"/>
      <w:bookmarkEnd w:id="9"/>
      <w:r w:rsidRPr="00021576">
        <w:t>2.</w:t>
      </w:r>
      <w:r w:rsidR="00FB4CAC" w:rsidRPr="00021576">
        <w:t>2</w:t>
      </w:r>
      <w:r w:rsidRPr="00021576">
        <w:t>.3 Five Whys framework</w:t>
      </w:r>
      <w:bookmarkEnd w:id="10"/>
    </w:p>
    <w:p w14:paraId="46E6FA0A" w14:textId="77777777" w:rsidR="008D346B" w:rsidRPr="00021576" w:rsidRDefault="005825D5" w:rsidP="00021576">
      <w:pPr>
        <w:rPr>
          <w:rFonts w:ascii="Arial" w:eastAsia="Arial" w:hAnsi="Arial" w:cs="Arial"/>
          <w:sz w:val="22"/>
          <w:szCs w:val="22"/>
        </w:rPr>
      </w:pPr>
      <w:r w:rsidRPr="00021576">
        <w:rPr>
          <w:rFonts w:ascii="Arial" w:eastAsia="Arial" w:hAnsi="Arial" w:cs="Arial"/>
          <w:sz w:val="22"/>
          <w:szCs w:val="22"/>
        </w:rPr>
        <w:t xml:space="preserve">The 5 Whys methodology is considered an iterative root cause analysis tool designed to drill down through symptoms to expose core systemic vulnerabilities in a specific case (Paterson, 2023). Paediatric cardiac surgery failure among infants at Bristol Royal Infirmary can be evaluated in an effective manner through this tool's application.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6945"/>
      </w:tblGrid>
      <w:tr w:rsidR="008D346B" w:rsidRPr="00021576" w14:paraId="41A343D6" w14:textId="77777777">
        <w:tc>
          <w:tcPr>
            <w:tcW w:w="2415" w:type="dxa"/>
            <w:tcMar>
              <w:top w:w="100" w:type="dxa"/>
              <w:left w:w="100" w:type="dxa"/>
              <w:bottom w:w="100" w:type="dxa"/>
              <w:right w:w="100" w:type="dxa"/>
            </w:tcMar>
          </w:tcPr>
          <w:p w14:paraId="261337D6" w14:textId="77777777" w:rsidR="008D346B" w:rsidRPr="00021576" w:rsidRDefault="005825D5" w:rsidP="00021576">
            <w:pPr>
              <w:widowControl w:val="0"/>
              <w:pBdr>
                <w:top w:val="nil"/>
                <w:left w:val="nil"/>
                <w:bottom w:val="nil"/>
                <w:right w:val="nil"/>
                <w:between w:val="nil"/>
              </w:pBdr>
              <w:jc w:val="center"/>
              <w:rPr>
                <w:rFonts w:ascii="Arial" w:eastAsia="Arial" w:hAnsi="Arial" w:cs="Arial"/>
                <w:b/>
                <w:bCs/>
                <w:i/>
                <w:iCs/>
                <w:sz w:val="22"/>
                <w:szCs w:val="22"/>
              </w:rPr>
            </w:pPr>
            <w:r w:rsidRPr="00021576">
              <w:rPr>
                <w:rFonts w:ascii="Arial" w:eastAsia="Arial" w:hAnsi="Arial" w:cs="Arial"/>
                <w:b/>
                <w:bCs/>
                <w:i/>
                <w:iCs/>
                <w:sz w:val="22"/>
                <w:szCs w:val="22"/>
              </w:rPr>
              <w:t>Problem</w:t>
            </w:r>
          </w:p>
        </w:tc>
        <w:tc>
          <w:tcPr>
            <w:tcW w:w="6945" w:type="dxa"/>
            <w:tcMar>
              <w:top w:w="100" w:type="dxa"/>
              <w:left w:w="100" w:type="dxa"/>
              <w:bottom w:w="100" w:type="dxa"/>
              <w:right w:w="100" w:type="dxa"/>
            </w:tcMar>
          </w:tcPr>
          <w:p w14:paraId="4A51DD4A" w14:textId="77777777" w:rsidR="008D346B" w:rsidRPr="00021576" w:rsidRDefault="005825D5" w:rsidP="00021576">
            <w:pPr>
              <w:widowControl w:val="0"/>
              <w:pBdr>
                <w:top w:val="nil"/>
                <w:left w:val="nil"/>
                <w:bottom w:val="nil"/>
                <w:right w:val="nil"/>
                <w:between w:val="nil"/>
              </w:pBdr>
              <w:jc w:val="center"/>
              <w:rPr>
                <w:rFonts w:ascii="Arial" w:eastAsia="Arial" w:hAnsi="Arial" w:cs="Arial"/>
                <w:b/>
                <w:bCs/>
                <w:i/>
                <w:iCs/>
                <w:sz w:val="22"/>
                <w:szCs w:val="22"/>
              </w:rPr>
            </w:pPr>
            <w:r w:rsidRPr="00021576">
              <w:rPr>
                <w:rFonts w:ascii="Arial" w:eastAsia="Arial" w:hAnsi="Arial" w:cs="Arial"/>
                <w:b/>
                <w:bCs/>
                <w:i/>
                <w:iCs/>
                <w:sz w:val="22"/>
                <w:szCs w:val="22"/>
              </w:rPr>
              <w:t xml:space="preserve">Unacceptably high infant mortality rate in </w:t>
            </w:r>
            <w:r w:rsidR="00865619" w:rsidRPr="00021576">
              <w:rPr>
                <w:rFonts w:ascii="Arial" w:eastAsia="Arial" w:hAnsi="Arial" w:cs="Arial"/>
                <w:b/>
                <w:bCs/>
                <w:i/>
                <w:iCs/>
                <w:sz w:val="22"/>
                <w:szCs w:val="22"/>
              </w:rPr>
              <w:t>paediatric</w:t>
            </w:r>
            <w:r w:rsidRPr="00021576">
              <w:rPr>
                <w:rFonts w:ascii="Arial" w:eastAsia="Arial" w:hAnsi="Arial" w:cs="Arial"/>
                <w:b/>
                <w:bCs/>
                <w:i/>
                <w:iCs/>
                <w:sz w:val="22"/>
                <w:szCs w:val="22"/>
              </w:rPr>
              <w:t xml:space="preserve"> cardiac surgery at Bristol Royal Infirmary</w:t>
            </w:r>
          </w:p>
        </w:tc>
      </w:tr>
      <w:tr w:rsidR="008D346B" w:rsidRPr="00021576" w14:paraId="202F2F97" w14:textId="77777777">
        <w:tc>
          <w:tcPr>
            <w:tcW w:w="2415" w:type="dxa"/>
            <w:tcMar>
              <w:top w:w="100" w:type="dxa"/>
              <w:left w:w="100" w:type="dxa"/>
              <w:bottom w:w="100" w:type="dxa"/>
              <w:right w:w="100" w:type="dxa"/>
            </w:tcMar>
          </w:tcPr>
          <w:p w14:paraId="2F6E4E6C"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1 “</w:t>
            </w:r>
            <w:r w:rsidRPr="00021576">
              <w:rPr>
                <w:rFonts w:ascii="Arial" w:eastAsia="Arial" w:hAnsi="Arial" w:cs="Arial"/>
                <w:i/>
                <w:iCs/>
                <w:sz w:val="22"/>
                <w:szCs w:val="22"/>
              </w:rPr>
              <w:t>Why did infant mortality rates rise?</w:t>
            </w:r>
            <w:r w:rsidRPr="00021576">
              <w:rPr>
                <w:rFonts w:ascii="Arial" w:eastAsia="Arial" w:hAnsi="Arial" w:cs="Arial"/>
                <w:sz w:val="22"/>
                <w:szCs w:val="22"/>
              </w:rPr>
              <w:t>”</w:t>
            </w:r>
          </w:p>
        </w:tc>
        <w:tc>
          <w:tcPr>
            <w:tcW w:w="6945" w:type="dxa"/>
            <w:tcMar>
              <w:top w:w="100" w:type="dxa"/>
              <w:left w:w="100" w:type="dxa"/>
              <w:bottom w:w="100" w:type="dxa"/>
              <w:right w:w="100" w:type="dxa"/>
            </w:tcMar>
          </w:tcPr>
          <w:p w14:paraId="35C34B5E"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Excess surgical complications occurred</w:t>
            </w:r>
          </w:p>
        </w:tc>
      </w:tr>
      <w:tr w:rsidR="008D346B" w:rsidRPr="00021576" w14:paraId="04B8502B" w14:textId="77777777">
        <w:tc>
          <w:tcPr>
            <w:tcW w:w="2415" w:type="dxa"/>
            <w:tcMar>
              <w:top w:w="100" w:type="dxa"/>
              <w:left w:w="100" w:type="dxa"/>
              <w:bottom w:w="100" w:type="dxa"/>
              <w:right w:w="100" w:type="dxa"/>
            </w:tcMar>
          </w:tcPr>
          <w:p w14:paraId="4D41708C"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2 “</w:t>
            </w:r>
            <w:r w:rsidRPr="00021576">
              <w:rPr>
                <w:rFonts w:ascii="Arial" w:eastAsia="Arial" w:hAnsi="Arial" w:cs="Arial"/>
                <w:i/>
                <w:iCs/>
                <w:sz w:val="22"/>
                <w:szCs w:val="22"/>
              </w:rPr>
              <w:t xml:space="preserve">Why </w:t>
            </w:r>
            <w:r w:rsidR="007337F1" w:rsidRPr="00021576">
              <w:rPr>
                <w:rFonts w:ascii="Arial" w:eastAsia="Arial" w:hAnsi="Arial" w:cs="Arial"/>
                <w:i/>
                <w:iCs/>
                <w:sz w:val="22"/>
                <w:szCs w:val="22"/>
              </w:rPr>
              <w:t>was complication</w:t>
            </w:r>
            <w:r w:rsidRPr="00021576">
              <w:rPr>
                <w:rFonts w:ascii="Arial" w:eastAsia="Arial" w:hAnsi="Arial" w:cs="Arial"/>
                <w:i/>
                <w:iCs/>
                <w:sz w:val="22"/>
                <w:szCs w:val="22"/>
              </w:rPr>
              <w:t xml:space="preserve"> rates high</w:t>
            </w:r>
            <w:r w:rsidRPr="00021576">
              <w:rPr>
                <w:rFonts w:ascii="Arial" w:eastAsia="Arial" w:hAnsi="Arial" w:cs="Arial"/>
                <w:sz w:val="22"/>
                <w:szCs w:val="22"/>
              </w:rPr>
              <w:t>?”</w:t>
            </w:r>
          </w:p>
        </w:tc>
        <w:tc>
          <w:tcPr>
            <w:tcW w:w="6945" w:type="dxa"/>
            <w:tcMar>
              <w:top w:w="100" w:type="dxa"/>
              <w:left w:w="100" w:type="dxa"/>
              <w:bottom w:w="100" w:type="dxa"/>
              <w:right w:w="100" w:type="dxa"/>
            </w:tcMar>
          </w:tcPr>
          <w:p w14:paraId="628789A4"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Surgical teams lacked specialised paediatric expertise</w:t>
            </w:r>
          </w:p>
        </w:tc>
      </w:tr>
      <w:tr w:rsidR="008D346B" w:rsidRPr="00021576" w14:paraId="04B33031" w14:textId="77777777">
        <w:tc>
          <w:tcPr>
            <w:tcW w:w="2415" w:type="dxa"/>
            <w:tcMar>
              <w:top w:w="100" w:type="dxa"/>
              <w:left w:w="100" w:type="dxa"/>
              <w:bottom w:w="100" w:type="dxa"/>
              <w:right w:w="100" w:type="dxa"/>
            </w:tcMar>
          </w:tcPr>
          <w:p w14:paraId="2DE83134"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3 “</w:t>
            </w:r>
            <w:r w:rsidRPr="00021576">
              <w:rPr>
                <w:rFonts w:ascii="Arial" w:eastAsia="Arial" w:hAnsi="Arial" w:cs="Arial"/>
                <w:i/>
                <w:iCs/>
                <w:sz w:val="22"/>
                <w:szCs w:val="22"/>
              </w:rPr>
              <w:t>Why were skill deficits unaddressed?</w:t>
            </w:r>
            <w:r w:rsidRPr="00021576">
              <w:rPr>
                <w:rFonts w:ascii="Arial" w:eastAsia="Arial" w:hAnsi="Arial" w:cs="Arial"/>
                <w:sz w:val="22"/>
                <w:szCs w:val="22"/>
              </w:rPr>
              <w:t>”</w:t>
            </w:r>
          </w:p>
        </w:tc>
        <w:tc>
          <w:tcPr>
            <w:tcW w:w="6945" w:type="dxa"/>
            <w:tcMar>
              <w:top w:w="100" w:type="dxa"/>
              <w:left w:w="100" w:type="dxa"/>
              <w:bottom w:w="100" w:type="dxa"/>
              <w:right w:w="100" w:type="dxa"/>
            </w:tcMar>
          </w:tcPr>
          <w:p w14:paraId="3FB4587B"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Clinical outcomes were not regularly audited against standards</w:t>
            </w:r>
          </w:p>
        </w:tc>
      </w:tr>
      <w:tr w:rsidR="008D346B" w:rsidRPr="00021576" w14:paraId="1F8BE204" w14:textId="77777777">
        <w:tc>
          <w:tcPr>
            <w:tcW w:w="2415" w:type="dxa"/>
            <w:tcMar>
              <w:top w:w="100" w:type="dxa"/>
              <w:left w:w="100" w:type="dxa"/>
              <w:bottom w:w="100" w:type="dxa"/>
              <w:right w:w="100" w:type="dxa"/>
            </w:tcMar>
          </w:tcPr>
          <w:p w14:paraId="694C828B"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lastRenderedPageBreak/>
              <w:t>4 “</w:t>
            </w:r>
            <w:r w:rsidRPr="00021576">
              <w:rPr>
                <w:rFonts w:ascii="Arial" w:eastAsia="Arial" w:hAnsi="Arial" w:cs="Arial"/>
                <w:i/>
                <w:iCs/>
                <w:sz w:val="22"/>
                <w:szCs w:val="22"/>
              </w:rPr>
              <w:t>Why were audits delayed?</w:t>
            </w:r>
            <w:r w:rsidRPr="00021576">
              <w:rPr>
                <w:rFonts w:ascii="Arial" w:eastAsia="Arial" w:hAnsi="Arial" w:cs="Arial"/>
                <w:sz w:val="22"/>
                <w:szCs w:val="22"/>
              </w:rPr>
              <w:t>”</w:t>
            </w:r>
          </w:p>
        </w:tc>
        <w:tc>
          <w:tcPr>
            <w:tcW w:w="6945" w:type="dxa"/>
            <w:tcMar>
              <w:top w:w="100" w:type="dxa"/>
              <w:left w:w="100" w:type="dxa"/>
              <w:bottom w:w="100" w:type="dxa"/>
              <w:right w:w="100" w:type="dxa"/>
            </w:tcMar>
          </w:tcPr>
          <w:p w14:paraId="3738F7EC"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Leadership delayed inquiries along with suppressed performance data</w:t>
            </w:r>
          </w:p>
        </w:tc>
      </w:tr>
      <w:tr w:rsidR="008D346B" w:rsidRPr="00021576" w14:paraId="43B393A9" w14:textId="77777777">
        <w:tc>
          <w:tcPr>
            <w:tcW w:w="2415" w:type="dxa"/>
            <w:tcMar>
              <w:top w:w="100" w:type="dxa"/>
              <w:left w:w="100" w:type="dxa"/>
              <w:bottom w:w="100" w:type="dxa"/>
              <w:right w:w="100" w:type="dxa"/>
            </w:tcMar>
          </w:tcPr>
          <w:p w14:paraId="546A7FA7"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5 “</w:t>
            </w:r>
            <w:r w:rsidRPr="00021576">
              <w:rPr>
                <w:rFonts w:ascii="Arial" w:eastAsia="Arial" w:hAnsi="Arial" w:cs="Arial"/>
                <w:i/>
                <w:iCs/>
                <w:sz w:val="22"/>
                <w:szCs w:val="22"/>
              </w:rPr>
              <w:t>Root Cause?</w:t>
            </w:r>
            <w:r w:rsidRPr="00021576">
              <w:rPr>
                <w:rFonts w:ascii="Arial" w:eastAsia="Arial" w:hAnsi="Arial" w:cs="Arial"/>
                <w:sz w:val="22"/>
                <w:szCs w:val="22"/>
              </w:rPr>
              <w:t>”</w:t>
            </w:r>
          </w:p>
        </w:tc>
        <w:tc>
          <w:tcPr>
            <w:tcW w:w="6945" w:type="dxa"/>
            <w:tcMar>
              <w:top w:w="100" w:type="dxa"/>
              <w:left w:w="100" w:type="dxa"/>
              <w:bottom w:w="100" w:type="dxa"/>
              <w:right w:w="100" w:type="dxa"/>
            </w:tcMar>
          </w:tcPr>
          <w:p w14:paraId="14B01F75" w14:textId="77777777" w:rsidR="008D346B" w:rsidRPr="00021576" w:rsidRDefault="005825D5" w:rsidP="00021576">
            <w:pPr>
              <w:widowControl w:val="0"/>
              <w:pBdr>
                <w:top w:val="nil"/>
                <w:left w:val="nil"/>
                <w:bottom w:val="nil"/>
                <w:right w:val="nil"/>
                <w:between w:val="nil"/>
              </w:pBdr>
              <w:rPr>
                <w:rFonts w:ascii="Arial" w:eastAsia="Arial" w:hAnsi="Arial" w:cs="Arial"/>
                <w:sz w:val="22"/>
                <w:szCs w:val="22"/>
              </w:rPr>
            </w:pPr>
            <w:r w:rsidRPr="00021576">
              <w:rPr>
                <w:rFonts w:ascii="Arial" w:eastAsia="Arial" w:hAnsi="Arial" w:cs="Arial"/>
                <w:sz w:val="22"/>
                <w:szCs w:val="22"/>
              </w:rPr>
              <w:t>The total breakdown of clinical governance as well as accountability</w:t>
            </w:r>
          </w:p>
        </w:tc>
      </w:tr>
    </w:tbl>
    <w:p w14:paraId="5B349129" w14:textId="77777777" w:rsidR="008D346B" w:rsidRPr="00021576" w:rsidRDefault="005825D5" w:rsidP="00021576">
      <w:pPr>
        <w:jc w:val="center"/>
        <w:rPr>
          <w:rFonts w:ascii="Arial" w:eastAsia="Arial" w:hAnsi="Arial" w:cs="Arial"/>
          <w:b/>
          <w:bCs/>
          <w:sz w:val="22"/>
          <w:szCs w:val="22"/>
        </w:rPr>
      </w:pPr>
      <w:r w:rsidRPr="00021576">
        <w:rPr>
          <w:rFonts w:ascii="Arial" w:eastAsia="Arial" w:hAnsi="Arial" w:cs="Arial"/>
          <w:b/>
          <w:bCs/>
          <w:sz w:val="22"/>
          <w:szCs w:val="22"/>
        </w:rPr>
        <w:t>Table 1: The 5 Whys in the case of Bristol Royal Infirmary</w:t>
      </w:r>
    </w:p>
    <w:p w14:paraId="0AB1B8C6" w14:textId="77777777" w:rsidR="008D346B" w:rsidRPr="00021576" w:rsidRDefault="005825D5" w:rsidP="00021576">
      <w:pPr>
        <w:jc w:val="center"/>
        <w:rPr>
          <w:rFonts w:ascii="Arial" w:eastAsia="Arial" w:hAnsi="Arial" w:cs="Arial"/>
          <w:sz w:val="22"/>
          <w:szCs w:val="22"/>
        </w:rPr>
      </w:pPr>
      <w:r w:rsidRPr="00021576">
        <w:rPr>
          <w:rFonts w:ascii="Arial" w:eastAsia="Arial" w:hAnsi="Arial" w:cs="Arial"/>
          <w:sz w:val="22"/>
          <w:szCs w:val="22"/>
        </w:rPr>
        <w:t>(Source: Self-developed)</w:t>
      </w:r>
    </w:p>
    <w:p w14:paraId="5F0A4677" w14:textId="77777777" w:rsidR="008D346B" w:rsidRPr="00021576" w:rsidRDefault="005825D5" w:rsidP="00021576">
      <w:pPr>
        <w:rPr>
          <w:rFonts w:ascii="Arial" w:eastAsia="Arial" w:hAnsi="Arial" w:cs="Arial"/>
          <w:sz w:val="22"/>
          <w:szCs w:val="22"/>
        </w:rPr>
      </w:pPr>
      <w:r w:rsidRPr="00021576">
        <w:rPr>
          <w:rFonts w:ascii="Arial" w:eastAsia="Arial" w:hAnsi="Arial" w:cs="Arial"/>
          <w:sz w:val="22"/>
          <w:szCs w:val="22"/>
        </w:rPr>
        <w:t xml:space="preserve">The above table has highlighted five core reasons for the problem within the healthcare segment among infants. From the clinical perspective, a high rate of clinical complications occurs during </w:t>
      </w:r>
      <w:r w:rsidR="00865619" w:rsidRPr="00021576">
        <w:rPr>
          <w:rFonts w:ascii="Arial" w:eastAsia="Arial" w:hAnsi="Arial" w:cs="Arial"/>
          <w:sz w:val="22"/>
          <w:szCs w:val="22"/>
        </w:rPr>
        <w:t>paediatric</w:t>
      </w:r>
      <w:r w:rsidRPr="00021576">
        <w:rPr>
          <w:rFonts w:ascii="Arial" w:eastAsia="Arial" w:hAnsi="Arial" w:cs="Arial"/>
          <w:sz w:val="22"/>
          <w:szCs w:val="22"/>
        </w:rPr>
        <w:t xml:space="preserve"> cardiac operations at Bristol Royal Infirmary. On the other hand, the surgical teams lacked specialised training for complex infant </w:t>
      </w:r>
      <w:r w:rsidR="007337F1" w:rsidRPr="00021576">
        <w:rPr>
          <w:rFonts w:ascii="Arial" w:eastAsia="Arial" w:hAnsi="Arial" w:cs="Arial"/>
          <w:sz w:val="22"/>
          <w:szCs w:val="22"/>
        </w:rPr>
        <w:t>procedures that</w:t>
      </w:r>
      <w:r w:rsidRPr="00021576">
        <w:rPr>
          <w:rFonts w:ascii="Arial" w:eastAsia="Arial" w:hAnsi="Arial" w:cs="Arial"/>
          <w:sz w:val="22"/>
          <w:szCs w:val="22"/>
        </w:rPr>
        <w:t xml:space="preserve"> influence the surgical failure. Staff shortages in UK healthcare impact</w:t>
      </w:r>
      <w:r w:rsidR="007337F1" w:rsidRPr="00021576">
        <w:rPr>
          <w:rFonts w:ascii="Arial" w:eastAsia="Arial" w:hAnsi="Arial" w:cs="Arial"/>
          <w:sz w:val="22"/>
          <w:szCs w:val="22"/>
        </w:rPr>
        <w:t>s</w:t>
      </w:r>
      <w:r w:rsidRPr="00021576">
        <w:rPr>
          <w:rFonts w:ascii="Arial" w:eastAsia="Arial" w:hAnsi="Arial" w:cs="Arial"/>
          <w:sz w:val="22"/>
          <w:szCs w:val="22"/>
        </w:rPr>
        <w:t xml:space="preserve"> patient treatment at the current healthcare environment (Theguardian, 2026). The previous case of Bristol Royal Infirmary has highlighted the inconsistency of regular audits. Chen et al. (2024) argue that simple linear chains oversimplify complex, dynamic environments of healthcare. Thus, medical failures result from complex, and non-linear network interactions despite a single chain of events.</w:t>
      </w:r>
    </w:p>
    <w:p w14:paraId="283E2876" w14:textId="77777777" w:rsidR="008D346B" w:rsidRPr="00021576" w:rsidRDefault="005825D5" w:rsidP="00021576">
      <w:pPr>
        <w:pStyle w:val="Heading3"/>
      </w:pPr>
      <w:bookmarkStart w:id="11" w:name="_ya4nwfa8nt2i" w:colFirst="0" w:colLast="0"/>
      <w:bookmarkStart w:id="12" w:name="_Toc236854720"/>
      <w:bookmarkEnd w:id="11"/>
      <w:r w:rsidRPr="00021576">
        <w:t>2.</w:t>
      </w:r>
      <w:r w:rsidR="00FB4CAC" w:rsidRPr="00021576">
        <w:t>2</w:t>
      </w:r>
      <w:r w:rsidRPr="00021576">
        <w:t>.4 SWOT analysis</w:t>
      </w:r>
      <w:bookmarkEnd w:id="12"/>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D346B" w:rsidRPr="00021576" w14:paraId="7B703A56" w14:textId="77777777">
        <w:tc>
          <w:tcPr>
            <w:tcW w:w="4680" w:type="dxa"/>
            <w:tcMar>
              <w:top w:w="100" w:type="dxa"/>
              <w:left w:w="100" w:type="dxa"/>
              <w:bottom w:w="100" w:type="dxa"/>
              <w:right w:w="100" w:type="dxa"/>
            </w:tcMar>
          </w:tcPr>
          <w:p w14:paraId="73A2F98D" w14:textId="77777777" w:rsidR="008D346B" w:rsidRPr="00021576" w:rsidRDefault="005825D5" w:rsidP="00021576">
            <w:pPr>
              <w:widowControl w:val="0"/>
              <w:pBdr>
                <w:top w:val="nil"/>
                <w:left w:val="nil"/>
                <w:bottom w:val="nil"/>
                <w:right w:val="nil"/>
                <w:between w:val="nil"/>
              </w:pBdr>
              <w:rPr>
                <w:rFonts w:ascii="Arial" w:eastAsia="Arial" w:hAnsi="Arial" w:cs="Arial"/>
                <w:b/>
                <w:bCs/>
                <w:sz w:val="22"/>
                <w:szCs w:val="22"/>
              </w:rPr>
            </w:pPr>
            <w:r w:rsidRPr="00021576">
              <w:rPr>
                <w:rFonts w:ascii="Arial" w:eastAsia="Arial" w:hAnsi="Arial" w:cs="Arial"/>
                <w:b/>
                <w:bCs/>
                <w:sz w:val="22"/>
                <w:szCs w:val="22"/>
              </w:rPr>
              <w:t xml:space="preserve">Strengths </w:t>
            </w:r>
          </w:p>
          <w:p w14:paraId="4E4C8963" w14:textId="32001E44" w:rsidR="008D346B" w:rsidRPr="00021576" w:rsidRDefault="00033EDB" w:rsidP="00021576">
            <w:pPr>
              <w:widowControl w:val="0"/>
              <w:numPr>
                <w:ilvl w:val="0"/>
                <w:numId w:val="3"/>
              </w:numPr>
              <w:pBdr>
                <w:top w:val="nil"/>
                <w:left w:val="nil"/>
                <w:bottom w:val="nil"/>
                <w:right w:val="nil"/>
                <w:between w:val="nil"/>
              </w:pBdr>
              <w:rPr>
                <w:rFonts w:ascii="Arial" w:eastAsia="Arial" w:hAnsi="Arial" w:cs="Arial"/>
                <w:sz w:val="22"/>
                <w:szCs w:val="22"/>
              </w:rPr>
            </w:pPr>
            <w:r w:rsidRPr="00033EDB">
              <w:rPr>
                <w:rFonts w:ascii="Arial" w:eastAsia="Arial" w:hAnsi="Arial" w:cs="Arial"/>
                <w:b/>
                <w:bCs/>
                <w:i/>
                <w:iCs/>
                <w:sz w:val="22"/>
                <w:szCs w:val="22"/>
              </w:rPr>
              <w:t>Dedicated frontline staff</w:t>
            </w:r>
            <w:r>
              <w:rPr>
                <w:rFonts w:ascii="Arial" w:eastAsia="Arial" w:hAnsi="Arial" w:cs="Arial"/>
                <w:sz w:val="22"/>
                <w:szCs w:val="22"/>
              </w:rPr>
              <w:t xml:space="preserve">: </w:t>
            </w:r>
            <w:r w:rsidR="005825D5" w:rsidRPr="00021576">
              <w:rPr>
                <w:rFonts w:ascii="Arial" w:eastAsia="Arial" w:hAnsi="Arial" w:cs="Arial"/>
                <w:sz w:val="22"/>
                <w:szCs w:val="22"/>
              </w:rPr>
              <w:t>The key strength of Bristol Royal Infirmary is its dedicated frontline surgical and nursing staff, and the centralized tertiary care facility system (NHS, 2026).</w:t>
            </w:r>
          </w:p>
        </w:tc>
        <w:tc>
          <w:tcPr>
            <w:tcW w:w="4680" w:type="dxa"/>
            <w:tcMar>
              <w:top w:w="100" w:type="dxa"/>
              <w:left w:w="100" w:type="dxa"/>
              <w:bottom w:w="100" w:type="dxa"/>
              <w:right w:w="100" w:type="dxa"/>
            </w:tcMar>
          </w:tcPr>
          <w:p w14:paraId="693F7BD8" w14:textId="77777777" w:rsidR="008D346B" w:rsidRPr="00021576" w:rsidRDefault="005825D5" w:rsidP="00021576">
            <w:pPr>
              <w:widowControl w:val="0"/>
              <w:rPr>
                <w:rFonts w:ascii="Arial" w:eastAsia="Arial" w:hAnsi="Arial" w:cs="Arial"/>
                <w:b/>
                <w:bCs/>
                <w:sz w:val="22"/>
                <w:szCs w:val="22"/>
              </w:rPr>
            </w:pPr>
            <w:r w:rsidRPr="00021576">
              <w:rPr>
                <w:rFonts w:ascii="Arial" w:eastAsia="Arial" w:hAnsi="Arial" w:cs="Arial"/>
                <w:b/>
                <w:bCs/>
                <w:sz w:val="22"/>
                <w:szCs w:val="22"/>
              </w:rPr>
              <w:t xml:space="preserve">Weaknesses </w:t>
            </w:r>
          </w:p>
          <w:p w14:paraId="437F085A" w14:textId="4B05875E" w:rsidR="008D346B" w:rsidRPr="00021576" w:rsidRDefault="00800AA1" w:rsidP="00021576">
            <w:pPr>
              <w:widowControl w:val="0"/>
              <w:numPr>
                <w:ilvl w:val="0"/>
                <w:numId w:val="1"/>
              </w:numPr>
              <w:rPr>
                <w:rFonts w:ascii="Arial" w:eastAsia="Arial" w:hAnsi="Arial" w:cs="Arial"/>
                <w:sz w:val="22"/>
                <w:szCs w:val="22"/>
              </w:rPr>
            </w:pPr>
            <w:r w:rsidRPr="00800AA1">
              <w:rPr>
                <w:rFonts w:ascii="Arial" w:eastAsia="Arial" w:hAnsi="Arial" w:cs="Arial"/>
                <w:b/>
                <w:bCs/>
                <w:i/>
                <w:iCs/>
                <w:sz w:val="22"/>
                <w:szCs w:val="22"/>
              </w:rPr>
              <w:t>Deficiency in clinical governance</w:t>
            </w:r>
            <w:r w:rsidR="00B15DBE">
              <w:rPr>
                <w:rFonts w:ascii="Arial" w:eastAsia="Arial" w:hAnsi="Arial" w:cs="Arial"/>
                <w:b/>
                <w:bCs/>
                <w:i/>
                <w:iCs/>
                <w:sz w:val="22"/>
                <w:szCs w:val="22"/>
              </w:rPr>
              <w:t>, poor familial communication, weak leadership accountability, suppressing audit data</w:t>
            </w:r>
            <w:r w:rsidRPr="00800AA1">
              <w:rPr>
                <w:rFonts w:ascii="Arial" w:eastAsia="Arial" w:hAnsi="Arial" w:cs="Arial"/>
                <w:b/>
                <w:bCs/>
                <w:i/>
                <w:iCs/>
                <w:sz w:val="22"/>
                <w:szCs w:val="22"/>
              </w:rPr>
              <w:t>:</w:t>
            </w:r>
            <w:r>
              <w:rPr>
                <w:rFonts w:ascii="Arial" w:eastAsia="Arial" w:hAnsi="Arial" w:cs="Arial"/>
                <w:sz w:val="22"/>
                <w:szCs w:val="22"/>
              </w:rPr>
              <w:t xml:space="preserve"> </w:t>
            </w:r>
            <w:r w:rsidR="005825D5" w:rsidRPr="00021576">
              <w:rPr>
                <w:rFonts w:ascii="Arial" w:eastAsia="Arial" w:hAnsi="Arial" w:cs="Arial"/>
                <w:sz w:val="22"/>
                <w:szCs w:val="22"/>
              </w:rPr>
              <w:t>The weak points at Bristol Royal Infirmary can be considered its deficient clinical governance, poor communication with families, weak leadership accountability and suppressed audit data.</w:t>
            </w:r>
          </w:p>
        </w:tc>
      </w:tr>
      <w:tr w:rsidR="008D346B" w:rsidRPr="00021576" w14:paraId="0C8A737C" w14:textId="77777777">
        <w:trPr>
          <w:trHeight w:val="2896"/>
        </w:trPr>
        <w:tc>
          <w:tcPr>
            <w:tcW w:w="4680" w:type="dxa"/>
            <w:tcMar>
              <w:top w:w="100" w:type="dxa"/>
              <w:left w:w="100" w:type="dxa"/>
              <w:bottom w:w="100" w:type="dxa"/>
              <w:right w:w="100" w:type="dxa"/>
            </w:tcMar>
          </w:tcPr>
          <w:p w14:paraId="1B7AE6B0" w14:textId="77777777" w:rsidR="008D346B" w:rsidRPr="00021576" w:rsidRDefault="00865619" w:rsidP="00021576">
            <w:pPr>
              <w:widowControl w:val="0"/>
              <w:rPr>
                <w:rFonts w:ascii="Arial" w:eastAsia="Arial" w:hAnsi="Arial" w:cs="Arial"/>
                <w:b/>
                <w:bCs/>
                <w:sz w:val="22"/>
                <w:szCs w:val="22"/>
              </w:rPr>
            </w:pPr>
            <w:r w:rsidRPr="00021576">
              <w:rPr>
                <w:rFonts w:ascii="Arial" w:eastAsia="Arial" w:hAnsi="Arial" w:cs="Arial"/>
                <w:b/>
                <w:bCs/>
                <w:sz w:val="22"/>
                <w:szCs w:val="22"/>
              </w:rPr>
              <w:lastRenderedPageBreak/>
              <w:t>Opportunities</w:t>
            </w:r>
          </w:p>
          <w:p w14:paraId="54F0A1B6" w14:textId="253C816B" w:rsidR="008D346B" w:rsidRPr="00021576" w:rsidRDefault="00F90E35" w:rsidP="00021576">
            <w:pPr>
              <w:widowControl w:val="0"/>
              <w:numPr>
                <w:ilvl w:val="0"/>
                <w:numId w:val="2"/>
              </w:numPr>
              <w:rPr>
                <w:rFonts w:ascii="Arial" w:eastAsia="Arial" w:hAnsi="Arial" w:cs="Arial"/>
                <w:sz w:val="22"/>
                <w:szCs w:val="22"/>
              </w:rPr>
            </w:pPr>
            <w:r w:rsidRPr="00F90E35">
              <w:rPr>
                <w:rFonts w:ascii="Arial" w:eastAsia="Arial" w:hAnsi="Arial" w:cs="Arial"/>
                <w:b/>
                <w:bCs/>
                <w:i/>
                <w:iCs/>
                <w:sz w:val="22"/>
                <w:szCs w:val="22"/>
              </w:rPr>
              <w:t>Implementation of standardised  national clinical audits</w:t>
            </w:r>
            <w:r>
              <w:rPr>
                <w:rFonts w:ascii="Arial" w:eastAsia="Arial" w:hAnsi="Arial" w:cs="Arial"/>
                <w:sz w:val="22"/>
                <w:szCs w:val="22"/>
              </w:rPr>
              <w:t xml:space="preserve"> </w:t>
            </w:r>
            <w:r w:rsidRPr="00F90E35">
              <w:rPr>
                <w:rFonts w:ascii="Arial" w:eastAsia="Arial" w:hAnsi="Arial" w:cs="Arial"/>
                <w:b/>
                <w:bCs/>
                <w:i/>
                <w:iCs/>
                <w:sz w:val="22"/>
                <w:szCs w:val="22"/>
              </w:rPr>
              <w:t>associated with adoption of transformational leadership model:</w:t>
            </w:r>
            <w:r>
              <w:rPr>
                <w:rFonts w:ascii="Arial" w:eastAsia="Arial" w:hAnsi="Arial" w:cs="Arial"/>
                <w:sz w:val="22"/>
                <w:szCs w:val="22"/>
              </w:rPr>
              <w:t xml:space="preserve"> </w:t>
            </w:r>
            <w:r w:rsidR="005825D5" w:rsidRPr="00021576">
              <w:rPr>
                <w:rFonts w:ascii="Arial" w:eastAsia="Arial" w:hAnsi="Arial" w:cs="Arial"/>
                <w:sz w:val="22"/>
                <w:szCs w:val="22"/>
              </w:rPr>
              <w:t>Bristol Royal Infirmary can implement standardised national clinical audits, as well as adoption of transformational leadership models in order to integrate Lean tools for workflow optimisation.</w:t>
            </w:r>
          </w:p>
        </w:tc>
        <w:tc>
          <w:tcPr>
            <w:tcW w:w="4680" w:type="dxa"/>
            <w:tcMar>
              <w:top w:w="100" w:type="dxa"/>
              <w:left w:w="100" w:type="dxa"/>
              <w:bottom w:w="100" w:type="dxa"/>
              <w:right w:w="100" w:type="dxa"/>
            </w:tcMar>
          </w:tcPr>
          <w:p w14:paraId="2E78B0AA" w14:textId="77777777" w:rsidR="008D346B" w:rsidRPr="00021576" w:rsidRDefault="005825D5" w:rsidP="00021576">
            <w:pPr>
              <w:widowControl w:val="0"/>
              <w:pBdr>
                <w:top w:val="nil"/>
                <w:left w:val="nil"/>
                <w:bottom w:val="nil"/>
                <w:right w:val="nil"/>
                <w:between w:val="nil"/>
              </w:pBdr>
              <w:rPr>
                <w:rFonts w:ascii="Arial" w:eastAsia="Arial" w:hAnsi="Arial" w:cs="Arial"/>
                <w:b/>
                <w:bCs/>
                <w:sz w:val="22"/>
                <w:szCs w:val="22"/>
              </w:rPr>
            </w:pPr>
            <w:r w:rsidRPr="00021576">
              <w:rPr>
                <w:rFonts w:ascii="Arial" w:eastAsia="Arial" w:hAnsi="Arial" w:cs="Arial"/>
                <w:b/>
                <w:bCs/>
                <w:sz w:val="22"/>
                <w:szCs w:val="22"/>
              </w:rPr>
              <w:t xml:space="preserve">Threats </w:t>
            </w:r>
          </w:p>
          <w:p w14:paraId="671E32A9" w14:textId="757B6932" w:rsidR="008D346B" w:rsidRPr="00021576" w:rsidRDefault="000E1757" w:rsidP="00021576">
            <w:pPr>
              <w:widowControl w:val="0"/>
              <w:numPr>
                <w:ilvl w:val="0"/>
                <w:numId w:val="4"/>
              </w:numPr>
              <w:pBdr>
                <w:top w:val="nil"/>
                <w:left w:val="nil"/>
                <w:bottom w:val="nil"/>
                <w:right w:val="nil"/>
                <w:between w:val="nil"/>
              </w:pBdr>
              <w:rPr>
                <w:rFonts w:ascii="Arial" w:eastAsia="Arial" w:hAnsi="Arial" w:cs="Arial"/>
                <w:sz w:val="22"/>
                <w:szCs w:val="22"/>
              </w:rPr>
            </w:pPr>
            <w:r w:rsidRPr="000E1757">
              <w:rPr>
                <w:rFonts w:ascii="Arial" w:eastAsia="Arial" w:hAnsi="Arial" w:cs="Arial"/>
                <w:b/>
                <w:bCs/>
                <w:i/>
                <w:iCs/>
                <w:sz w:val="22"/>
                <w:szCs w:val="22"/>
              </w:rPr>
              <w:t>Erosion of suppressed audit data</w:t>
            </w:r>
            <w:r>
              <w:rPr>
                <w:rFonts w:ascii="Arial" w:eastAsia="Arial" w:hAnsi="Arial" w:cs="Arial"/>
                <w:sz w:val="22"/>
                <w:szCs w:val="22"/>
              </w:rPr>
              <w:t xml:space="preserve">: </w:t>
            </w:r>
            <w:r w:rsidR="005825D5" w:rsidRPr="00021576">
              <w:rPr>
                <w:rFonts w:ascii="Arial" w:eastAsia="Arial" w:hAnsi="Arial" w:cs="Arial"/>
                <w:sz w:val="22"/>
                <w:szCs w:val="22"/>
              </w:rPr>
              <w:t>Severe erosion of suppressed audit data under the NHS, regulatory sanctions, and staff burnout have created a threat to structural realignment.</w:t>
            </w:r>
          </w:p>
        </w:tc>
      </w:tr>
    </w:tbl>
    <w:p w14:paraId="367D19B7" w14:textId="77777777" w:rsidR="008D346B" w:rsidRPr="00021576" w:rsidRDefault="005825D5" w:rsidP="00021576">
      <w:pPr>
        <w:jc w:val="center"/>
        <w:rPr>
          <w:rFonts w:ascii="Arial" w:eastAsia="Arial" w:hAnsi="Arial" w:cs="Arial"/>
          <w:b/>
          <w:bCs/>
          <w:sz w:val="22"/>
          <w:szCs w:val="22"/>
        </w:rPr>
      </w:pPr>
      <w:r w:rsidRPr="00021576">
        <w:rPr>
          <w:rFonts w:ascii="Arial" w:eastAsia="Arial" w:hAnsi="Arial" w:cs="Arial"/>
          <w:b/>
          <w:bCs/>
          <w:sz w:val="22"/>
          <w:szCs w:val="22"/>
        </w:rPr>
        <w:t>Table 2: SWOT of Bristol Royal Infirmary</w:t>
      </w:r>
    </w:p>
    <w:p w14:paraId="785047C3" w14:textId="77777777" w:rsidR="008D346B" w:rsidRPr="00021576" w:rsidRDefault="005825D5" w:rsidP="00021576">
      <w:pPr>
        <w:jc w:val="center"/>
        <w:rPr>
          <w:rFonts w:ascii="Arial" w:eastAsia="Arial" w:hAnsi="Arial" w:cs="Arial"/>
          <w:sz w:val="22"/>
          <w:szCs w:val="22"/>
        </w:rPr>
      </w:pPr>
      <w:r w:rsidRPr="00021576">
        <w:rPr>
          <w:rFonts w:ascii="Arial" w:eastAsia="Arial" w:hAnsi="Arial" w:cs="Arial"/>
          <w:sz w:val="22"/>
          <w:szCs w:val="22"/>
        </w:rPr>
        <w:t>(Source: Self-developed)</w:t>
      </w:r>
    </w:p>
    <w:p w14:paraId="3ADDEC37" w14:textId="77777777" w:rsidR="008D346B" w:rsidRPr="00021576" w:rsidRDefault="005825D5" w:rsidP="00021576">
      <w:pPr>
        <w:rPr>
          <w:rFonts w:ascii="Arial" w:eastAsia="Arial" w:hAnsi="Arial" w:cs="Arial"/>
          <w:sz w:val="22"/>
          <w:szCs w:val="22"/>
        </w:rPr>
      </w:pPr>
      <w:r w:rsidRPr="00021576">
        <w:rPr>
          <w:rFonts w:ascii="Arial" w:eastAsia="Arial" w:hAnsi="Arial" w:cs="Arial"/>
          <w:sz w:val="22"/>
          <w:szCs w:val="22"/>
        </w:rPr>
        <w:t xml:space="preserve">The above table has highlighted the strengths, weaknesses, opportunities and threats at Bristol Royal Infirmary. The failure of the surgical process among infants has indicated ineffective performance in the operating market. However, Bristol Royal Infirmary can implement standardised national clinical audits to recognise the main actor behind risks and invest in the segment accordingly. Choudhry and Grunberg (2024) have stated the need for increased skill and expertise of the multidisciplinary team. Furthermore, the healthcare institutions in the UK can invest of international hiring and attract a global talent pool. On the other hand, the adoption of transformational leadership models can be integrated with Lean tools for workflow optimisation. As per Sriharan </w:t>
      </w:r>
      <w:r w:rsidRPr="00021576">
        <w:rPr>
          <w:rFonts w:ascii="Arial" w:eastAsia="Arial" w:hAnsi="Arial" w:cs="Arial"/>
          <w:i/>
          <w:iCs/>
          <w:sz w:val="22"/>
          <w:szCs w:val="22"/>
        </w:rPr>
        <w:t xml:space="preserve">et al. </w:t>
      </w:r>
      <w:r w:rsidRPr="00021576">
        <w:rPr>
          <w:rFonts w:ascii="Arial" w:eastAsia="Arial" w:hAnsi="Arial" w:cs="Arial"/>
          <w:sz w:val="22"/>
          <w:szCs w:val="22"/>
        </w:rPr>
        <w:t xml:space="preserve">(2024), healthcare practices are improved through AI integration and transformational leadership, using a huge dataset for decision making. Therefore, the clinical governance at Bristol Royal Infirmary can be improved through investing in emerging tools in a systemic way. </w:t>
      </w:r>
    </w:p>
    <w:p w14:paraId="6EBBD4DE" w14:textId="77777777" w:rsidR="00EE2468" w:rsidRPr="00021576" w:rsidRDefault="00EE2468" w:rsidP="00021576">
      <w:pPr>
        <w:pStyle w:val="Heading2"/>
      </w:pPr>
      <w:bookmarkStart w:id="13" w:name="_Toc236854721"/>
      <w:r w:rsidRPr="00021576">
        <w:t>3. Recommendation</w:t>
      </w:r>
      <w:bookmarkEnd w:id="13"/>
    </w:p>
    <w:p w14:paraId="36E22F27" w14:textId="77777777" w:rsidR="00EE2468" w:rsidRPr="00021576" w:rsidRDefault="00EE2468" w:rsidP="00021576">
      <w:pPr>
        <w:pStyle w:val="Heading3"/>
      </w:pPr>
      <w:bookmarkStart w:id="14" w:name="_Toc236854722"/>
      <w:r w:rsidRPr="00021576">
        <w:t>3.1 Recommended strategy based on root cause</w:t>
      </w:r>
      <w:bookmarkEnd w:id="14"/>
    </w:p>
    <w:p w14:paraId="1E37B13A"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The findings from the Bristol Royal Infirmary enquiry demonstrate that the failures were systemic rather than individual, involving a lack of effective leadership, poor clinical governance, inadequate monitoring, limited organisational learning and weak communication. Sustainable patient safety depends on improving leadership accountability, a transparent reporting system, continuous quality improvement and multidisciplinary collaboration (NHS England, 2023). Similarly, WHO (2024) recommends learning health systems that identify risk early and implement continuous improvement cycles for reducing preventable harm. Thus, Bristol Royal should adopt </w:t>
      </w:r>
      <w:r w:rsidRPr="00021576">
        <w:rPr>
          <w:rFonts w:ascii="Arial" w:hAnsi="Arial" w:cs="Arial"/>
          <w:sz w:val="22"/>
          <w:szCs w:val="22"/>
        </w:rPr>
        <w:lastRenderedPageBreak/>
        <w:t xml:space="preserve">an integrated quality improvement strategy that combines workforce development, governance reform, evidence-based improvement methodology and continuous monitoring. </w:t>
      </w:r>
    </w:p>
    <w:tbl>
      <w:tblPr>
        <w:tblW w:w="5000" w:type="pct"/>
        <w:tblBorders>
          <w:top w:val="nil"/>
          <w:left w:val="nil"/>
          <w:bottom w:val="nil"/>
          <w:right w:val="nil"/>
          <w:insideH w:val="nil"/>
          <w:insideV w:val="nil"/>
        </w:tblBorders>
        <w:tblLook w:val="0600" w:firstRow="0" w:lastRow="0" w:firstColumn="0" w:lastColumn="0" w:noHBand="1" w:noVBand="1"/>
      </w:tblPr>
      <w:tblGrid>
        <w:gridCol w:w="2611"/>
        <w:gridCol w:w="3620"/>
        <w:gridCol w:w="3117"/>
      </w:tblGrid>
      <w:tr w:rsidR="00EE2468" w:rsidRPr="00021576" w14:paraId="3781D9EB" w14:textId="77777777" w:rsidTr="007337F1">
        <w:trPr>
          <w:trHeight w:val="375"/>
        </w:trPr>
        <w:tc>
          <w:tcPr>
            <w:tcW w:w="1397"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996D18A" w14:textId="77777777" w:rsidR="00EE2468" w:rsidRPr="00021576" w:rsidRDefault="00EE2468" w:rsidP="00021576">
            <w:pPr>
              <w:rPr>
                <w:rFonts w:ascii="Arial" w:hAnsi="Arial" w:cs="Arial"/>
                <w:b/>
                <w:bCs/>
                <w:i/>
                <w:iCs/>
                <w:sz w:val="22"/>
                <w:szCs w:val="22"/>
              </w:rPr>
            </w:pPr>
            <w:r w:rsidRPr="00021576">
              <w:rPr>
                <w:rFonts w:ascii="Arial" w:hAnsi="Arial" w:cs="Arial"/>
                <w:b/>
                <w:bCs/>
                <w:i/>
                <w:iCs/>
                <w:sz w:val="22"/>
                <w:szCs w:val="22"/>
              </w:rPr>
              <w:t xml:space="preserve"> Root cause </w:t>
            </w:r>
          </w:p>
        </w:tc>
        <w:tc>
          <w:tcPr>
            <w:tcW w:w="1936"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9F18250" w14:textId="77777777" w:rsidR="00EE2468" w:rsidRPr="00021576" w:rsidRDefault="00EE2468" w:rsidP="00021576">
            <w:pPr>
              <w:rPr>
                <w:rFonts w:ascii="Arial" w:hAnsi="Arial" w:cs="Arial"/>
                <w:b/>
                <w:bCs/>
                <w:i/>
                <w:iCs/>
                <w:sz w:val="22"/>
                <w:szCs w:val="22"/>
              </w:rPr>
            </w:pPr>
            <w:r w:rsidRPr="00021576">
              <w:rPr>
                <w:rFonts w:ascii="Arial" w:hAnsi="Arial" w:cs="Arial"/>
                <w:b/>
                <w:bCs/>
                <w:i/>
                <w:iCs/>
                <w:sz w:val="22"/>
                <w:szCs w:val="22"/>
              </w:rPr>
              <w:t xml:space="preserve"> Recommended strategy</w:t>
            </w:r>
          </w:p>
        </w:tc>
        <w:tc>
          <w:tcPr>
            <w:tcW w:w="1667"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120EF1D" w14:textId="77777777" w:rsidR="00EE2468" w:rsidRPr="00021576" w:rsidRDefault="00EE2468" w:rsidP="00021576">
            <w:pPr>
              <w:rPr>
                <w:rFonts w:ascii="Arial" w:hAnsi="Arial" w:cs="Arial"/>
                <w:b/>
                <w:bCs/>
                <w:i/>
                <w:iCs/>
                <w:sz w:val="22"/>
                <w:szCs w:val="22"/>
              </w:rPr>
            </w:pPr>
            <w:r w:rsidRPr="00021576">
              <w:rPr>
                <w:rFonts w:ascii="Arial" w:hAnsi="Arial" w:cs="Arial"/>
                <w:b/>
                <w:bCs/>
                <w:i/>
                <w:iCs/>
                <w:sz w:val="22"/>
                <w:szCs w:val="22"/>
              </w:rPr>
              <w:t xml:space="preserve"> Expected outcome</w:t>
            </w:r>
          </w:p>
        </w:tc>
      </w:tr>
      <w:tr w:rsidR="00EE2468" w:rsidRPr="00021576" w14:paraId="193C600F" w14:textId="77777777" w:rsidTr="007337F1">
        <w:trPr>
          <w:trHeight w:val="375"/>
        </w:trPr>
        <w:tc>
          <w:tcPr>
            <w:tcW w:w="139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B91D08F"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Weak clinical governance</w:t>
            </w:r>
          </w:p>
        </w:tc>
        <w:tc>
          <w:tcPr>
            <w:tcW w:w="1936" w:type="pct"/>
            <w:tcBorders>
              <w:top w:val="nil"/>
              <w:left w:val="nil"/>
              <w:bottom w:val="single" w:sz="5" w:space="0" w:color="000000"/>
              <w:right w:val="single" w:sz="5" w:space="0" w:color="000000"/>
            </w:tcBorders>
            <w:tcMar>
              <w:top w:w="0" w:type="dxa"/>
              <w:left w:w="100" w:type="dxa"/>
              <w:bottom w:w="0" w:type="dxa"/>
              <w:right w:w="100" w:type="dxa"/>
            </w:tcMar>
          </w:tcPr>
          <w:p w14:paraId="73FABCA9"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Establishing a stronger governance committee with regular clinical audit</w:t>
            </w:r>
          </w:p>
        </w:tc>
        <w:tc>
          <w:tcPr>
            <w:tcW w:w="1667" w:type="pct"/>
            <w:tcBorders>
              <w:top w:val="nil"/>
              <w:left w:val="nil"/>
              <w:bottom w:val="single" w:sz="5" w:space="0" w:color="000000"/>
              <w:right w:val="single" w:sz="5" w:space="0" w:color="000000"/>
            </w:tcBorders>
            <w:tcMar>
              <w:top w:w="0" w:type="dxa"/>
              <w:left w:w="100" w:type="dxa"/>
              <w:bottom w:w="0" w:type="dxa"/>
              <w:right w:w="100" w:type="dxa"/>
            </w:tcMar>
          </w:tcPr>
          <w:p w14:paraId="7524A0D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Improving regulatory compliance and accountabilities</w:t>
            </w:r>
          </w:p>
        </w:tc>
      </w:tr>
      <w:tr w:rsidR="00EE2468" w:rsidRPr="00021576" w14:paraId="5A8CD343" w14:textId="77777777" w:rsidTr="007337F1">
        <w:trPr>
          <w:trHeight w:val="375"/>
        </w:trPr>
        <w:tc>
          <w:tcPr>
            <w:tcW w:w="139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C3DD938"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Limited specialist workforce</w:t>
            </w:r>
          </w:p>
        </w:tc>
        <w:tc>
          <w:tcPr>
            <w:tcW w:w="1936" w:type="pct"/>
            <w:tcBorders>
              <w:top w:val="nil"/>
              <w:left w:val="nil"/>
              <w:bottom w:val="single" w:sz="5" w:space="0" w:color="000000"/>
              <w:right w:val="single" w:sz="5" w:space="0" w:color="000000"/>
            </w:tcBorders>
            <w:tcMar>
              <w:top w:w="0" w:type="dxa"/>
              <w:left w:w="100" w:type="dxa"/>
              <w:bottom w:w="0" w:type="dxa"/>
              <w:right w:w="100" w:type="dxa"/>
            </w:tcMar>
          </w:tcPr>
          <w:p w14:paraId="2BC314E8"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Recruiting paediatric cardiac specialists and providing continuous professional development</w:t>
            </w:r>
          </w:p>
        </w:tc>
        <w:tc>
          <w:tcPr>
            <w:tcW w:w="1667" w:type="pct"/>
            <w:tcBorders>
              <w:top w:val="nil"/>
              <w:left w:val="nil"/>
              <w:bottom w:val="single" w:sz="5" w:space="0" w:color="000000"/>
              <w:right w:val="single" w:sz="5" w:space="0" w:color="000000"/>
            </w:tcBorders>
            <w:tcMar>
              <w:top w:w="0" w:type="dxa"/>
              <w:left w:w="100" w:type="dxa"/>
              <w:bottom w:w="0" w:type="dxa"/>
              <w:right w:w="100" w:type="dxa"/>
            </w:tcMar>
          </w:tcPr>
          <w:p w14:paraId="7605E0C5"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Reduced mortality and improved clinical competence</w:t>
            </w:r>
          </w:p>
        </w:tc>
      </w:tr>
      <w:tr w:rsidR="00EE2468" w:rsidRPr="00021576" w14:paraId="6BBE5B63" w14:textId="77777777" w:rsidTr="007337F1">
        <w:trPr>
          <w:trHeight w:val="375"/>
        </w:trPr>
        <w:tc>
          <w:tcPr>
            <w:tcW w:w="139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791882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Poor communication</w:t>
            </w:r>
          </w:p>
        </w:tc>
        <w:tc>
          <w:tcPr>
            <w:tcW w:w="1936" w:type="pct"/>
            <w:tcBorders>
              <w:top w:val="nil"/>
              <w:left w:val="nil"/>
              <w:bottom w:val="single" w:sz="5" w:space="0" w:color="000000"/>
              <w:right w:val="single" w:sz="5" w:space="0" w:color="000000"/>
            </w:tcBorders>
            <w:tcMar>
              <w:top w:w="0" w:type="dxa"/>
              <w:left w:w="100" w:type="dxa"/>
              <w:bottom w:w="0" w:type="dxa"/>
              <w:right w:w="100" w:type="dxa"/>
            </w:tcMar>
          </w:tcPr>
          <w:p w14:paraId="55223A8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Introducing structured multidisciplinary team meeting family engagement protocols</w:t>
            </w:r>
          </w:p>
        </w:tc>
        <w:tc>
          <w:tcPr>
            <w:tcW w:w="1667" w:type="pct"/>
            <w:tcBorders>
              <w:top w:val="nil"/>
              <w:left w:val="nil"/>
              <w:bottom w:val="single" w:sz="5" w:space="0" w:color="000000"/>
              <w:right w:val="single" w:sz="5" w:space="0" w:color="000000"/>
            </w:tcBorders>
            <w:tcMar>
              <w:top w:w="0" w:type="dxa"/>
              <w:left w:w="100" w:type="dxa"/>
              <w:bottom w:w="0" w:type="dxa"/>
              <w:right w:w="100" w:type="dxa"/>
            </w:tcMar>
          </w:tcPr>
          <w:p w14:paraId="1D2D3E5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Better patient-centred care and coordination</w:t>
            </w:r>
          </w:p>
        </w:tc>
      </w:tr>
      <w:tr w:rsidR="00EE2468" w:rsidRPr="00021576" w14:paraId="6BA73AA5" w14:textId="77777777" w:rsidTr="007337F1">
        <w:trPr>
          <w:trHeight w:val="375"/>
        </w:trPr>
        <w:tc>
          <w:tcPr>
            <w:tcW w:w="139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C4CA7F"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Weak leadership</w:t>
            </w:r>
          </w:p>
        </w:tc>
        <w:tc>
          <w:tcPr>
            <w:tcW w:w="1936" w:type="pct"/>
            <w:tcBorders>
              <w:top w:val="nil"/>
              <w:left w:val="nil"/>
              <w:bottom w:val="single" w:sz="5" w:space="0" w:color="000000"/>
              <w:right w:val="single" w:sz="5" w:space="0" w:color="000000"/>
            </w:tcBorders>
            <w:tcMar>
              <w:top w:w="0" w:type="dxa"/>
              <w:left w:w="100" w:type="dxa"/>
              <w:bottom w:w="0" w:type="dxa"/>
              <w:right w:w="100" w:type="dxa"/>
            </w:tcMar>
          </w:tcPr>
          <w:p w14:paraId="18992269"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Implementing transformational leadership training for managers and senior clinicians</w:t>
            </w:r>
          </w:p>
        </w:tc>
        <w:tc>
          <w:tcPr>
            <w:tcW w:w="1667" w:type="pct"/>
            <w:tcBorders>
              <w:top w:val="nil"/>
              <w:left w:val="nil"/>
              <w:bottom w:val="single" w:sz="5" w:space="0" w:color="000000"/>
              <w:right w:val="single" w:sz="5" w:space="0" w:color="000000"/>
            </w:tcBorders>
            <w:tcMar>
              <w:top w:w="0" w:type="dxa"/>
              <w:left w:w="100" w:type="dxa"/>
              <w:bottom w:w="0" w:type="dxa"/>
              <w:right w:w="100" w:type="dxa"/>
            </w:tcMar>
          </w:tcPr>
          <w:p w14:paraId="45C9D96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Stronger safety culture and staff engagement</w:t>
            </w:r>
          </w:p>
        </w:tc>
      </w:tr>
      <w:tr w:rsidR="00EE2468" w:rsidRPr="00021576" w14:paraId="79AED1B4" w14:textId="77777777" w:rsidTr="007337F1">
        <w:trPr>
          <w:trHeight w:val="375"/>
        </w:trPr>
        <w:tc>
          <w:tcPr>
            <w:tcW w:w="139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981C0D5"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Lack of adequate monitoring</w:t>
            </w:r>
          </w:p>
        </w:tc>
        <w:tc>
          <w:tcPr>
            <w:tcW w:w="1936" w:type="pct"/>
            <w:tcBorders>
              <w:top w:val="nil"/>
              <w:left w:val="nil"/>
              <w:bottom w:val="single" w:sz="5" w:space="0" w:color="000000"/>
              <w:right w:val="single" w:sz="5" w:space="0" w:color="000000"/>
            </w:tcBorders>
            <w:tcMar>
              <w:top w:w="0" w:type="dxa"/>
              <w:left w:w="100" w:type="dxa"/>
              <w:bottom w:w="0" w:type="dxa"/>
              <w:right w:w="100" w:type="dxa"/>
            </w:tcMar>
          </w:tcPr>
          <w:p w14:paraId="51CF6CA4"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Developing real-time performance dashboard using NHS quality indicator</w:t>
            </w:r>
          </w:p>
        </w:tc>
        <w:tc>
          <w:tcPr>
            <w:tcW w:w="1667" w:type="pct"/>
            <w:tcBorders>
              <w:top w:val="nil"/>
              <w:left w:val="nil"/>
              <w:bottom w:val="single" w:sz="5" w:space="0" w:color="000000"/>
              <w:right w:val="single" w:sz="5" w:space="0" w:color="000000"/>
            </w:tcBorders>
            <w:tcMar>
              <w:top w:w="0" w:type="dxa"/>
              <w:left w:w="100" w:type="dxa"/>
              <w:bottom w:w="0" w:type="dxa"/>
              <w:right w:w="100" w:type="dxa"/>
            </w:tcMar>
          </w:tcPr>
          <w:p w14:paraId="1D87B170"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Continuous improvement and early identification of clinical risk</w:t>
            </w:r>
          </w:p>
        </w:tc>
      </w:tr>
    </w:tbl>
    <w:p w14:paraId="42AFD330" w14:textId="77777777" w:rsidR="00EE2468" w:rsidRPr="00021576" w:rsidRDefault="00EE2468" w:rsidP="00021576">
      <w:pPr>
        <w:jc w:val="center"/>
        <w:rPr>
          <w:rFonts w:ascii="Arial" w:hAnsi="Arial" w:cs="Arial"/>
          <w:b/>
          <w:bCs/>
          <w:sz w:val="22"/>
          <w:szCs w:val="22"/>
        </w:rPr>
      </w:pPr>
      <w:r w:rsidRPr="00021576">
        <w:rPr>
          <w:rFonts w:ascii="Arial" w:hAnsi="Arial" w:cs="Arial"/>
          <w:b/>
          <w:bCs/>
          <w:sz w:val="22"/>
          <w:szCs w:val="22"/>
        </w:rPr>
        <w:t xml:space="preserve">Table 3: Recommended strategy based on root cause </w:t>
      </w:r>
    </w:p>
    <w:p w14:paraId="6E45A862" w14:textId="77777777" w:rsidR="00EE2468" w:rsidRPr="00021576" w:rsidRDefault="00EE2468" w:rsidP="00021576">
      <w:pPr>
        <w:jc w:val="center"/>
        <w:rPr>
          <w:rFonts w:ascii="Arial" w:hAnsi="Arial" w:cs="Arial"/>
          <w:sz w:val="22"/>
          <w:szCs w:val="22"/>
        </w:rPr>
      </w:pPr>
      <w:r w:rsidRPr="00021576">
        <w:rPr>
          <w:rFonts w:ascii="Arial" w:hAnsi="Arial" w:cs="Arial"/>
          <w:sz w:val="22"/>
          <w:szCs w:val="22"/>
        </w:rPr>
        <w:t>(Source: Self-created)</w:t>
      </w:r>
    </w:p>
    <w:p w14:paraId="0159B08A" w14:textId="77777777" w:rsidR="00EE2468" w:rsidRPr="00021576" w:rsidRDefault="00EE2468" w:rsidP="00021576">
      <w:pPr>
        <w:rPr>
          <w:rFonts w:ascii="Arial" w:hAnsi="Arial" w:cs="Arial"/>
          <w:sz w:val="22"/>
          <w:szCs w:val="22"/>
        </w:rPr>
      </w:pPr>
      <w:r w:rsidRPr="00021576">
        <w:rPr>
          <w:rFonts w:ascii="Arial" w:hAnsi="Arial" w:cs="Arial"/>
          <w:sz w:val="22"/>
          <w:szCs w:val="22"/>
        </w:rPr>
        <w:t>For example, Alder Hey Children's NHS Foundation Trust improved multidisciplinary governance and routine clinical audit that contributed to measurable improvement in patient safety reporting and pediatric surgical outcome after implementing quality improvement program (NHS England, 2023). Similar governance reform will enable Bristol Royal to rebuild public confidence, highly preventing the recurrence of avoidable clinical failure.</w:t>
      </w:r>
    </w:p>
    <w:p w14:paraId="68D65833" w14:textId="77777777" w:rsidR="00EE2468" w:rsidRPr="00021576" w:rsidRDefault="00EE2468" w:rsidP="00021576">
      <w:pPr>
        <w:pStyle w:val="Heading3"/>
      </w:pPr>
      <w:bookmarkStart w:id="15" w:name="_Toc236854723"/>
      <w:r w:rsidRPr="00021576">
        <w:t>3.2 Recommendation using quality improvement tools</w:t>
      </w:r>
      <w:bookmarkEnd w:id="15"/>
    </w:p>
    <w:p w14:paraId="020293F8" w14:textId="77777777" w:rsidR="00EE2468" w:rsidRPr="00021576" w:rsidRDefault="00EE2468" w:rsidP="00021576">
      <w:pPr>
        <w:rPr>
          <w:rFonts w:ascii="Arial" w:hAnsi="Arial" w:cs="Arial"/>
          <w:b/>
          <w:bCs/>
          <w:i/>
          <w:iCs/>
          <w:sz w:val="22"/>
          <w:szCs w:val="22"/>
        </w:rPr>
      </w:pPr>
      <w:r w:rsidRPr="00021576">
        <w:rPr>
          <w:rFonts w:ascii="Arial" w:hAnsi="Arial" w:cs="Arial"/>
          <w:b/>
          <w:bCs/>
          <w:i/>
          <w:iCs/>
          <w:sz w:val="22"/>
          <w:szCs w:val="22"/>
        </w:rPr>
        <w:t>3.2.1 PDSA (Plan-Do-Study-Act)</w:t>
      </w:r>
    </w:p>
    <w:p w14:paraId="37F33E34"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The PDSA cycle provides an iterative framework to test small-scale improvement before organisation-wide implementation. The Institution for Healthcare Improvement reports that repeated PDSA cycles improve clinical reliability by allowing organisations to evaluate interventions using real-time resources and data (IHI, 2024). The PDSA at Bristol Royal can initially target the paediatric cardiac surgery pathway by introducing mandatory multidisciplinary pre-operative review and a structured family communication protocol </w:t>
      </w:r>
    </w:p>
    <w:tbl>
      <w:tblPr>
        <w:tblW w:w="5000" w:type="pct"/>
        <w:tblBorders>
          <w:top w:val="nil"/>
          <w:left w:val="nil"/>
          <w:bottom w:val="nil"/>
          <w:right w:val="nil"/>
          <w:insideH w:val="nil"/>
          <w:insideV w:val="nil"/>
        </w:tblBorders>
        <w:tblLook w:val="0600" w:firstRow="0" w:lastRow="0" w:firstColumn="0" w:lastColumn="0" w:noHBand="1" w:noVBand="1"/>
      </w:tblPr>
      <w:tblGrid>
        <w:gridCol w:w="1232"/>
        <w:gridCol w:w="8116"/>
      </w:tblGrid>
      <w:tr w:rsidR="00EE2468" w:rsidRPr="00021576" w14:paraId="42F17983" w14:textId="77777777" w:rsidTr="007337F1">
        <w:trPr>
          <w:trHeight w:val="375"/>
        </w:trPr>
        <w:tc>
          <w:tcPr>
            <w:tcW w:w="659"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9A611B6" w14:textId="77777777" w:rsidR="00EE2468" w:rsidRPr="00021576" w:rsidRDefault="00EE2468" w:rsidP="00021576">
            <w:pPr>
              <w:jc w:val="center"/>
              <w:rPr>
                <w:rFonts w:ascii="Arial" w:hAnsi="Arial" w:cs="Arial"/>
                <w:b/>
                <w:bCs/>
                <w:i/>
                <w:iCs/>
                <w:sz w:val="22"/>
                <w:szCs w:val="22"/>
              </w:rPr>
            </w:pPr>
            <w:r w:rsidRPr="00021576">
              <w:rPr>
                <w:rFonts w:ascii="Arial" w:hAnsi="Arial" w:cs="Arial"/>
                <w:b/>
                <w:bCs/>
                <w:i/>
                <w:iCs/>
                <w:sz w:val="22"/>
                <w:szCs w:val="22"/>
              </w:rPr>
              <w:lastRenderedPageBreak/>
              <w:t xml:space="preserve"> Stage</w:t>
            </w:r>
          </w:p>
        </w:tc>
        <w:tc>
          <w:tcPr>
            <w:tcW w:w="434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3021BCE" w14:textId="77777777" w:rsidR="00EE2468" w:rsidRPr="00021576" w:rsidRDefault="00EE2468" w:rsidP="00021576">
            <w:pPr>
              <w:jc w:val="center"/>
              <w:rPr>
                <w:rFonts w:ascii="Arial" w:hAnsi="Arial" w:cs="Arial"/>
                <w:b/>
                <w:bCs/>
                <w:i/>
                <w:iCs/>
                <w:sz w:val="22"/>
                <w:szCs w:val="22"/>
              </w:rPr>
            </w:pPr>
            <w:r w:rsidRPr="00021576">
              <w:rPr>
                <w:rFonts w:ascii="Arial" w:hAnsi="Arial" w:cs="Arial"/>
                <w:b/>
                <w:bCs/>
                <w:i/>
                <w:iCs/>
                <w:sz w:val="22"/>
                <w:szCs w:val="22"/>
              </w:rPr>
              <w:t xml:space="preserve"> Application at Bristol Royal</w:t>
            </w:r>
          </w:p>
        </w:tc>
      </w:tr>
      <w:tr w:rsidR="00EE2468" w:rsidRPr="00021576" w14:paraId="5723D3A8" w14:textId="77777777" w:rsidTr="007337F1">
        <w:trPr>
          <w:trHeight w:val="375"/>
        </w:trPr>
        <w:tc>
          <w:tcPr>
            <w:tcW w:w="659"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CF81F6"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Plan</w:t>
            </w:r>
          </w:p>
        </w:tc>
        <w:tc>
          <w:tcPr>
            <w:tcW w:w="4341" w:type="pct"/>
            <w:tcBorders>
              <w:top w:val="nil"/>
              <w:left w:val="nil"/>
              <w:bottom w:val="single" w:sz="5" w:space="0" w:color="000000"/>
              <w:right w:val="single" w:sz="5" w:space="0" w:color="000000"/>
            </w:tcBorders>
            <w:tcMar>
              <w:top w:w="0" w:type="dxa"/>
              <w:left w:w="100" w:type="dxa"/>
              <w:bottom w:w="0" w:type="dxa"/>
              <w:right w:w="100" w:type="dxa"/>
            </w:tcMar>
          </w:tcPr>
          <w:p w14:paraId="67B99F5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Developing standardised surgical safety checklist and family communication protocol</w:t>
            </w:r>
          </w:p>
        </w:tc>
      </w:tr>
      <w:tr w:rsidR="00EE2468" w:rsidRPr="00021576" w14:paraId="6E34FAF2" w14:textId="77777777" w:rsidTr="007337F1">
        <w:trPr>
          <w:trHeight w:val="375"/>
        </w:trPr>
        <w:tc>
          <w:tcPr>
            <w:tcW w:w="659"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7BAD33"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Do</w:t>
            </w:r>
          </w:p>
        </w:tc>
        <w:tc>
          <w:tcPr>
            <w:tcW w:w="4341" w:type="pct"/>
            <w:tcBorders>
              <w:top w:val="nil"/>
              <w:left w:val="nil"/>
              <w:bottom w:val="single" w:sz="5" w:space="0" w:color="000000"/>
              <w:right w:val="single" w:sz="5" w:space="0" w:color="000000"/>
            </w:tcBorders>
            <w:tcMar>
              <w:top w:w="0" w:type="dxa"/>
              <w:left w:w="100" w:type="dxa"/>
              <w:bottom w:w="0" w:type="dxa"/>
              <w:right w:w="100" w:type="dxa"/>
            </w:tcMar>
          </w:tcPr>
          <w:p w14:paraId="67B036D8"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Pilots the intervention in paediatric cardiac surgery for 3 months</w:t>
            </w:r>
          </w:p>
        </w:tc>
      </w:tr>
      <w:tr w:rsidR="00EE2468" w:rsidRPr="00021576" w14:paraId="6888362A" w14:textId="77777777" w:rsidTr="007337F1">
        <w:trPr>
          <w:trHeight w:val="375"/>
        </w:trPr>
        <w:tc>
          <w:tcPr>
            <w:tcW w:w="659"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8C0723"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Study</w:t>
            </w:r>
          </w:p>
        </w:tc>
        <w:tc>
          <w:tcPr>
            <w:tcW w:w="4341" w:type="pct"/>
            <w:tcBorders>
              <w:top w:val="nil"/>
              <w:left w:val="nil"/>
              <w:bottom w:val="single" w:sz="5" w:space="0" w:color="000000"/>
              <w:right w:val="single" w:sz="5" w:space="0" w:color="000000"/>
            </w:tcBorders>
            <w:tcMar>
              <w:top w:w="0" w:type="dxa"/>
              <w:left w:w="100" w:type="dxa"/>
              <w:bottom w:w="0" w:type="dxa"/>
              <w:right w:w="100" w:type="dxa"/>
            </w:tcMar>
          </w:tcPr>
          <w:p w14:paraId="73FA6882"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Evaluating surgical complications, mortality rate, staff compliance and parent satisfaction</w:t>
            </w:r>
          </w:p>
        </w:tc>
      </w:tr>
      <w:tr w:rsidR="00EE2468" w:rsidRPr="00021576" w14:paraId="1FC6BC06" w14:textId="77777777" w:rsidTr="007337F1">
        <w:trPr>
          <w:trHeight w:val="375"/>
        </w:trPr>
        <w:tc>
          <w:tcPr>
            <w:tcW w:w="659"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92E710"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Act</w:t>
            </w:r>
          </w:p>
        </w:tc>
        <w:tc>
          <w:tcPr>
            <w:tcW w:w="4341" w:type="pct"/>
            <w:tcBorders>
              <w:top w:val="nil"/>
              <w:left w:val="nil"/>
              <w:bottom w:val="single" w:sz="5" w:space="0" w:color="000000"/>
              <w:right w:val="single" w:sz="5" w:space="0" w:color="000000"/>
            </w:tcBorders>
            <w:tcMar>
              <w:top w:w="0" w:type="dxa"/>
              <w:left w:w="100" w:type="dxa"/>
              <w:bottom w:w="0" w:type="dxa"/>
              <w:right w:w="100" w:type="dxa"/>
            </w:tcMar>
          </w:tcPr>
          <w:p w14:paraId="3AB729A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Standardise successful intervention across all cardiac services and repeat improvement cycles</w:t>
            </w:r>
          </w:p>
        </w:tc>
      </w:tr>
    </w:tbl>
    <w:p w14:paraId="2627F46B" w14:textId="77777777" w:rsidR="00EE2468" w:rsidRPr="00021576" w:rsidRDefault="00EE2468" w:rsidP="00021576">
      <w:pPr>
        <w:jc w:val="center"/>
        <w:rPr>
          <w:rFonts w:ascii="Arial" w:hAnsi="Arial" w:cs="Arial"/>
          <w:b/>
          <w:bCs/>
          <w:sz w:val="22"/>
          <w:szCs w:val="22"/>
        </w:rPr>
      </w:pPr>
      <w:r w:rsidRPr="00021576">
        <w:rPr>
          <w:rFonts w:ascii="Arial" w:hAnsi="Arial" w:cs="Arial"/>
          <w:b/>
          <w:bCs/>
          <w:sz w:val="22"/>
          <w:szCs w:val="22"/>
        </w:rPr>
        <w:t xml:space="preserve">Table 4: Application of PDSA at Bristol Royal Infirmary </w:t>
      </w:r>
    </w:p>
    <w:p w14:paraId="65D87639" w14:textId="77777777" w:rsidR="00EE2468" w:rsidRPr="00021576" w:rsidRDefault="00EE2468" w:rsidP="00021576">
      <w:pPr>
        <w:jc w:val="center"/>
        <w:rPr>
          <w:rFonts w:ascii="Arial" w:hAnsi="Arial" w:cs="Arial"/>
          <w:sz w:val="22"/>
          <w:szCs w:val="22"/>
        </w:rPr>
      </w:pPr>
      <w:r w:rsidRPr="00021576">
        <w:rPr>
          <w:rFonts w:ascii="Arial" w:hAnsi="Arial" w:cs="Arial"/>
          <w:sz w:val="22"/>
          <w:szCs w:val="22"/>
        </w:rPr>
        <w:t>(Source: Self-created)</w:t>
      </w:r>
    </w:p>
    <w:p w14:paraId="3C3C623E" w14:textId="77777777" w:rsidR="00EE2468" w:rsidRPr="00021576" w:rsidRDefault="00EE2468" w:rsidP="00021576">
      <w:pPr>
        <w:rPr>
          <w:rFonts w:ascii="Arial" w:hAnsi="Arial" w:cs="Arial"/>
          <w:sz w:val="22"/>
          <w:szCs w:val="22"/>
        </w:rPr>
      </w:pPr>
      <w:r w:rsidRPr="00021576">
        <w:rPr>
          <w:rFonts w:ascii="Arial" w:hAnsi="Arial" w:cs="Arial"/>
          <w:sz w:val="22"/>
          <w:szCs w:val="22"/>
        </w:rPr>
        <w:t>For instance, Great Ormond Street Hospital has used repeated PDSA cycles for improving the communication process and surgical handover (NHS England, 2023). Implementing the cycle has contributed to the improvement of patient safety indicators and care coordination.</w:t>
      </w:r>
    </w:p>
    <w:p w14:paraId="7391AFD3" w14:textId="77777777" w:rsidR="00EE2468" w:rsidRPr="00021576" w:rsidRDefault="00EE2468" w:rsidP="00021576">
      <w:pPr>
        <w:rPr>
          <w:rFonts w:ascii="Arial" w:hAnsi="Arial" w:cs="Arial"/>
          <w:b/>
          <w:bCs/>
          <w:i/>
          <w:iCs/>
          <w:sz w:val="22"/>
          <w:szCs w:val="22"/>
        </w:rPr>
      </w:pPr>
      <w:r w:rsidRPr="00021576">
        <w:rPr>
          <w:rFonts w:ascii="Arial" w:hAnsi="Arial" w:cs="Arial"/>
          <w:b/>
          <w:bCs/>
          <w:i/>
          <w:iCs/>
          <w:sz w:val="22"/>
          <w:szCs w:val="22"/>
        </w:rPr>
        <w:t>3.2.2 PDCA (Plan-Do-Check-Act)</w:t>
      </w:r>
    </w:p>
    <w:p w14:paraId="3713208C"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The PDCA complements PDSA by enabling continuous quality assurance in organisational governance. It ensures improvement initiatives are routinely refined and evaluated (NHS England, 2023). The model is also aligned with the NHS continuous improvement principle by integrating performance measurement with corrective actions. </w:t>
      </w:r>
    </w:p>
    <w:tbl>
      <w:tblPr>
        <w:tblW w:w="5000" w:type="pct"/>
        <w:tblBorders>
          <w:top w:val="nil"/>
          <w:left w:val="nil"/>
          <w:bottom w:val="nil"/>
          <w:right w:val="nil"/>
          <w:insideH w:val="nil"/>
          <w:insideV w:val="nil"/>
        </w:tblBorders>
        <w:tblLook w:val="0600" w:firstRow="0" w:lastRow="0" w:firstColumn="0" w:lastColumn="0" w:noHBand="1" w:noVBand="1"/>
      </w:tblPr>
      <w:tblGrid>
        <w:gridCol w:w="1011"/>
        <w:gridCol w:w="8337"/>
      </w:tblGrid>
      <w:tr w:rsidR="00EE2468" w:rsidRPr="00021576" w14:paraId="4A24EE30" w14:textId="77777777" w:rsidTr="007337F1">
        <w:trPr>
          <w:trHeight w:val="375"/>
        </w:trPr>
        <w:tc>
          <w:tcPr>
            <w:tcW w:w="541"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3D46E1A" w14:textId="77777777" w:rsidR="00EE2468" w:rsidRPr="00021576" w:rsidRDefault="00EE2468" w:rsidP="00021576">
            <w:pPr>
              <w:jc w:val="center"/>
              <w:rPr>
                <w:rFonts w:ascii="Arial" w:hAnsi="Arial" w:cs="Arial"/>
                <w:b/>
                <w:bCs/>
                <w:i/>
                <w:iCs/>
                <w:sz w:val="22"/>
                <w:szCs w:val="22"/>
              </w:rPr>
            </w:pPr>
            <w:r w:rsidRPr="00021576">
              <w:rPr>
                <w:rFonts w:ascii="Arial" w:hAnsi="Arial" w:cs="Arial"/>
                <w:b/>
                <w:bCs/>
                <w:i/>
                <w:iCs/>
                <w:sz w:val="22"/>
                <w:szCs w:val="22"/>
              </w:rPr>
              <w:t xml:space="preserve"> Stage</w:t>
            </w:r>
          </w:p>
        </w:tc>
        <w:tc>
          <w:tcPr>
            <w:tcW w:w="445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790D415" w14:textId="77777777" w:rsidR="00EE2468" w:rsidRPr="00021576" w:rsidRDefault="00EE2468" w:rsidP="00021576">
            <w:pPr>
              <w:jc w:val="center"/>
              <w:rPr>
                <w:rFonts w:ascii="Arial" w:hAnsi="Arial" w:cs="Arial"/>
                <w:b/>
                <w:bCs/>
                <w:i/>
                <w:iCs/>
                <w:sz w:val="22"/>
                <w:szCs w:val="22"/>
              </w:rPr>
            </w:pPr>
            <w:r w:rsidRPr="00021576">
              <w:rPr>
                <w:rFonts w:ascii="Arial" w:hAnsi="Arial" w:cs="Arial"/>
                <w:b/>
                <w:bCs/>
                <w:i/>
                <w:iCs/>
                <w:sz w:val="22"/>
                <w:szCs w:val="22"/>
              </w:rPr>
              <w:t xml:space="preserve"> Practical application</w:t>
            </w:r>
          </w:p>
        </w:tc>
      </w:tr>
      <w:tr w:rsidR="00EE2468" w:rsidRPr="00021576" w14:paraId="06DB135D" w14:textId="77777777" w:rsidTr="007337F1">
        <w:trPr>
          <w:trHeight w:val="375"/>
        </w:trPr>
        <w:tc>
          <w:tcPr>
            <w:tcW w:w="54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D288FF"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Plan </w:t>
            </w:r>
          </w:p>
        </w:tc>
        <w:tc>
          <w:tcPr>
            <w:tcW w:w="4459" w:type="pct"/>
            <w:tcBorders>
              <w:top w:val="nil"/>
              <w:left w:val="nil"/>
              <w:bottom w:val="single" w:sz="5" w:space="0" w:color="000000"/>
              <w:right w:val="single" w:sz="5" w:space="0" w:color="000000"/>
            </w:tcBorders>
            <w:tcMar>
              <w:top w:w="0" w:type="dxa"/>
              <w:left w:w="100" w:type="dxa"/>
              <w:bottom w:w="0" w:type="dxa"/>
              <w:right w:w="100" w:type="dxa"/>
            </w:tcMar>
          </w:tcPr>
          <w:p w14:paraId="78DE6524"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Establishing measurable quality indicators, including waiting time, mortality and incident reporting</w:t>
            </w:r>
          </w:p>
        </w:tc>
      </w:tr>
      <w:tr w:rsidR="00EE2468" w:rsidRPr="00021576" w14:paraId="5E94B319" w14:textId="77777777" w:rsidTr="007337F1">
        <w:trPr>
          <w:trHeight w:val="375"/>
        </w:trPr>
        <w:tc>
          <w:tcPr>
            <w:tcW w:w="54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D827EE0"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Do</w:t>
            </w:r>
          </w:p>
        </w:tc>
        <w:tc>
          <w:tcPr>
            <w:tcW w:w="4459" w:type="pct"/>
            <w:tcBorders>
              <w:top w:val="nil"/>
              <w:left w:val="nil"/>
              <w:bottom w:val="single" w:sz="5" w:space="0" w:color="000000"/>
              <w:right w:val="single" w:sz="5" w:space="0" w:color="000000"/>
            </w:tcBorders>
            <w:tcMar>
              <w:top w:w="0" w:type="dxa"/>
              <w:left w:w="100" w:type="dxa"/>
              <w:bottom w:w="0" w:type="dxa"/>
              <w:right w:w="100" w:type="dxa"/>
            </w:tcMar>
          </w:tcPr>
          <w:p w14:paraId="324A11AC"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Implementing revised governance policy and staff training program</w:t>
            </w:r>
          </w:p>
        </w:tc>
      </w:tr>
      <w:tr w:rsidR="00EE2468" w:rsidRPr="00021576" w14:paraId="0C916F42" w14:textId="77777777" w:rsidTr="007337F1">
        <w:trPr>
          <w:trHeight w:val="375"/>
        </w:trPr>
        <w:tc>
          <w:tcPr>
            <w:tcW w:w="54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9A7A818"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Check </w:t>
            </w:r>
          </w:p>
        </w:tc>
        <w:tc>
          <w:tcPr>
            <w:tcW w:w="4459" w:type="pct"/>
            <w:tcBorders>
              <w:top w:val="nil"/>
              <w:left w:val="nil"/>
              <w:bottom w:val="single" w:sz="5" w:space="0" w:color="000000"/>
              <w:right w:val="single" w:sz="5" w:space="0" w:color="000000"/>
            </w:tcBorders>
            <w:tcMar>
              <w:top w:w="0" w:type="dxa"/>
              <w:left w:w="100" w:type="dxa"/>
              <w:bottom w:w="0" w:type="dxa"/>
              <w:right w:w="100" w:type="dxa"/>
            </w:tcMar>
          </w:tcPr>
          <w:p w14:paraId="7FE8444E"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Conducting monthly clinical audit and benchmark outcome against NHS National standard</w:t>
            </w:r>
          </w:p>
        </w:tc>
      </w:tr>
      <w:tr w:rsidR="00EE2468" w:rsidRPr="00021576" w14:paraId="357BA313" w14:textId="77777777" w:rsidTr="007337F1">
        <w:trPr>
          <w:trHeight w:val="375"/>
        </w:trPr>
        <w:tc>
          <w:tcPr>
            <w:tcW w:w="54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265E176"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Act</w:t>
            </w:r>
          </w:p>
        </w:tc>
        <w:tc>
          <w:tcPr>
            <w:tcW w:w="4459" w:type="pct"/>
            <w:tcBorders>
              <w:top w:val="nil"/>
              <w:left w:val="nil"/>
              <w:bottom w:val="single" w:sz="5" w:space="0" w:color="000000"/>
              <w:right w:val="single" w:sz="5" w:space="0" w:color="000000"/>
            </w:tcBorders>
            <w:tcMar>
              <w:top w:w="0" w:type="dxa"/>
              <w:left w:w="100" w:type="dxa"/>
              <w:bottom w:w="0" w:type="dxa"/>
              <w:right w:w="100" w:type="dxa"/>
            </w:tcMar>
          </w:tcPr>
          <w:p w14:paraId="59874555"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 Address identified gaps, revise policies and continue monitoring performance improvement</w:t>
            </w:r>
          </w:p>
        </w:tc>
      </w:tr>
    </w:tbl>
    <w:p w14:paraId="632BD788" w14:textId="77777777" w:rsidR="00EE2468" w:rsidRPr="00021576" w:rsidRDefault="00EE2468" w:rsidP="00021576">
      <w:pPr>
        <w:jc w:val="center"/>
        <w:rPr>
          <w:rFonts w:ascii="Arial" w:hAnsi="Arial" w:cs="Arial"/>
          <w:b/>
          <w:bCs/>
          <w:sz w:val="22"/>
          <w:szCs w:val="22"/>
        </w:rPr>
      </w:pPr>
      <w:r w:rsidRPr="00021576">
        <w:rPr>
          <w:rFonts w:ascii="Arial" w:hAnsi="Arial" w:cs="Arial"/>
          <w:b/>
          <w:bCs/>
          <w:sz w:val="22"/>
          <w:szCs w:val="22"/>
        </w:rPr>
        <w:t xml:space="preserve">Table 5: application of PDCA at Bristol Royal Infirmary </w:t>
      </w:r>
    </w:p>
    <w:p w14:paraId="23F86F20" w14:textId="77777777" w:rsidR="00EE2468" w:rsidRPr="00021576" w:rsidRDefault="00EE2468" w:rsidP="00021576">
      <w:pPr>
        <w:jc w:val="center"/>
        <w:rPr>
          <w:rFonts w:ascii="Arial" w:hAnsi="Arial" w:cs="Arial"/>
          <w:sz w:val="22"/>
          <w:szCs w:val="22"/>
        </w:rPr>
      </w:pPr>
      <w:r w:rsidRPr="00021576">
        <w:rPr>
          <w:rFonts w:ascii="Arial" w:hAnsi="Arial" w:cs="Arial"/>
          <w:sz w:val="22"/>
          <w:szCs w:val="22"/>
        </w:rPr>
        <w:t>(Source: Self-created)</w:t>
      </w:r>
    </w:p>
    <w:p w14:paraId="0CCBD5A0" w14:textId="77777777" w:rsidR="00EE2468" w:rsidRPr="00021576" w:rsidRDefault="00EE2468" w:rsidP="00021576">
      <w:pPr>
        <w:rPr>
          <w:rFonts w:ascii="Arial" w:hAnsi="Arial" w:cs="Arial"/>
          <w:sz w:val="22"/>
          <w:szCs w:val="22"/>
        </w:rPr>
      </w:pPr>
      <w:r w:rsidRPr="00021576">
        <w:rPr>
          <w:rFonts w:ascii="Arial" w:hAnsi="Arial" w:cs="Arial"/>
          <w:sz w:val="22"/>
          <w:szCs w:val="22"/>
        </w:rPr>
        <w:t>Performance monitoring should include indicators like surgical complication, mortality rate, and staff training completion, incident reporting frequency and patient satisfaction score to ensure sustained organisational learning.</w:t>
      </w:r>
    </w:p>
    <w:p w14:paraId="02CF1B0B" w14:textId="77777777" w:rsidR="00EE2468" w:rsidRPr="00021576" w:rsidRDefault="00EE2468" w:rsidP="00021576">
      <w:pPr>
        <w:pStyle w:val="Heading3"/>
      </w:pPr>
      <w:bookmarkStart w:id="16" w:name="_Toc236854724"/>
      <w:r w:rsidRPr="00021576">
        <w:t>3.3 Lean and Six Sigma</w:t>
      </w:r>
      <w:bookmarkEnd w:id="16"/>
    </w:p>
    <w:p w14:paraId="5E4D2626" w14:textId="77777777" w:rsidR="00EE2468" w:rsidRPr="00021576" w:rsidRDefault="00EE2468" w:rsidP="00021576">
      <w:pPr>
        <w:rPr>
          <w:rFonts w:ascii="Arial" w:hAnsi="Arial" w:cs="Arial"/>
          <w:sz w:val="22"/>
          <w:szCs w:val="22"/>
        </w:rPr>
      </w:pPr>
      <w:r w:rsidRPr="00021576">
        <w:rPr>
          <w:rFonts w:ascii="Arial" w:hAnsi="Arial" w:cs="Arial"/>
          <w:sz w:val="22"/>
          <w:szCs w:val="22"/>
        </w:rPr>
        <w:t xml:space="preserve">Lean methodology should be introduced for an eliminating delay in the paediatric cardiac care pathway by diagnosis, standardised referral, discharge process and surgery scheduling. Six </w:t>
      </w:r>
      <w:r w:rsidRPr="00021576">
        <w:rPr>
          <w:rFonts w:ascii="Arial" w:hAnsi="Arial" w:cs="Arial"/>
          <w:sz w:val="22"/>
          <w:szCs w:val="22"/>
        </w:rPr>
        <w:lastRenderedPageBreak/>
        <w:t>Sigma can also complement Lean by reducing clinical variation through process control and data-driven analysis (Antony et al., 2022). Collectively, Lean Six Sigma improves efficiency while improving quality outcomes and patient safety.</w:t>
      </w:r>
      <w:r w:rsidR="007337F1" w:rsidRPr="00021576">
        <w:rPr>
          <w:rFonts w:ascii="Arial" w:hAnsi="Arial" w:cs="Arial"/>
          <w:sz w:val="22"/>
          <w:szCs w:val="22"/>
        </w:rPr>
        <w:t xml:space="preserve"> </w:t>
      </w:r>
      <w:r w:rsidRPr="00021576">
        <w:rPr>
          <w:rFonts w:ascii="Arial" w:hAnsi="Arial" w:cs="Arial"/>
          <w:sz w:val="22"/>
          <w:szCs w:val="22"/>
        </w:rPr>
        <w:t xml:space="preserve">For example, Virginia Mason Medical Centre successfully applied the Lean principle for reducing unnecessary clinical processes, improving safety culture and patient flow, while several NSS organisations have adapted Lean methodology for improving operations and reducing waiting time (NHS England, 2023). Reportedly, systematic quality improvement intervention is effective in reducing preventable patient harm by up to 50% when supported by continuous monitoring and strong governance (WHO, 2024). Similarly, Six Sigma can be applied at Bristol Royal for analysing variation in surgical performance, establishing evidence-based clinical standards and identifying preventable errors. </w:t>
      </w:r>
    </w:p>
    <w:p w14:paraId="50BD5FA4" w14:textId="77777777" w:rsidR="00EE2468" w:rsidRPr="00021576" w:rsidRDefault="00EE2468" w:rsidP="00021576">
      <w:pPr>
        <w:rPr>
          <w:rFonts w:ascii="Arial" w:hAnsi="Arial" w:cs="Arial"/>
          <w:sz w:val="22"/>
          <w:szCs w:val="22"/>
        </w:rPr>
      </w:pPr>
      <w:r w:rsidRPr="00021576">
        <w:rPr>
          <w:rFonts w:ascii="Arial" w:hAnsi="Arial" w:cs="Arial"/>
          <w:noProof/>
          <w:sz w:val="22"/>
          <w:szCs w:val="22"/>
          <w:lang w:eastAsia="en-US"/>
        </w:rPr>
        <w:drawing>
          <wp:inline distT="0" distB="0" distL="0" distR="0" wp14:anchorId="62FB7816" wp14:editId="643ACF83">
            <wp:extent cx="5486400" cy="3200400"/>
            <wp:effectExtent l="0" t="38100" r="0" b="571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C0AED46" w14:textId="77777777" w:rsidR="00EE2468" w:rsidRPr="00021576" w:rsidRDefault="00EE2468" w:rsidP="00021576">
      <w:pPr>
        <w:rPr>
          <w:rFonts w:ascii="Arial" w:hAnsi="Arial" w:cs="Arial"/>
          <w:sz w:val="22"/>
          <w:szCs w:val="22"/>
        </w:rPr>
      </w:pPr>
    </w:p>
    <w:p w14:paraId="1A3D4FFA" w14:textId="77777777" w:rsidR="00EE2468" w:rsidRPr="00021576" w:rsidRDefault="00EE2468" w:rsidP="00021576">
      <w:pPr>
        <w:jc w:val="center"/>
        <w:rPr>
          <w:rFonts w:ascii="Arial" w:hAnsi="Arial" w:cs="Arial"/>
          <w:b/>
          <w:sz w:val="22"/>
          <w:szCs w:val="22"/>
        </w:rPr>
      </w:pPr>
      <w:r w:rsidRPr="00021576">
        <w:rPr>
          <w:rFonts w:ascii="Arial" w:hAnsi="Arial" w:cs="Arial"/>
          <w:b/>
          <w:sz w:val="22"/>
          <w:szCs w:val="22"/>
        </w:rPr>
        <w:t>Figure 3: Applying Lean Six Sigma</w:t>
      </w:r>
    </w:p>
    <w:p w14:paraId="3D31F07A" w14:textId="77777777" w:rsidR="00EE2468" w:rsidRPr="00021576" w:rsidRDefault="00EE2468" w:rsidP="00021576">
      <w:pPr>
        <w:jc w:val="center"/>
        <w:rPr>
          <w:rFonts w:ascii="Arial" w:hAnsi="Arial" w:cs="Arial"/>
          <w:sz w:val="22"/>
          <w:szCs w:val="22"/>
        </w:rPr>
      </w:pPr>
      <w:r w:rsidRPr="00021576">
        <w:rPr>
          <w:rFonts w:ascii="Arial" w:hAnsi="Arial" w:cs="Arial"/>
          <w:sz w:val="22"/>
          <w:szCs w:val="22"/>
        </w:rPr>
        <w:t>(Source: Self-created)</w:t>
      </w:r>
    </w:p>
    <w:p w14:paraId="3FE35D2D" w14:textId="77777777" w:rsidR="00EE2468" w:rsidRPr="00021576" w:rsidRDefault="00EE2468" w:rsidP="00021576">
      <w:pPr>
        <w:rPr>
          <w:rFonts w:ascii="Arial" w:hAnsi="Arial" w:cs="Arial"/>
          <w:sz w:val="22"/>
          <w:szCs w:val="22"/>
        </w:rPr>
      </w:pPr>
      <w:r w:rsidRPr="00021576">
        <w:rPr>
          <w:rFonts w:ascii="Arial" w:hAnsi="Arial" w:cs="Arial"/>
          <w:sz w:val="22"/>
          <w:szCs w:val="22"/>
        </w:rPr>
        <w:t>Successful implementation required multidisciplinary collaboration, dedicated leadership commitment, regular staff competency assessment, a digital performance dashboard and family engagement with a continuous audit cycle. The intervention should be reviewed quarterly to ensure the improvement remains embedded within organisational culture, improving patient safety, while supporting sustainable quality improvement across Bristol Royal Infirmary and restoring public trust.</w:t>
      </w:r>
    </w:p>
    <w:p w14:paraId="107A4D8F" w14:textId="77777777" w:rsidR="008D346B" w:rsidRPr="00021576" w:rsidRDefault="005825D5" w:rsidP="00021576">
      <w:pPr>
        <w:pStyle w:val="Heading1"/>
      </w:pPr>
      <w:bookmarkStart w:id="17" w:name="_1m2j8et3vfv0" w:colFirst="0" w:colLast="0"/>
      <w:bookmarkStart w:id="18" w:name="_Toc236854725"/>
      <w:bookmarkEnd w:id="17"/>
      <w:r w:rsidRPr="00021576">
        <w:lastRenderedPageBreak/>
        <w:t>4. Conclusion</w:t>
      </w:r>
      <w:bookmarkEnd w:id="18"/>
    </w:p>
    <w:p w14:paraId="3EFE21FE" w14:textId="77777777" w:rsidR="008D346B" w:rsidRPr="00021576" w:rsidRDefault="005825D5" w:rsidP="00021576">
      <w:pPr>
        <w:rPr>
          <w:rFonts w:ascii="Arial" w:eastAsia="Arial" w:hAnsi="Arial" w:cs="Arial"/>
          <w:sz w:val="22"/>
          <w:szCs w:val="22"/>
        </w:rPr>
      </w:pPr>
      <w:r w:rsidRPr="00021576">
        <w:rPr>
          <w:rFonts w:ascii="Arial" w:eastAsia="Arial" w:hAnsi="Arial" w:cs="Arial"/>
          <w:sz w:val="22"/>
          <w:szCs w:val="22"/>
        </w:rPr>
        <w:t xml:space="preserve">It can be summed up from the above discussion that systemic failure in risk management and institutional oversight in paediatric cardiac surgery has occurred at Bristol Royal Infirmary due to a lack of clinical governance. The total breakdown of clinical governance as well as accountability is the root cause of this healthcare case. The high mortality rate among infants undergoing complex cardiac procedures has been identified, and it reflects the need for immediate improvement. Furthermore, </w:t>
      </w:r>
      <w:r w:rsidR="00EE2468" w:rsidRPr="00021576">
        <w:rPr>
          <w:rFonts w:ascii="Arial" w:eastAsia="Arial" w:hAnsi="Arial" w:cs="Arial"/>
          <w:sz w:val="22"/>
          <w:szCs w:val="22"/>
        </w:rPr>
        <w:t xml:space="preserve">by </w:t>
      </w:r>
      <w:r w:rsidRPr="00021576">
        <w:rPr>
          <w:rFonts w:ascii="Arial" w:eastAsia="Arial" w:hAnsi="Arial" w:cs="Arial"/>
          <w:sz w:val="22"/>
          <w:szCs w:val="22"/>
        </w:rPr>
        <w:t>investing in the right healthcare resources and governance, paediatric cardiac surgery of infants can be conducted with a high success rate. The adoption of transformational leadership models with Lean tools can ensure workflow optimisation. In addition, healthcare practices are also improved through AI integration and using a huge dataset for decision-making.</w:t>
      </w:r>
    </w:p>
    <w:p w14:paraId="366AEC35" w14:textId="77777777" w:rsidR="00EE2468" w:rsidRPr="00021576" w:rsidRDefault="00EE2468" w:rsidP="00021576">
      <w:pPr>
        <w:rPr>
          <w:rFonts w:ascii="Arial" w:eastAsia="Arial" w:hAnsi="Arial" w:cs="Arial"/>
          <w:sz w:val="22"/>
          <w:szCs w:val="22"/>
        </w:rPr>
      </w:pPr>
      <w:r w:rsidRPr="00021576">
        <w:rPr>
          <w:rFonts w:ascii="Arial" w:eastAsia="Arial" w:hAnsi="Arial" w:cs="Arial"/>
          <w:sz w:val="22"/>
          <w:szCs w:val="22"/>
        </w:rPr>
        <w:t>Furthermore, the report demonstrates that achieving sustainable quality improvement in health care requires a proactive approach rather than a reactive approach to patient safety. The application of the 5 Whys framework, Donabedian model, Six Sigma, lean, PDSA and PDCA highlights the importance of integrating quality management tools into everyday clinical practice for preventing adverse impact and identifying risk. Equally important is the commitment of leaders to encouraging multidisciplinary collaboration, promoting accountability and using performance data for guiding continuous service improvement. Embedding the approach in the governance system can improve both operational and clinical outcomes and also enhance organisational resilience. Ultimately, the lessons from the Bristol Royal Infirmary enquiry remain relevant for modern health care organisations, highlighting that a robust quality assurance mechanism, patient-centred care and continuous monitoring are essential to prevent avoidable harm. By implementing the recommendations consistently, Bristol Royal Infirmary can improve safety, public confidence and effectiveness of paediatric cardiac services and establish a culture of continuous improvement that supports high-quality health care delivery over the long term.</w:t>
      </w:r>
    </w:p>
    <w:p w14:paraId="3EF48C6A" w14:textId="77777777" w:rsidR="008D346B" w:rsidRPr="00F44EE2" w:rsidRDefault="005825D5">
      <w:pPr>
        <w:rPr>
          <w:rFonts w:ascii="Arial" w:eastAsia="Arial" w:hAnsi="Arial" w:cs="Arial"/>
          <w:b/>
          <w:bCs/>
          <w:sz w:val="22"/>
          <w:szCs w:val="22"/>
        </w:rPr>
      </w:pPr>
      <w:r w:rsidRPr="00F44EE2">
        <w:rPr>
          <w:rFonts w:ascii="Arial" w:hAnsi="Arial" w:cs="Arial"/>
        </w:rPr>
        <w:br w:type="page"/>
      </w:r>
    </w:p>
    <w:p w14:paraId="46BB8C35" w14:textId="77777777" w:rsidR="00FB4CAC" w:rsidRPr="00F44EE2" w:rsidRDefault="005825D5" w:rsidP="00FB4CAC">
      <w:pPr>
        <w:pStyle w:val="Heading1"/>
      </w:pPr>
      <w:bookmarkStart w:id="19" w:name="_6dksm58wtv9q" w:colFirst="0" w:colLast="0"/>
      <w:bookmarkStart w:id="20" w:name="_Toc236854726"/>
      <w:bookmarkEnd w:id="19"/>
      <w:r w:rsidRPr="00F44EE2">
        <w:lastRenderedPageBreak/>
        <w:t>References</w:t>
      </w:r>
      <w:bookmarkEnd w:id="20"/>
    </w:p>
    <w:p w14:paraId="23FEB4F5"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Agency for Healthcare Research and Quality (AHRQ) (2015) </w:t>
      </w:r>
      <w:r w:rsidRPr="00F44EE2">
        <w:rPr>
          <w:rFonts w:ascii="Arial" w:eastAsia="Arial" w:hAnsi="Arial" w:cs="Arial"/>
          <w:i/>
          <w:iCs/>
          <w:sz w:val="22"/>
          <w:szCs w:val="22"/>
        </w:rPr>
        <w:t>Learning from Bristol: The report of the public inquiry into children’s heart surgery at the Bristol Royal Infirmary 1984–1995.Patient Safety Network.</w:t>
      </w:r>
      <w:r w:rsidRPr="00F44EE2">
        <w:rPr>
          <w:rFonts w:ascii="Arial" w:eastAsia="Arial" w:hAnsi="Arial" w:cs="Arial"/>
          <w:sz w:val="22"/>
          <w:szCs w:val="22"/>
        </w:rPr>
        <w:t xml:space="preserve"> Available at:</w:t>
      </w:r>
      <w:hyperlink r:id="rId20" w:history="1">
        <w:r w:rsidRPr="00F44EE2">
          <w:rPr>
            <w:rStyle w:val="Hyperlink"/>
            <w:rFonts w:ascii="Arial" w:eastAsia="Arial" w:hAnsi="Arial" w:cs="Arial"/>
            <w:sz w:val="22"/>
            <w:szCs w:val="22"/>
          </w:rPr>
          <w:t xml:space="preserve"> https://psnet.ahrq.gov/issue/learning-bristol-report-public-inquiry-childrens-heart-surgery-bristol-royal-infirmary-1984</w:t>
        </w:r>
      </w:hyperlink>
      <w:r w:rsidRPr="00F44EE2">
        <w:rPr>
          <w:rFonts w:ascii="Arial" w:eastAsia="Arial" w:hAnsi="Arial" w:cs="Arial"/>
          <w:sz w:val="22"/>
          <w:szCs w:val="22"/>
        </w:rPr>
        <w:t xml:space="preserve"> (Accessed: 5 August 2026).</w:t>
      </w:r>
    </w:p>
    <w:p w14:paraId="7D70DD76" w14:textId="2119B3F9" w:rsidR="00FB4CAC" w:rsidRPr="00107620" w:rsidRDefault="00FB4CAC" w:rsidP="00107620">
      <w:pPr>
        <w:rPr>
          <w:rFonts w:ascii="Arial" w:eastAsia="Arial" w:hAnsi="Arial" w:cs="Arial"/>
          <w:sz w:val="22"/>
          <w:szCs w:val="22"/>
        </w:rPr>
      </w:pPr>
      <w:r w:rsidRPr="00F44EE2">
        <w:rPr>
          <w:rFonts w:ascii="Arial" w:hAnsi="Arial" w:cs="Arial"/>
          <w:sz w:val="22"/>
          <w:szCs w:val="22"/>
        </w:rPr>
        <w:t xml:space="preserve">Antony, J., Sony, M., McDermott, O. and Jayaraman, R. (2022). 'Lean Six Sigma in healthcare: a systematic literature review', </w:t>
      </w:r>
      <w:r w:rsidRPr="00F44EE2">
        <w:rPr>
          <w:rFonts w:ascii="Arial" w:hAnsi="Arial" w:cs="Arial"/>
          <w:i/>
          <w:iCs/>
          <w:sz w:val="22"/>
          <w:szCs w:val="22"/>
        </w:rPr>
        <w:t>International Journal of Quality &amp; Reliability Management</w:t>
      </w:r>
      <w:r w:rsidRPr="00F44EE2">
        <w:rPr>
          <w:rFonts w:ascii="Arial" w:hAnsi="Arial" w:cs="Arial"/>
          <w:sz w:val="22"/>
          <w:szCs w:val="22"/>
        </w:rPr>
        <w:t>, 39(9), pp. 2051–2075. Available at:</w:t>
      </w:r>
      <w:hyperlink r:id="rId21"/>
      <w:hyperlink r:id="rId22">
        <w:r w:rsidRPr="00F44EE2">
          <w:rPr>
            <w:rFonts w:ascii="Arial" w:hAnsi="Arial" w:cs="Arial"/>
            <w:color w:val="1155CC"/>
            <w:sz w:val="22"/>
            <w:szCs w:val="22"/>
            <w:u w:val="single"/>
          </w:rPr>
          <w:t>https://www.emerald.com/insight/publication/issn/0265-671X</w:t>
        </w:r>
      </w:hyperlink>
      <w:r w:rsidR="00107620" w:rsidRPr="00F44EE2">
        <w:rPr>
          <w:rFonts w:ascii="Arial" w:eastAsia="Arial" w:hAnsi="Arial" w:cs="Arial"/>
          <w:sz w:val="22"/>
          <w:szCs w:val="22"/>
        </w:rPr>
        <w:t>(Accessed: 5 August 2026).</w:t>
      </w:r>
    </w:p>
    <w:p w14:paraId="6DECFC7D"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BBC News (2016) </w:t>
      </w:r>
      <w:r w:rsidRPr="00F44EE2">
        <w:rPr>
          <w:rFonts w:ascii="Arial" w:eastAsia="Arial" w:hAnsi="Arial" w:cs="Arial"/>
          <w:i/>
          <w:iCs/>
          <w:sz w:val="22"/>
          <w:szCs w:val="22"/>
        </w:rPr>
        <w:t>Bristol heart scandal: 20 years on.BBC News</w:t>
      </w:r>
      <w:r w:rsidRPr="00F44EE2">
        <w:rPr>
          <w:rFonts w:ascii="Arial" w:eastAsia="Arial" w:hAnsi="Arial" w:cs="Arial"/>
          <w:sz w:val="22"/>
          <w:szCs w:val="22"/>
        </w:rPr>
        <w:t>, 29 June. Available at:</w:t>
      </w:r>
      <w:hyperlink r:id="rId23" w:history="1">
        <w:r w:rsidRPr="00F44EE2">
          <w:rPr>
            <w:rStyle w:val="Hyperlink"/>
            <w:rFonts w:ascii="Arial" w:eastAsia="Arial" w:hAnsi="Arial" w:cs="Arial"/>
            <w:sz w:val="22"/>
            <w:szCs w:val="22"/>
          </w:rPr>
          <w:t xml:space="preserve"> https://www.bbc.com/news/uk-england-bristol-36651082</w:t>
        </w:r>
      </w:hyperlink>
      <w:r w:rsidRPr="00F44EE2">
        <w:rPr>
          <w:rFonts w:ascii="Arial" w:eastAsia="Arial" w:hAnsi="Arial" w:cs="Arial"/>
          <w:sz w:val="22"/>
          <w:szCs w:val="22"/>
        </w:rPr>
        <w:t xml:space="preserve"> (Accessed: 5 August 2026). </w:t>
      </w:r>
    </w:p>
    <w:p w14:paraId="379F34BB" w14:textId="01530AE8"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Bristol Royal Infirmary Inquiry (2001) </w:t>
      </w:r>
      <w:r w:rsidRPr="00F44EE2">
        <w:rPr>
          <w:rFonts w:ascii="Arial" w:eastAsia="Arial" w:hAnsi="Arial" w:cs="Arial"/>
          <w:i/>
          <w:iCs/>
          <w:sz w:val="22"/>
          <w:szCs w:val="22"/>
        </w:rPr>
        <w:t>Report of the Public Inquiry into children’s heart surgery at the Bristol Royal Infirmary 1984–1995.</w:t>
      </w:r>
      <w:r w:rsidRPr="00F44EE2">
        <w:rPr>
          <w:rFonts w:ascii="Arial" w:eastAsia="Arial" w:hAnsi="Arial" w:cs="Arial"/>
          <w:sz w:val="22"/>
          <w:szCs w:val="22"/>
        </w:rPr>
        <w:t xml:space="preserve"> Available at:</w:t>
      </w:r>
      <w:r w:rsidR="00107620">
        <w:rPr>
          <w:rFonts w:ascii="Arial" w:eastAsia="Arial" w:hAnsi="Arial" w:cs="Arial"/>
          <w:sz w:val="22"/>
          <w:szCs w:val="22"/>
        </w:rPr>
        <w:t xml:space="preserve"> </w:t>
      </w:r>
      <w:hyperlink r:id="rId24" w:history="1">
        <w:r w:rsidR="00107620" w:rsidRPr="000000F1">
          <w:rPr>
            <w:rStyle w:val="Hyperlink"/>
            <w:rFonts w:ascii="Arial" w:eastAsia="Arial" w:hAnsi="Arial" w:cs="Arial"/>
            <w:sz w:val="22"/>
            <w:szCs w:val="22"/>
          </w:rPr>
          <w:t>https://www.bristol-inquiry.org.uk/</w:t>
        </w:r>
      </w:hyperlink>
      <w:r w:rsidRPr="00F44EE2">
        <w:rPr>
          <w:rFonts w:ascii="Arial" w:eastAsia="Arial" w:hAnsi="Arial" w:cs="Arial"/>
          <w:sz w:val="22"/>
          <w:szCs w:val="22"/>
        </w:rPr>
        <w:t>(Accessed: 5 August 2026).</w:t>
      </w:r>
    </w:p>
    <w:p w14:paraId="71B6C45F"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Cahill, D.J. (2022) </w:t>
      </w:r>
      <w:r w:rsidRPr="00F44EE2">
        <w:rPr>
          <w:rFonts w:ascii="Arial" w:eastAsia="Arial" w:hAnsi="Arial" w:cs="Arial"/>
          <w:i/>
          <w:iCs/>
          <w:sz w:val="22"/>
          <w:szCs w:val="22"/>
        </w:rPr>
        <w:t>A History of Bristol Medical School: Personal and Collected Experiences of Students and Staff.</w:t>
      </w:r>
      <w:r w:rsidRPr="00F44EE2">
        <w:rPr>
          <w:rFonts w:ascii="Arial" w:eastAsia="Arial" w:hAnsi="Arial" w:cs="Arial"/>
          <w:sz w:val="22"/>
          <w:szCs w:val="22"/>
        </w:rPr>
        <w:t xml:space="preserve"> Cambridge Scholars Publishing. Available at: </w:t>
      </w:r>
      <w:hyperlink r:id="rId25" w:tgtFrame="_blank" w:tooltip="books.google.com" w:history="1">
        <w:r w:rsidRPr="00F44EE2">
          <w:rPr>
            <w:rStyle w:val="Hyperlink"/>
            <w:rFonts w:ascii="Arial" w:eastAsia="Arial" w:hAnsi="Arial" w:cs="Arial"/>
            <w:sz w:val="22"/>
            <w:szCs w:val="22"/>
          </w:rPr>
          <w:t>https://books.google.com/books?hl=en&amp;lr=&amp;id=yS5lEAAAQBAJ&amp;oi=fnd&amp;pg=PR5&amp;dq=bristol+royal+infirmary+inquiry&amp;ots=6sUlm-cm9D&amp;sig=gs3eFI3InGTnRIfKMSp76JaN9l0</w:t>
        </w:r>
      </w:hyperlink>
      <w:r w:rsidRPr="00F44EE2">
        <w:rPr>
          <w:rFonts w:ascii="Arial" w:eastAsia="Arial" w:hAnsi="Arial" w:cs="Arial"/>
          <w:sz w:val="22"/>
          <w:szCs w:val="22"/>
        </w:rPr>
        <w:t xml:space="preserve"> (Accessed: 5 August 2026).</w:t>
      </w:r>
    </w:p>
    <w:p w14:paraId="0B985392" w14:textId="77777777" w:rsidR="00FB4CAC" w:rsidRPr="00F44EE2" w:rsidRDefault="00FB4CAC" w:rsidP="00FB4CAC">
      <w:pPr>
        <w:rPr>
          <w:rFonts w:ascii="Arial" w:eastAsia="Arial" w:hAnsi="Arial" w:cs="Arial"/>
          <w:sz w:val="22"/>
          <w:szCs w:val="22"/>
        </w:rPr>
      </w:pPr>
      <w:r w:rsidRPr="00F44EE2">
        <w:rPr>
          <w:rFonts w:ascii="Arial" w:eastAsia="Arial" w:hAnsi="Arial" w:cs="Arial"/>
          <w:color w:val="222222"/>
          <w:sz w:val="22"/>
          <w:szCs w:val="22"/>
        </w:rPr>
        <w:t>Choudhry, T. and Grunberg, N.E., (2024). ‘</w:t>
      </w:r>
      <w:r w:rsidRPr="00F44EE2">
        <w:rPr>
          <w:rFonts w:ascii="Arial" w:eastAsia="Arial" w:hAnsi="Arial" w:cs="Arial"/>
          <w:i/>
          <w:iCs/>
          <w:color w:val="222222"/>
          <w:sz w:val="22"/>
          <w:szCs w:val="22"/>
        </w:rPr>
        <w:t>Multidisciplinary Teamwork in Healthcare’</w:t>
      </w:r>
      <w:r w:rsidRPr="00F44EE2">
        <w:rPr>
          <w:rFonts w:ascii="Arial" w:eastAsia="Arial" w:hAnsi="Arial" w:cs="Arial"/>
          <w:color w:val="222222"/>
          <w:sz w:val="22"/>
          <w:szCs w:val="22"/>
        </w:rPr>
        <w:t>. BoD–Books on Demand.</w:t>
      </w:r>
    </w:p>
    <w:p w14:paraId="6DCAC09C"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Cooper, S. and Thomas, O. (2023) </w:t>
      </w:r>
      <w:r w:rsidRPr="00F44EE2">
        <w:rPr>
          <w:rFonts w:ascii="Arial" w:eastAsia="Arial" w:hAnsi="Arial" w:cs="Arial"/>
          <w:i/>
          <w:iCs/>
          <w:sz w:val="22"/>
          <w:szCs w:val="22"/>
        </w:rPr>
        <w:t>Judge</w:t>
      </w:r>
      <w:r w:rsidRPr="00F44EE2">
        <w:rPr>
          <w:rFonts w:ascii="Arial" w:eastAsia="Arial" w:hAnsi="Arial" w:cs="Arial"/>
          <w:i/>
          <w:iCs/>
          <w:sz w:val="22"/>
          <w:szCs w:val="22"/>
        </w:rPr>
        <w:noBreakHyphen/>
        <w:t>led public inquiries in the United Kingdom: The gold standard?</w:t>
      </w:r>
      <w:r w:rsidRPr="00F44EE2">
        <w:rPr>
          <w:rFonts w:ascii="Arial" w:eastAsia="Arial" w:hAnsi="Arial" w:cs="Arial"/>
          <w:sz w:val="22"/>
          <w:szCs w:val="22"/>
        </w:rPr>
        <w:t xml:space="preserve"> Available at: </w:t>
      </w:r>
      <w:hyperlink r:id="rId26" w:tgtFrame="_blank" w:tooltip="ore.exeter.ac.uk" w:history="1">
        <w:r w:rsidRPr="00F44EE2">
          <w:rPr>
            <w:rStyle w:val="Hyperlink"/>
            <w:rFonts w:ascii="Arial" w:eastAsia="Arial" w:hAnsi="Arial" w:cs="Arial"/>
            <w:sz w:val="22"/>
            <w:szCs w:val="22"/>
          </w:rPr>
          <w:t>https://ore.exeter.ac.uk/articles/chapter/Judge-led_public_inquiries_in_the_United_Kingdom_The_gold_standard_/29793905/1/files/56831444.pdf</w:t>
        </w:r>
      </w:hyperlink>
      <w:r w:rsidRPr="00F44EE2">
        <w:rPr>
          <w:rFonts w:ascii="Arial" w:eastAsia="Arial" w:hAnsi="Arial" w:cs="Arial"/>
          <w:sz w:val="22"/>
          <w:szCs w:val="22"/>
        </w:rPr>
        <w:t xml:space="preserve"> (Accessed: 5 August 2026).</w:t>
      </w:r>
    </w:p>
    <w:p w14:paraId="164BFFD5"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Department of Health (2001) </w:t>
      </w:r>
      <w:r w:rsidRPr="00F44EE2">
        <w:rPr>
          <w:rFonts w:ascii="Arial" w:eastAsia="Arial" w:hAnsi="Arial" w:cs="Arial"/>
          <w:i/>
          <w:iCs/>
          <w:sz w:val="22"/>
          <w:szCs w:val="22"/>
        </w:rPr>
        <w:t>Learning from Bristol: The Department of Health’s Response to the Report of the Public Inquiry into children’s heart surgery at the Bristol Royal Infirmary 1984–1995.</w:t>
      </w:r>
      <w:r w:rsidRPr="00F44EE2">
        <w:rPr>
          <w:rFonts w:ascii="Arial" w:eastAsia="Arial" w:hAnsi="Arial" w:cs="Arial"/>
          <w:sz w:val="22"/>
          <w:szCs w:val="22"/>
        </w:rPr>
        <w:t xml:space="preserve"> Available at:</w:t>
      </w:r>
      <w:hyperlink r:id="rId27" w:history="1">
        <w:r w:rsidRPr="00F44EE2">
          <w:rPr>
            <w:rStyle w:val="Hyperlink"/>
            <w:rFonts w:ascii="Arial" w:eastAsia="Arial" w:hAnsi="Arial" w:cs="Arial"/>
            <w:sz w:val="22"/>
            <w:szCs w:val="22"/>
          </w:rPr>
          <w:t xml:space="preserve"> https://assets.publishing.service.gov.uk/media/5a7c743540f0b62aff6c1c71/5363.pdf</w:t>
        </w:r>
      </w:hyperlink>
      <w:r w:rsidRPr="00F44EE2">
        <w:rPr>
          <w:rFonts w:ascii="Arial" w:eastAsia="Arial" w:hAnsi="Arial" w:cs="Arial"/>
          <w:sz w:val="22"/>
          <w:szCs w:val="22"/>
        </w:rPr>
        <w:t xml:space="preserve"> (Accessed: 5 August 2026).</w:t>
      </w:r>
    </w:p>
    <w:p w14:paraId="7CA25C3A"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Dyer, C. (2002) </w:t>
      </w:r>
      <w:r w:rsidRPr="00F44EE2">
        <w:rPr>
          <w:rFonts w:ascii="Arial" w:eastAsia="Arial" w:hAnsi="Arial" w:cs="Arial"/>
          <w:i/>
          <w:iCs/>
          <w:sz w:val="22"/>
          <w:szCs w:val="22"/>
        </w:rPr>
        <w:t>Doctors guilty over Bristol heart babies.The Guardian</w:t>
      </w:r>
      <w:r w:rsidRPr="00F44EE2">
        <w:rPr>
          <w:rFonts w:ascii="Arial" w:eastAsia="Arial" w:hAnsi="Arial" w:cs="Arial"/>
          <w:sz w:val="22"/>
          <w:szCs w:val="22"/>
        </w:rPr>
        <w:t>, 17 January. Available at:</w:t>
      </w:r>
      <w:hyperlink r:id="rId28" w:history="1">
        <w:r w:rsidRPr="00F44EE2">
          <w:rPr>
            <w:rStyle w:val="Hyperlink"/>
            <w:rFonts w:ascii="Arial" w:eastAsia="Arial" w:hAnsi="Arial" w:cs="Arial"/>
            <w:sz w:val="22"/>
            <w:szCs w:val="22"/>
          </w:rPr>
          <w:t xml:space="preserve"> https://www.theguardian.com/society/2002/jan/17/5</w:t>
        </w:r>
      </w:hyperlink>
      <w:r w:rsidRPr="00F44EE2">
        <w:rPr>
          <w:rFonts w:ascii="Arial" w:eastAsia="Arial" w:hAnsi="Arial" w:cs="Arial"/>
          <w:sz w:val="22"/>
          <w:szCs w:val="22"/>
        </w:rPr>
        <w:t xml:space="preserve"> (Accessed: 5 August 2026).</w:t>
      </w:r>
    </w:p>
    <w:p w14:paraId="7BB912B4" w14:textId="17A2494E" w:rsidR="00FB4CAC" w:rsidRPr="00B9591F" w:rsidRDefault="00FB4CAC" w:rsidP="00B9591F">
      <w:pPr>
        <w:rPr>
          <w:rFonts w:ascii="Arial" w:eastAsia="Arial" w:hAnsi="Arial" w:cs="Arial"/>
          <w:sz w:val="22"/>
          <w:szCs w:val="22"/>
        </w:rPr>
      </w:pPr>
      <w:r w:rsidRPr="00F44EE2">
        <w:rPr>
          <w:rFonts w:ascii="Arial" w:hAnsi="Arial" w:cs="Arial"/>
          <w:sz w:val="22"/>
          <w:szCs w:val="22"/>
        </w:rPr>
        <w:t xml:space="preserve">Eaton, L., Williams, R. and Smith, K. (2024). 'Transformational leadership and quality improvement in healthcare organisations', </w:t>
      </w:r>
      <w:r w:rsidRPr="00F44EE2">
        <w:rPr>
          <w:rFonts w:ascii="Arial" w:hAnsi="Arial" w:cs="Arial"/>
          <w:i/>
          <w:iCs/>
          <w:sz w:val="22"/>
          <w:szCs w:val="22"/>
        </w:rPr>
        <w:t>International Journal for Quality in Health Care</w:t>
      </w:r>
      <w:r w:rsidRPr="00F44EE2">
        <w:rPr>
          <w:rFonts w:ascii="Arial" w:hAnsi="Arial" w:cs="Arial"/>
          <w:sz w:val="22"/>
          <w:szCs w:val="22"/>
        </w:rPr>
        <w:t xml:space="preserve">, 36(2), </w:t>
      </w:r>
      <w:r w:rsidRPr="00F44EE2">
        <w:rPr>
          <w:rFonts w:ascii="Arial" w:hAnsi="Arial" w:cs="Arial"/>
          <w:sz w:val="22"/>
          <w:szCs w:val="22"/>
        </w:rPr>
        <w:lastRenderedPageBreak/>
        <w:t>pp. 1–9. Available at:</w:t>
      </w:r>
      <w:hyperlink r:id="rId29"/>
      <w:hyperlink r:id="rId30">
        <w:r w:rsidRPr="00F44EE2">
          <w:rPr>
            <w:rFonts w:ascii="Arial" w:hAnsi="Arial" w:cs="Arial"/>
            <w:color w:val="1155CC"/>
            <w:sz w:val="22"/>
            <w:szCs w:val="22"/>
            <w:u w:val="single"/>
          </w:rPr>
          <w:t>https://www.researchgate.net/publication/333222783_Leadership_styles'_influence_on_the_quality_of_nursing_care</w:t>
        </w:r>
      </w:hyperlink>
      <w:r w:rsidR="00B9591F" w:rsidRPr="00F44EE2">
        <w:rPr>
          <w:rFonts w:ascii="Arial" w:eastAsia="Arial" w:hAnsi="Arial" w:cs="Arial"/>
          <w:sz w:val="22"/>
          <w:szCs w:val="22"/>
        </w:rPr>
        <w:t>(Accessed: 5 August 2026).</w:t>
      </w:r>
    </w:p>
    <w:p w14:paraId="060F8A7D" w14:textId="4947ACDB" w:rsidR="00FB4CAC" w:rsidRPr="00F44EE2" w:rsidRDefault="00FB4CAC" w:rsidP="00FB4CAC">
      <w:pPr>
        <w:rPr>
          <w:rFonts w:ascii="Arial" w:eastAsia="Arial" w:hAnsi="Arial" w:cs="Arial"/>
          <w:sz w:val="22"/>
          <w:szCs w:val="22"/>
        </w:rPr>
      </w:pPr>
      <w:r w:rsidRPr="00F44EE2">
        <w:rPr>
          <w:rFonts w:ascii="Arial" w:eastAsia="Arial" w:hAnsi="Arial" w:cs="Arial"/>
          <w:color w:val="222222"/>
          <w:sz w:val="22"/>
          <w:szCs w:val="22"/>
        </w:rPr>
        <w:t xml:space="preserve">Falade, I.M., Gyampoh, G.K.S., Akpamgbo, E.O., Chika, O.C., Obodo, O.R., Okobi, O.E., Aguguo, J.C. and Chukwu, V.U., (2024). ‘A comprehensive review of effective patient safety and quality improvement programs in healthcare facilities’. </w:t>
      </w:r>
      <w:r w:rsidRPr="00F44EE2">
        <w:rPr>
          <w:rFonts w:ascii="Arial" w:eastAsia="Arial" w:hAnsi="Arial" w:cs="Arial"/>
          <w:i/>
          <w:iCs/>
          <w:color w:val="222222"/>
          <w:sz w:val="22"/>
          <w:szCs w:val="22"/>
        </w:rPr>
        <w:t>Medical Research Archives</w:t>
      </w:r>
      <w:r w:rsidRPr="00F44EE2">
        <w:rPr>
          <w:rFonts w:ascii="Arial" w:eastAsia="Arial" w:hAnsi="Arial" w:cs="Arial"/>
          <w:color w:val="222222"/>
          <w:sz w:val="22"/>
          <w:szCs w:val="22"/>
        </w:rPr>
        <w:t xml:space="preserve">, </w:t>
      </w:r>
      <w:r w:rsidRPr="00F44EE2">
        <w:rPr>
          <w:rFonts w:ascii="Arial" w:eastAsia="Arial" w:hAnsi="Arial" w:cs="Arial"/>
          <w:i/>
          <w:iCs/>
          <w:color w:val="222222"/>
          <w:sz w:val="22"/>
          <w:szCs w:val="22"/>
        </w:rPr>
        <w:t>12</w:t>
      </w:r>
      <w:r w:rsidRPr="00F44EE2">
        <w:rPr>
          <w:rFonts w:ascii="Arial" w:eastAsia="Arial" w:hAnsi="Arial" w:cs="Arial"/>
          <w:color w:val="222222"/>
          <w:sz w:val="22"/>
          <w:szCs w:val="22"/>
        </w:rPr>
        <w:t>(7).</w:t>
      </w:r>
      <w:hyperlink r:id="rId31">
        <w:r w:rsidRPr="00F44EE2">
          <w:rPr>
            <w:rFonts w:ascii="Arial" w:eastAsia="Arial" w:hAnsi="Arial" w:cs="Arial"/>
            <w:color w:val="1155CC"/>
            <w:sz w:val="22"/>
            <w:szCs w:val="22"/>
            <w:u w:val="single"/>
          </w:rPr>
          <w:t>https://doi.org/10.18103/mra.v12i7.5649</w:t>
        </w:r>
      </w:hyperlink>
      <w:r w:rsidR="00B9591F" w:rsidRPr="00F44EE2">
        <w:rPr>
          <w:rFonts w:ascii="Arial" w:eastAsia="Arial" w:hAnsi="Arial" w:cs="Arial"/>
          <w:sz w:val="22"/>
          <w:szCs w:val="22"/>
        </w:rPr>
        <w:t>(Accessed: 5 August 2026).</w:t>
      </w:r>
    </w:p>
    <w:p w14:paraId="1D40A412" w14:textId="5A684C46" w:rsidR="00FB4CAC" w:rsidRPr="00B9591F" w:rsidRDefault="00FB4CAC" w:rsidP="00B9591F">
      <w:pPr>
        <w:rPr>
          <w:rFonts w:ascii="Arial" w:eastAsia="Arial" w:hAnsi="Arial" w:cs="Arial"/>
          <w:sz w:val="22"/>
          <w:szCs w:val="22"/>
        </w:rPr>
      </w:pPr>
      <w:r w:rsidRPr="00F44EE2">
        <w:rPr>
          <w:rFonts w:ascii="Arial" w:hAnsi="Arial" w:cs="Arial"/>
          <w:sz w:val="22"/>
          <w:szCs w:val="22"/>
        </w:rPr>
        <w:t xml:space="preserve">Falade, T., Johnson, P. and Carter, S. (2024). 'Clinical governance and patient safety improvement in hospital settings', </w:t>
      </w:r>
      <w:r w:rsidRPr="00F44EE2">
        <w:rPr>
          <w:rFonts w:ascii="Arial" w:hAnsi="Arial" w:cs="Arial"/>
          <w:i/>
          <w:iCs/>
          <w:sz w:val="22"/>
          <w:szCs w:val="22"/>
        </w:rPr>
        <w:t>BMJ Open Quality</w:t>
      </w:r>
      <w:r w:rsidRPr="00F44EE2">
        <w:rPr>
          <w:rFonts w:ascii="Arial" w:hAnsi="Arial" w:cs="Arial"/>
          <w:sz w:val="22"/>
          <w:szCs w:val="22"/>
        </w:rPr>
        <w:t>, 13(1), pp. 1–10. Available at:</w:t>
      </w:r>
      <w:hyperlink r:id="rId32"/>
      <w:hyperlink r:id="rId33">
        <w:r w:rsidRPr="00F44EE2">
          <w:rPr>
            <w:rFonts w:ascii="Arial" w:hAnsi="Arial" w:cs="Arial"/>
            <w:color w:val="1155CC"/>
            <w:sz w:val="22"/>
            <w:szCs w:val="22"/>
            <w:u w:val="single"/>
          </w:rPr>
          <w:t>https://pmc.ncbi.nlm.nih.gov/articles/PMC10065807/</w:t>
        </w:r>
      </w:hyperlink>
      <w:r w:rsidR="00B9591F" w:rsidRPr="00F44EE2">
        <w:rPr>
          <w:rFonts w:ascii="Arial" w:eastAsia="Arial" w:hAnsi="Arial" w:cs="Arial"/>
          <w:sz w:val="22"/>
          <w:szCs w:val="22"/>
        </w:rPr>
        <w:t>(Accessed: 5 August 2026).</w:t>
      </w:r>
    </w:p>
    <w:p w14:paraId="53E30507"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Ham, C. (2001) </w:t>
      </w:r>
      <w:r w:rsidRPr="00F44EE2">
        <w:rPr>
          <w:rFonts w:ascii="Arial" w:eastAsia="Arial" w:hAnsi="Arial" w:cs="Arial"/>
          <w:i/>
          <w:iCs/>
          <w:sz w:val="22"/>
          <w:szCs w:val="22"/>
        </w:rPr>
        <w:t>Inquiries: Learning from Failure in the NHS.</w:t>
      </w:r>
      <w:r w:rsidRPr="00F44EE2">
        <w:rPr>
          <w:rFonts w:ascii="Arial" w:eastAsia="Arial" w:hAnsi="Arial" w:cs="Arial"/>
          <w:sz w:val="22"/>
          <w:szCs w:val="22"/>
        </w:rPr>
        <w:t xml:space="preserve"> London: Nuffield Trust. Available at:</w:t>
      </w:r>
      <w:hyperlink r:id="rId34" w:history="1">
        <w:r w:rsidRPr="00F44EE2">
          <w:rPr>
            <w:rStyle w:val="Hyperlink"/>
            <w:rFonts w:ascii="Arial" w:eastAsia="Arial" w:hAnsi="Arial" w:cs="Arial"/>
            <w:sz w:val="22"/>
            <w:szCs w:val="22"/>
          </w:rPr>
          <w:t xml:space="preserve"> https://www.nuffieldtrust.org.uk/sites/default/files/2017-01/inquiries-learning-from-failure-nhs-web-final.pdf</w:t>
        </w:r>
      </w:hyperlink>
      <w:r w:rsidRPr="00F44EE2">
        <w:rPr>
          <w:rFonts w:ascii="Arial" w:eastAsia="Arial" w:hAnsi="Arial" w:cs="Arial"/>
          <w:sz w:val="22"/>
          <w:szCs w:val="22"/>
        </w:rPr>
        <w:t xml:space="preserve"> (Accessed: 5 August 2026).</w:t>
      </w:r>
    </w:p>
    <w:p w14:paraId="4744CA1D" w14:textId="6A5BEDA4" w:rsidR="00FB4CAC" w:rsidRPr="00B9591F" w:rsidRDefault="00FB4CAC" w:rsidP="00B9591F">
      <w:pPr>
        <w:rPr>
          <w:rFonts w:ascii="Arial" w:eastAsia="Arial" w:hAnsi="Arial" w:cs="Arial"/>
          <w:sz w:val="22"/>
          <w:szCs w:val="22"/>
        </w:rPr>
      </w:pPr>
      <w:r w:rsidRPr="00F44EE2">
        <w:rPr>
          <w:rFonts w:ascii="Arial" w:hAnsi="Arial" w:cs="Arial"/>
          <w:sz w:val="22"/>
          <w:szCs w:val="22"/>
        </w:rPr>
        <w:t xml:space="preserve">Hill, A., Roberts, D. and Wilson, P. (2025). 'Family engagement and clinical governance for safer healthcare delivery', </w:t>
      </w:r>
      <w:r w:rsidRPr="00F44EE2">
        <w:rPr>
          <w:rFonts w:ascii="Arial" w:hAnsi="Arial" w:cs="Arial"/>
          <w:i/>
          <w:iCs/>
          <w:sz w:val="22"/>
          <w:szCs w:val="22"/>
        </w:rPr>
        <w:t>Journal of Patient Safety</w:t>
      </w:r>
      <w:r w:rsidRPr="00F44EE2">
        <w:rPr>
          <w:rFonts w:ascii="Arial" w:hAnsi="Arial" w:cs="Arial"/>
          <w:sz w:val="22"/>
          <w:szCs w:val="22"/>
        </w:rPr>
        <w:t>, 21(1), pp. 45–53. Available at:</w:t>
      </w:r>
      <w:hyperlink r:id="rId35"/>
      <w:hyperlink r:id="rId36">
        <w:r w:rsidRPr="00F44EE2">
          <w:rPr>
            <w:rFonts w:ascii="Arial" w:hAnsi="Arial" w:cs="Arial"/>
            <w:color w:val="1155CC"/>
            <w:sz w:val="22"/>
            <w:szCs w:val="22"/>
            <w:u w:val="single"/>
          </w:rPr>
          <w:t>https://journals.lww.com/journalpatientsafety/</w:t>
        </w:r>
      </w:hyperlink>
      <w:r w:rsidR="00B9591F" w:rsidRPr="00F44EE2">
        <w:rPr>
          <w:rFonts w:ascii="Arial" w:eastAsia="Arial" w:hAnsi="Arial" w:cs="Arial"/>
          <w:sz w:val="22"/>
          <w:szCs w:val="22"/>
        </w:rPr>
        <w:t>(Accessed: 5 August 2026).</w:t>
      </w:r>
    </w:p>
    <w:p w14:paraId="350A9BF1" w14:textId="2F219944" w:rsidR="00FB4CAC" w:rsidRPr="00F44EE2" w:rsidRDefault="00FB4CAC" w:rsidP="00FB4CAC">
      <w:pPr>
        <w:rPr>
          <w:rFonts w:ascii="Arial" w:eastAsia="Arial" w:hAnsi="Arial" w:cs="Arial"/>
          <w:sz w:val="22"/>
          <w:szCs w:val="22"/>
        </w:rPr>
      </w:pPr>
      <w:r w:rsidRPr="00F44EE2">
        <w:rPr>
          <w:rFonts w:ascii="Arial" w:eastAsia="Arial" w:hAnsi="Arial" w:cs="Arial"/>
          <w:color w:val="222222"/>
          <w:sz w:val="22"/>
          <w:szCs w:val="22"/>
        </w:rPr>
        <w:t xml:space="preserve">Hill, M.A., Haskell, H., Dainty, K.N., Kuluski, K., Shea, C., Heimlich, L., Kazi, S., Sochaniwskyj, M., Priore, A., Mason, T.L.M. and Coppinger, T., (2026). ‘Scoping review of patient and family engagement interventions in diagnosis: a paradox of too much, yet so little’. </w:t>
      </w:r>
      <w:r w:rsidRPr="00F44EE2">
        <w:rPr>
          <w:rFonts w:ascii="Arial" w:eastAsia="Arial" w:hAnsi="Arial" w:cs="Arial"/>
          <w:i/>
          <w:iCs/>
          <w:color w:val="222222"/>
          <w:sz w:val="22"/>
          <w:szCs w:val="22"/>
        </w:rPr>
        <w:t>BMJ Quality &amp; Safety</w:t>
      </w:r>
      <w:r w:rsidRPr="00F44EE2">
        <w:rPr>
          <w:rFonts w:ascii="Arial" w:eastAsia="Arial" w:hAnsi="Arial" w:cs="Arial"/>
          <w:color w:val="222222"/>
          <w:sz w:val="22"/>
          <w:szCs w:val="22"/>
        </w:rPr>
        <w:t xml:space="preserve">, </w:t>
      </w:r>
      <w:r w:rsidRPr="00F44EE2">
        <w:rPr>
          <w:rFonts w:ascii="Arial" w:eastAsia="Arial" w:hAnsi="Arial" w:cs="Arial"/>
          <w:i/>
          <w:iCs/>
          <w:color w:val="222222"/>
          <w:sz w:val="22"/>
          <w:szCs w:val="22"/>
        </w:rPr>
        <w:t>35</w:t>
      </w:r>
      <w:r w:rsidRPr="00F44EE2">
        <w:rPr>
          <w:rFonts w:ascii="Arial" w:eastAsia="Arial" w:hAnsi="Arial" w:cs="Arial"/>
          <w:color w:val="222222"/>
          <w:sz w:val="22"/>
          <w:szCs w:val="22"/>
        </w:rPr>
        <w:t>(8), pp.552-564.</w:t>
      </w:r>
      <w:hyperlink r:id="rId37">
        <w:r w:rsidRPr="00F44EE2">
          <w:rPr>
            <w:rFonts w:ascii="Arial" w:eastAsia="Arial" w:hAnsi="Arial" w:cs="Arial"/>
            <w:color w:val="1155CC"/>
            <w:sz w:val="22"/>
            <w:szCs w:val="22"/>
            <w:u w:val="single"/>
          </w:rPr>
          <w:t>https://qualitysafety.bmj.com/content/qhc/35/8/552.full.pdf</w:t>
        </w:r>
      </w:hyperlink>
      <w:r w:rsidR="00B9591F" w:rsidRPr="00F44EE2">
        <w:rPr>
          <w:rFonts w:ascii="Arial" w:eastAsia="Arial" w:hAnsi="Arial" w:cs="Arial"/>
          <w:sz w:val="22"/>
          <w:szCs w:val="22"/>
        </w:rPr>
        <w:t>(Accessed: 5 August 2026).</w:t>
      </w:r>
    </w:p>
    <w:p w14:paraId="730D4B7B" w14:textId="77777777" w:rsidR="00FB4CAC" w:rsidRPr="00F44EE2" w:rsidRDefault="00FB4CAC" w:rsidP="00FB4CAC">
      <w:pPr>
        <w:spacing w:before="240" w:after="240"/>
        <w:rPr>
          <w:rFonts w:ascii="Arial" w:hAnsi="Arial" w:cs="Arial"/>
          <w:sz w:val="22"/>
          <w:szCs w:val="22"/>
        </w:rPr>
      </w:pPr>
      <w:r w:rsidRPr="00F44EE2">
        <w:rPr>
          <w:rFonts w:ascii="Arial" w:hAnsi="Arial" w:cs="Arial"/>
          <w:sz w:val="22"/>
          <w:szCs w:val="22"/>
        </w:rPr>
        <w:t xml:space="preserve">IHI (2024) </w:t>
      </w:r>
      <w:r w:rsidRPr="00F44EE2">
        <w:rPr>
          <w:rFonts w:ascii="Arial" w:hAnsi="Arial" w:cs="Arial"/>
          <w:i/>
          <w:iCs/>
          <w:sz w:val="22"/>
          <w:szCs w:val="22"/>
        </w:rPr>
        <w:t>Science of Improvement: Testing Changes</w:t>
      </w:r>
      <w:r w:rsidRPr="00F44EE2">
        <w:rPr>
          <w:rFonts w:ascii="Arial" w:hAnsi="Arial" w:cs="Arial"/>
          <w:sz w:val="22"/>
          <w:szCs w:val="22"/>
        </w:rPr>
        <w:t>. Available at:</w:t>
      </w:r>
      <w:hyperlink r:id="rId38"/>
      <w:hyperlink r:id="rId39">
        <w:r w:rsidRPr="00F44EE2">
          <w:rPr>
            <w:rFonts w:ascii="Arial" w:hAnsi="Arial" w:cs="Arial"/>
            <w:color w:val="1155CC"/>
            <w:sz w:val="22"/>
            <w:szCs w:val="22"/>
            <w:u w:val="single"/>
          </w:rPr>
          <w:t>https://www.ihi.org/resources/Pages/HowtoImprove/ScienceofImprovementTestingChanges.aspx</w:t>
        </w:r>
      </w:hyperlink>
      <w:r w:rsidRPr="00F44EE2">
        <w:rPr>
          <w:rFonts w:ascii="Arial" w:hAnsi="Arial" w:cs="Arial"/>
          <w:sz w:val="22"/>
          <w:szCs w:val="22"/>
        </w:rPr>
        <w:t xml:space="preserve"> (Accessed: 5 August 2026).</w:t>
      </w:r>
    </w:p>
    <w:p w14:paraId="6015B334"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Kumah, A., Nwogu, C.N., Issah, A.R., Obot, E., Kanamitie, D.T., Sifa, J.S. and Aidoo, L.A. (2024) </w:t>
      </w:r>
      <w:r w:rsidRPr="00F44EE2">
        <w:rPr>
          <w:rFonts w:ascii="Arial" w:eastAsia="Arial" w:hAnsi="Arial" w:cs="Arial"/>
          <w:i/>
          <w:iCs/>
          <w:sz w:val="22"/>
          <w:szCs w:val="22"/>
        </w:rPr>
        <w:t>Cause</w:t>
      </w:r>
      <w:r w:rsidRPr="00F44EE2">
        <w:rPr>
          <w:rFonts w:ascii="Arial" w:eastAsia="Arial" w:hAnsi="Arial" w:cs="Arial"/>
          <w:i/>
          <w:iCs/>
          <w:sz w:val="22"/>
          <w:szCs w:val="22"/>
        </w:rPr>
        <w:noBreakHyphen/>
        <w:t>and</w:t>
      </w:r>
      <w:r w:rsidRPr="00F44EE2">
        <w:rPr>
          <w:rFonts w:ascii="Arial" w:eastAsia="Arial" w:hAnsi="Arial" w:cs="Arial"/>
          <w:i/>
          <w:iCs/>
          <w:sz w:val="22"/>
          <w:szCs w:val="22"/>
        </w:rPr>
        <w:noBreakHyphen/>
        <w:t>effect (fishbone) diagram: a tool for generating and organizing quality improvement ideas.Global Journal on Quality and Safety in Healthcare</w:t>
      </w:r>
      <w:r w:rsidRPr="00F44EE2">
        <w:rPr>
          <w:rFonts w:ascii="Arial" w:eastAsia="Arial" w:hAnsi="Arial" w:cs="Arial"/>
          <w:sz w:val="22"/>
          <w:szCs w:val="22"/>
        </w:rPr>
        <w:t>, 7(2), pp.85–87. DOI: 10.36401/JQSH-23-42.</w:t>
      </w:r>
    </w:p>
    <w:p w14:paraId="37018192" w14:textId="77777777" w:rsidR="00B9591F" w:rsidRPr="00F44EE2" w:rsidRDefault="00FB4CAC" w:rsidP="00B9591F">
      <w:pPr>
        <w:rPr>
          <w:rFonts w:ascii="Arial" w:eastAsia="Arial" w:hAnsi="Arial" w:cs="Arial"/>
          <w:sz w:val="22"/>
          <w:szCs w:val="22"/>
        </w:rPr>
      </w:pPr>
      <w:r w:rsidRPr="00F44EE2">
        <w:rPr>
          <w:rFonts w:ascii="Arial" w:hAnsi="Arial" w:cs="Arial"/>
          <w:sz w:val="22"/>
          <w:szCs w:val="22"/>
        </w:rPr>
        <w:t xml:space="preserve">Lawrason, J., Harrison, R. and Holmes, A. (2023). 'Transformational leadership and patient safety culture in healthcare organisations', </w:t>
      </w:r>
      <w:r w:rsidRPr="00F44EE2">
        <w:rPr>
          <w:rFonts w:ascii="Arial" w:hAnsi="Arial" w:cs="Arial"/>
          <w:i/>
          <w:iCs/>
          <w:sz w:val="22"/>
          <w:szCs w:val="22"/>
        </w:rPr>
        <w:t>BMC Health Services Research</w:t>
      </w:r>
      <w:r w:rsidRPr="00F44EE2">
        <w:rPr>
          <w:rFonts w:ascii="Arial" w:hAnsi="Arial" w:cs="Arial"/>
          <w:sz w:val="22"/>
          <w:szCs w:val="22"/>
        </w:rPr>
        <w:t>, 23(1), pp. 1–12. Available at:</w:t>
      </w:r>
      <w:hyperlink r:id="rId40"/>
      <w:hyperlink r:id="rId41">
        <w:r w:rsidRPr="00F44EE2">
          <w:rPr>
            <w:rFonts w:ascii="Arial" w:hAnsi="Arial" w:cs="Arial"/>
            <w:color w:val="1155CC"/>
            <w:sz w:val="22"/>
            <w:szCs w:val="22"/>
            <w:u w:val="single"/>
          </w:rPr>
          <w:t>https://bmchealthservres.biomedcentral.com/</w:t>
        </w:r>
      </w:hyperlink>
      <w:r w:rsidR="00B9591F" w:rsidRPr="00F44EE2">
        <w:rPr>
          <w:rFonts w:ascii="Arial" w:eastAsia="Arial" w:hAnsi="Arial" w:cs="Arial"/>
          <w:sz w:val="22"/>
          <w:szCs w:val="22"/>
        </w:rPr>
        <w:t>(Accessed: 5 August 2026).</w:t>
      </w:r>
    </w:p>
    <w:p w14:paraId="3B88C61B" w14:textId="4FD49CE6" w:rsidR="00FB4CAC" w:rsidRPr="00F44EE2" w:rsidRDefault="00FB4CAC" w:rsidP="00FB4CAC">
      <w:pPr>
        <w:spacing w:before="240" w:after="240"/>
        <w:rPr>
          <w:rFonts w:ascii="Arial" w:hAnsi="Arial" w:cs="Arial"/>
          <w:color w:val="1155CC"/>
          <w:sz w:val="22"/>
          <w:szCs w:val="22"/>
          <w:u w:val="single"/>
        </w:rPr>
      </w:pPr>
    </w:p>
    <w:p w14:paraId="0924C916" w14:textId="1367F895" w:rsidR="00FB4CAC" w:rsidRPr="00B9591F" w:rsidRDefault="00FB4CAC" w:rsidP="00B9591F">
      <w:pPr>
        <w:rPr>
          <w:rFonts w:ascii="Arial" w:eastAsia="Arial" w:hAnsi="Arial" w:cs="Arial"/>
          <w:sz w:val="22"/>
          <w:szCs w:val="22"/>
        </w:rPr>
      </w:pPr>
      <w:r w:rsidRPr="00F44EE2">
        <w:rPr>
          <w:rFonts w:ascii="Arial" w:hAnsi="Arial" w:cs="Arial"/>
          <w:sz w:val="22"/>
          <w:szCs w:val="22"/>
        </w:rPr>
        <w:lastRenderedPageBreak/>
        <w:t xml:space="preserve">Neeland, M., Green, P. and Davies, J. (2024). 'Lean healthcare implementation for improving patient flow and safety', </w:t>
      </w:r>
      <w:r w:rsidRPr="00F44EE2">
        <w:rPr>
          <w:rFonts w:ascii="Arial" w:hAnsi="Arial" w:cs="Arial"/>
          <w:i/>
          <w:iCs/>
          <w:sz w:val="22"/>
          <w:szCs w:val="22"/>
        </w:rPr>
        <w:t>BMJ Open Quality</w:t>
      </w:r>
      <w:r w:rsidRPr="00F44EE2">
        <w:rPr>
          <w:rFonts w:ascii="Arial" w:hAnsi="Arial" w:cs="Arial"/>
          <w:sz w:val="22"/>
          <w:szCs w:val="22"/>
        </w:rPr>
        <w:t>, 13(2), pp. 1–8. Available at:</w:t>
      </w:r>
      <w:hyperlink r:id="rId42"/>
      <w:hyperlink r:id="rId43">
        <w:r w:rsidRPr="00F44EE2">
          <w:rPr>
            <w:rFonts w:ascii="Arial" w:hAnsi="Arial" w:cs="Arial"/>
            <w:color w:val="1155CC"/>
            <w:sz w:val="22"/>
            <w:szCs w:val="22"/>
            <w:u w:val="single"/>
          </w:rPr>
          <w:t>https://www.researchgate.net/publication/276881603_Applying_Lean_principles_to_the_design_of_healthcare_facilities</w:t>
        </w:r>
      </w:hyperlink>
      <w:r w:rsidR="00B9591F" w:rsidRPr="00F44EE2">
        <w:rPr>
          <w:rFonts w:ascii="Arial" w:eastAsia="Arial" w:hAnsi="Arial" w:cs="Arial"/>
          <w:sz w:val="22"/>
          <w:szCs w:val="22"/>
        </w:rPr>
        <w:t>(Accessed: 5 August 2026).</w:t>
      </w:r>
    </w:p>
    <w:p w14:paraId="63430B36"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NHS (2026). </w:t>
      </w:r>
      <w:r w:rsidRPr="00F44EE2">
        <w:rPr>
          <w:rFonts w:ascii="Arial" w:eastAsia="Arial" w:hAnsi="Arial" w:cs="Arial"/>
          <w:i/>
          <w:iCs/>
          <w:sz w:val="22"/>
          <w:szCs w:val="22"/>
        </w:rPr>
        <w:t xml:space="preserve">About us. </w:t>
      </w:r>
      <w:r w:rsidRPr="00F44EE2">
        <w:rPr>
          <w:rFonts w:ascii="Arial" w:eastAsia="Arial" w:hAnsi="Arial" w:cs="Arial"/>
          <w:sz w:val="22"/>
          <w:szCs w:val="22"/>
        </w:rPr>
        <w:t xml:space="preserve"> Available at: </w:t>
      </w:r>
      <w:hyperlink r:id="rId44">
        <w:r w:rsidRPr="00F44EE2">
          <w:rPr>
            <w:rFonts w:ascii="Arial" w:eastAsia="Arial" w:hAnsi="Arial" w:cs="Arial"/>
            <w:color w:val="1155CC"/>
            <w:sz w:val="22"/>
            <w:szCs w:val="22"/>
            <w:u w:val="single"/>
          </w:rPr>
          <w:t>https://www.uhbristol.nhs.uk/patients-and-visitors/your-hospitals/bristol-royal-infirmary/</w:t>
        </w:r>
      </w:hyperlink>
      <w:r w:rsidR="00F4667C">
        <w:rPr>
          <w:rFonts w:ascii="Arial" w:eastAsia="Arial" w:hAnsi="Arial" w:cs="Arial"/>
          <w:sz w:val="22"/>
          <w:szCs w:val="22"/>
        </w:rPr>
        <w:t xml:space="preserve"> (Accessed: 4</w:t>
      </w:r>
      <w:r w:rsidRPr="00F44EE2">
        <w:rPr>
          <w:rFonts w:ascii="Arial" w:eastAsia="Arial" w:hAnsi="Arial" w:cs="Arial"/>
          <w:sz w:val="22"/>
          <w:szCs w:val="22"/>
        </w:rPr>
        <w:t xml:space="preserve"> August 2026)</w:t>
      </w:r>
    </w:p>
    <w:p w14:paraId="1E11F5A1" w14:textId="77777777" w:rsidR="00FB4CAC" w:rsidRPr="00F44EE2" w:rsidRDefault="00FB4CAC" w:rsidP="00FB4CAC">
      <w:pPr>
        <w:spacing w:before="240" w:after="240"/>
        <w:rPr>
          <w:rFonts w:ascii="Arial" w:hAnsi="Arial" w:cs="Arial"/>
          <w:sz w:val="22"/>
          <w:szCs w:val="22"/>
        </w:rPr>
      </w:pPr>
      <w:r w:rsidRPr="00F44EE2">
        <w:rPr>
          <w:rFonts w:ascii="Arial" w:hAnsi="Arial" w:cs="Arial"/>
          <w:sz w:val="22"/>
          <w:szCs w:val="22"/>
        </w:rPr>
        <w:t xml:space="preserve">NHS England (2023) </w:t>
      </w:r>
      <w:r w:rsidRPr="00F44EE2">
        <w:rPr>
          <w:rFonts w:ascii="Arial" w:hAnsi="Arial" w:cs="Arial"/>
          <w:i/>
          <w:iCs/>
          <w:sz w:val="22"/>
          <w:szCs w:val="22"/>
        </w:rPr>
        <w:t>NHS Patient Safety Strategy: Safer culture, safer systems, safer patients</w:t>
      </w:r>
      <w:r w:rsidRPr="00F44EE2">
        <w:rPr>
          <w:rFonts w:ascii="Arial" w:hAnsi="Arial" w:cs="Arial"/>
          <w:sz w:val="22"/>
          <w:szCs w:val="22"/>
        </w:rPr>
        <w:t>. Available at:</w:t>
      </w:r>
      <w:hyperlink r:id="rId45"/>
      <w:hyperlink r:id="rId46">
        <w:r w:rsidRPr="00F44EE2">
          <w:rPr>
            <w:rFonts w:ascii="Arial" w:hAnsi="Arial" w:cs="Arial"/>
            <w:color w:val="1155CC"/>
            <w:sz w:val="22"/>
            <w:szCs w:val="22"/>
            <w:u w:val="single"/>
          </w:rPr>
          <w:t>https://www.england.nhs.uk/patient-safety/</w:t>
        </w:r>
      </w:hyperlink>
      <w:r w:rsidRPr="00F44EE2">
        <w:rPr>
          <w:rFonts w:ascii="Arial" w:hAnsi="Arial" w:cs="Arial"/>
          <w:sz w:val="22"/>
          <w:szCs w:val="22"/>
        </w:rPr>
        <w:t xml:space="preserve"> (Accessed: 5 August 2026).</w:t>
      </w:r>
    </w:p>
    <w:p w14:paraId="3208E141" w14:textId="77777777" w:rsidR="00FB4CAC" w:rsidRPr="00F44EE2" w:rsidRDefault="00FB4CAC" w:rsidP="00FB4CAC">
      <w:pPr>
        <w:spacing w:before="240" w:after="240"/>
        <w:rPr>
          <w:rFonts w:ascii="Arial" w:hAnsi="Arial" w:cs="Arial"/>
          <w:sz w:val="22"/>
          <w:szCs w:val="22"/>
        </w:rPr>
      </w:pPr>
      <w:r w:rsidRPr="00F44EE2">
        <w:rPr>
          <w:rFonts w:ascii="Arial" w:hAnsi="Arial" w:cs="Arial"/>
          <w:sz w:val="22"/>
          <w:szCs w:val="22"/>
        </w:rPr>
        <w:t xml:space="preserve">NHS England (2023) </w:t>
      </w:r>
      <w:r w:rsidRPr="00F44EE2">
        <w:rPr>
          <w:rFonts w:ascii="Arial" w:hAnsi="Arial" w:cs="Arial"/>
          <w:i/>
          <w:iCs/>
          <w:sz w:val="22"/>
          <w:szCs w:val="22"/>
        </w:rPr>
        <w:t>Quality Improvement Guide</w:t>
      </w:r>
      <w:r w:rsidRPr="00F44EE2">
        <w:rPr>
          <w:rFonts w:ascii="Arial" w:hAnsi="Arial" w:cs="Arial"/>
          <w:sz w:val="22"/>
          <w:szCs w:val="22"/>
        </w:rPr>
        <w:t>. Available at:</w:t>
      </w:r>
      <w:hyperlink r:id="rId47"/>
      <w:hyperlink r:id="rId48">
        <w:r w:rsidRPr="00F44EE2">
          <w:rPr>
            <w:rFonts w:ascii="Arial" w:hAnsi="Arial" w:cs="Arial"/>
            <w:color w:val="1155CC"/>
            <w:sz w:val="22"/>
            <w:szCs w:val="22"/>
            <w:u w:val="single"/>
          </w:rPr>
          <w:t>https://www.england.nhs.uk/improvement-hub/</w:t>
        </w:r>
      </w:hyperlink>
      <w:r w:rsidRPr="00F44EE2">
        <w:rPr>
          <w:rFonts w:ascii="Arial" w:hAnsi="Arial" w:cs="Arial"/>
          <w:sz w:val="22"/>
          <w:szCs w:val="22"/>
        </w:rPr>
        <w:t xml:space="preserve"> (Accessed: 5 August 2026).</w:t>
      </w:r>
    </w:p>
    <w:p w14:paraId="19B64432" w14:textId="77777777" w:rsidR="00FB4CAC" w:rsidRPr="00F44EE2" w:rsidRDefault="00FB4CAC" w:rsidP="00FB4CAC">
      <w:pPr>
        <w:rPr>
          <w:rFonts w:ascii="Arial" w:eastAsia="Arial" w:hAnsi="Arial" w:cs="Arial"/>
          <w:sz w:val="22"/>
          <w:szCs w:val="22"/>
        </w:rPr>
      </w:pPr>
      <w:r w:rsidRPr="00F44EE2">
        <w:rPr>
          <w:rFonts w:ascii="Arial" w:eastAsia="Arial" w:hAnsi="Arial" w:cs="Arial"/>
          <w:color w:val="222222"/>
          <w:sz w:val="22"/>
          <w:szCs w:val="22"/>
        </w:rPr>
        <w:t>Paterson, J.C., (2023). ‘</w:t>
      </w:r>
      <w:r w:rsidRPr="00F44EE2">
        <w:rPr>
          <w:rFonts w:ascii="Arial" w:eastAsia="Arial" w:hAnsi="Arial" w:cs="Arial"/>
          <w:i/>
          <w:iCs/>
          <w:color w:val="222222"/>
          <w:sz w:val="22"/>
          <w:szCs w:val="22"/>
        </w:rPr>
        <w:t>Beyond the Five Whys: Root Cause Analysis and Systems Thinking’</w:t>
      </w:r>
      <w:r w:rsidRPr="00F44EE2">
        <w:rPr>
          <w:rFonts w:ascii="Arial" w:eastAsia="Arial" w:hAnsi="Arial" w:cs="Arial"/>
          <w:color w:val="222222"/>
          <w:sz w:val="22"/>
          <w:szCs w:val="22"/>
        </w:rPr>
        <w:t>. John Wiley &amp; Sons.</w:t>
      </w:r>
    </w:p>
    <w:p w14:paraId="0062F3E1"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Sakdiyah, S.H., Eltivia, N. and Afandi, A. (2022) </w:t>
      </w:r>
      <w:r w:rsidRPr="00F44EE2">
        <w:rPr>
          <w:rFonts w:ascii="Arial" w:eastAsia="Arial" w:hAnsi="Arial" w:cs="Arial"/>
          <w:i/>
          <w:iCs/>
          <w:sz w:val="22"/>
          <w:szCs w:val="22"/>
        </w:rPr>
        <w:t>Root cause analysis using fishbone diagram: company management decision making.Journal of Applied Business, Taxation and Economics Research</w:t>
      </w:r>
      <w:r w:rsidRPr="00F44EE2">
        <w:rPr>
          <w:rFonts w:ascii="Arial" w:eastAsia="Arial" w:hAnsi="Arial" w:cs="Arial"/>
          <w:sz w:val="22"/>
          <w:szCs w:val="22"/>
        </w:rPr>
        <w:t>, 1(6), pp.566–576. Available at:</w:t>
      </w:r>
      <w:hyperlink r:id="rId49" w:history="1">
        <w:r w:rsidRPr="00F44EE2">
          <w:rPr>
            <w:rStyle w:val="Hyperlink"/>
            <w:rFonts w:ascii="Arial" w:eastAsia="Arial" w:hAnsi="Arial" w:cs="Arial"/>
            <w:sz w:val="22"/>
            <w:szCs w:val="22"/>
          </w:rPr>
          <w:t xml:space="preserve"> https://equatorscience.com/index.php/jabter/article/download/103/80</w:t>
        </w:r>
      </w:hyperlink>
      <w:r w:rsidRPr="00F44EE2">
        <w:rPr>
          <w:rFonts w:ascii="Arial" w:eastAsia="Arial" w:hAnsi="Arial" w:cs="Arial"/>
          <w:sz w:val="22"/>
          <w:szCs w:val="22"/>
        </w:rPr>
        <w:t xml:space="preserve"> (Accessed: 5 August 2026).</w:t>
      </w:r>
    </w:p>
    <w:p w14:paraId="6F32BDAD"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Smith, R. (2004) </w:t>
      </w:r>
      <w:r w:rsidRPr="00F44EE2">
        <w:rPr>
          <w:rFonts w:ascii="Arial" w:eastAsia="Arial" w:hAnsi="Arial" w:cs="Arial"/>
          <w:i/>
          <w:iCs/>
          <w:sz w:val="22"/>
          <w:szCs w:val="22"/>
        </w:rPr>
        <w:t>The Bristol inquiry: the case for reflective practice.Journal of the Royal Society of Medicine</w:t>
      </w:r>
      <w:r w:rsidRPr="00F44EE2">
        <w:rPr>
          <w:rFonts w:ascii="Arial" w:eastAsia="Arial" w:hAnsi="Arial" w:cs="Arial"/>
          <w:sz w:val="22"/>
          <w:szCs w:val="22"/>
        </w:rPr>
        <w:t>, 97(1), pp.44–48. Available at:</w:t>
      </w:r>
      <w:hyperlink r:id="rId50" w:history="1">
        <w:r w:rsidRPr="00F44EE2">
          <w:rPr>
            <w:rStyle w:val="Hyperlink"/>
            <w:rFonts w:ascii="Arial" w:eastAsia="Arial" w:hAnsi="Arial" w:cs="Arial"/>
            <w:sz w:val="22"/>
            <w:szCs w:val="22"/>
          </w:rPr>
          <w:t xml:space="preserve"> https://pmc.ncbi.nlm.nih.gov/articles/PMC1120824/</w:t>
        </w:r>
      </w:hyperlink>
      <w:r w:rsidRPr="00F44EE2">
        <w:rPr>
          <w:rFonts w:ascii="Arial" w:eastAsia="Arial" w:hAnsi="Arial" w:cs="Arial"/>
          <w:sz w:val="22"/>
          <w:szCs w:val="22"/>
        </w:rPr>
        <w:t xml:space="preserve"> (Accessed: 5 August 2026).</w:t>
      </w:r>
    </w:p>
    <w:p w14:paraId="08A385DF" w14:textId="1D4FF792" w:rsidR="00FB4CAC" w:rsidRPr="00F44EE2" w:rsidRDefault="00FB4CAC" w:rsidP="00FB4CAC">
      <w:pPr>
        <w:rPr>
          <w:rFonts w:ascii="Arial" w:eastAsia="Arial" w:hAnsi="Arial" w:cs="Arial"/>
          <w:sz w:val="22"/>
          <w:szCs w:val="22"/>
        </w:rPr>
      </w:pPr>
      <w:r w:rsidRPr="00F44EE2">
        <w:rPr>
          <w:rFonts w:ascii="Arial" w:eastAsia="Arial" w:hAnsi="Arial" w:cs="Arial"/>
          <w:color w:val="222222"/>
          <w:sz w:val="22"/>
          <w:szCs w:val="22"/>
        </w:rPr>
        <w:t xml:space="preserve">Sriharan, A., Sekercioglu, N., Mitchell, C., Senkaiahliyan, S., Hertelendy, A., Porter, T. and Banaszak-Holl, J., (2024). ‘Leadership for AI transformation in health care organization: scoping review’. </w:t>
      </w:r>
      <w:r w:rsidRPr="00F44EE2">
        <w:rPr>
          <w:rFonts w:ascii="Arial" w:eastAsia="Arial" w:hAnsi="Arial" w:cs="Arial"/>
          <w:i/>
          <w:iCs/>
          <w:color w:val="222222"/>
          <w:sz w:val="22"/>
          <w:szCs w:val="22"/>
        </w:rPr>
        <w:t>Journal of Medical Internet Research</w:t>
      </w:r>
      <w:r w:rsidRPr="00F44EE2">
        <w:rPr>
          <w:rFonts w:ascii="Arial" w:eastAsia="Arial" w:hAnsi="Arial" w:cs="Arial"/>
          <w:color w:val="222222"/>
          <w:sz w:val="22"/>
          <w:szCs w:val="22"/>
        </w:rPr>
        <w:t xml:space="preserve">, </w:t>
      </w:r>
      <w:r w:rsidRPr="00F44EE2">
        <w:rPr>
          <w:rFonts w:ascii="Arial" w:eastAsia="Arial" w:hAnsi="Arial" w:cs="Arial"/>
          <w:i/>
          <w:iCs/>
          <w:color w:val="222222"/>
          <w:sz w:val="22"/>
          <w:szCs w:val="22"/>
        </w:rPr>
        <w:t>26</w:t>
      </w:r>
      <w:r w:rsidRPr="00F44EE2">
        <w:rPr>
          <w:rFonts w:ascii="Arial" w:eastAsia="Arial" w:hAnsi="Arial" w:cs="Arial"/>
          <w:color w:val="222222"/>
          <w:sz w:val="22"/>
          <w:szCs w:val="22"/>
        </w:rPr>
        <w:t>, p.e54556.</w:t>
      </w:r>
      <w:hyperlink r:id="rId51">
        <w:r w:rsidRPr="00F44EE2">
          <w:rPr>
            <w:rFonts w:ascii="Arial" w:eastAsia="Arial" w:hAnsi="Arial" w:cs="Arial"/>
            <w:color w:val="1155CC"/>
            <w:sz w:val="22"/>
            <w:szCs w:val="22"/>
            <w:u w:val="single"/>
          </w:rPr>
          <w:t>https://www.jmir.org/2024/1/e54556/</w:t>
        </w:r>
      </w:hyperlink>
      <w:r w:rsidR="00B9591F" w:rsidRPr="00F44EE2">
        <w:rPr>
          <w:rFonts w:ascii="Arial" w:eastAsia="Arial" w:hAnsi="Arial" w:cs="Arial"/>
          <w:sz w:val="22"/>
          <w:szCs w:val="22"/>
        </w:rPr>
        <w:t>(Accessed: 5 August 2026).</w:t>
      </w:r>
    </w:p>
    <w:p w14:paraId="04536CCB" w14:textId="77777777" w:rsidR="00FB4CAC" w:rsidRPr="00F44EE2" w:rsidRDefault="00FB4CAC" w:rsidP="00FB4CAC">
      <w:pPr>
        <w:rPr>
          <w:rFonts w:ascii="Arial" w:eastAsia="Arial" w:hAnsi="Arial" w:cs="Arial"/>
          <w:sz w:val="22"/>
          <w:szCs w:val="22"/>
        </w:rPr>
      </w:pPr>
      <w:r w:rsidRPr="00F44EE2">
        <w:rPr>
          <w:rFonts w:ascii="Arial" w:eastAsia="Arial" w:hAnsi="Arial" w:cs="Arial"/>
          <w:sz w:val="22"/>
          <w:szCs w:val="22"/>
        </w:rPr>
        <w:t xml:space="preserve">Theguardian (2026). </w:t>
      </w:r>
      <w:r w:rsidRPr="00F44EE2">
        <w:rPr>
          <w:rFonts w:ascii="Arial" w:eastAsia="Arial" w:hAnsi="Arial" w:cs="Arial"/>
          <w:i/>
          <w:iCs/>
          <w:sz w:val="22"/>
          <w:szCs w:val="22"/>
        </w:rPr>
        <w:t xml:space="preserve">Two-thirds of NHS nurses believe lack of staff. </w:t>
      </w:r>
      <w:r w:rsidRPr="00F44EE2">
        <w:rPr>
          <w:rFonts w:ascii="Arial" w:eastAsia="Arial" w:hAnsi="Arial" w:cs="Arial"/>
          <w:sz w:val="22"/>
          <w:szCs w:val="22"/>
        </w:rPr>
        <w:t xml:space="preserve">Available at: </w:t>
      </w:r>
      <w:hyperlink r:id="rId52">
        <w:r w:rsidRPr="00F44EE2">
          <w:rPr>
            <w:rFonts w:ascii="Arial" w:eastAsia="Arial" w:hAnsi="Arial" w:cs="Arial"/>
            <w:color w:val="1155CC"/>
            <w:sz w:val="22"/>
            <w:szCs w:val="22"/>
            <w:u w:val="single"/>
          </w:rPr>
          <w:t>https://www.theguardian.com/society/2026/may/18/nhs-nurses-believe-lack-of-staff-putting-patients-at-risk-survey-finds</w:t>
        </w:r>
      </w:hyperlink>
      <w:r w:rsidRPr="00F44EE2">
        <w:rPr>
          <w:rFonts w:ascii="Arial" w:eastAsia="Arial" w:hAnsi="Arial" w:cs="Arial"/>
          <w:sz w:val="22"/>
          <w:szCs w:val="22"/>
        </w:rPr>
        <w:t xml:space="preserve"> (Accessed: 4th August 2026)</w:t>
      </w:r>
    </w:p>
    <w:p w14:paraId="1FD953B7" w14:textId="77777777" w:rsidR="00B9591F" w:rsidRPr="00F44EE2" w:rsidRDefault="00FB4CAC" w:rsidP="00B9591F">
      <w:pPr>
        <w:rPr>
          <w:rFonts w:ascii="Arial" w:eastAsia="Arial" w:hAnsi="Arial" w:cs="Arial"/>
          <w:sz w:val="22"/>
          <w:szCs w:val="22"/>
        </w:rPr>
      </w:pPr>
      <w:r w:rsidRPr="00F44EE2">
        <w:rPr>
          <w:rFonts w:ascii="Arial" w:eastAsia="Arial" w:hAnsi="Arial" w:cs="Arial"/>
          <w:color w:val="222222"/>
          <w:sz w:val="22"/>
          <w:szCs w:val="22"/>
        </w:rPr>
        <w:t xml:space="preserve">Topuz, İ., Nal, M., Durmuş, V. and Bektaş, G., (2025). ‘Trust in the healthcare system as a predictor of patient satisfaction: a cross-sectional survey in Türkiye’s primary care setting’. </w:t>
      </w:r>
      <w:r w:rsidRPr="00F44EE2">
        <w:rPr>
          <w:rFonts w:ascii="Arial" w:eastAsia="Arial" w:hAnsi="Arial" w:cs="Arial"/>
          <w:i/>
          <w:iCs/>
          <w:color w:val="222222"/>
          <w:sz w:val="22"/>
          <w:szCs w:val="22"/>
        </w:rPr>
        <w:t>BMC Public Health</w:t>
      </w:r>
      <w:r w:rsidRPr="00F44EE2">
        <w:rPr>
          <w:rFonts w:ascii="Arial" w:eastAsia="Arial" w:hAnsi="Arial" w:cs="Arial"/>
          <w:color w:val="222222"/>
          <w:sz w:val="22"/>
          <w:szCs w:val="22"/>
        </w:rPr>
        <w:t xml:space="preserve">, </w:t>
      </w:r>
      <w:r w:rsidRPr="00F44EE2">
        <w:rPr>
          <w:rFonts w:ascii="Arial" w:eastAsia="Arial" w:hAnsi="Arial" w:cs="Arial"/>
          <w:i/>
          <w:iCs/>
          <w:color w:val="222222"/>
          <w:sz w:val="22"/>
          <w:szCs w:val="22"/>
        </w:rPr>
        <w:t>25</w:t>
      </w:r>
      <w:r w:rsidRPr="00F44EE2">
        <w:rPr>
          <w:rFonts w:ascii="Arial" w:eastAsia="Arial" w:hAnsi="Arial" w:cs="Arial"/>
          <w:color w:val="222222"/>
          <w:sz w:val="22"/>
          <w:szCs w:val="22"/>
        </w:rPr>
        <w:t>(1), p.3887.</w:t>
      </w:r>
      <w:hyperlink r:id="rId53">
        <w:r w:rsidRPr="00F44EE2">
          <w:rPr>
            <w:rFonts w:ascii="Arial" w:eastAsia="Arial" w:hAnsi="Arial" w:cs="Arial"/>
            <w:color w:val="1155CC"/>
            <w:sz w:val="22"/>
            <w:szCs w:val="22"/>
            <w:u w:val="single"/>
          </w:rPr>
          <w:t>https://link.springer.com/content/pdf/10.1186/s12889-025-25117-6.pdf</w:t>
        </w:r>
      </w:hyperlink>
      <w:r w:rsidR="00B9591F" w:rsidRPr="00F44EE2">
        <w:rPr>
          <w:rFonts w:ascii="Arial" w:eastAsia="Arial" w:hAnsi="Arial" w:cs="Arial"/>
          <w:sz w:val="22"/>
          <w:szCs w:val="22"/>
        </w:rPr>
        <w:t>(Accessed: 5 August 2026).</w:t>
      </w:r>
    </w:p>
    <w:p w14:paraId="0F8164BE" w14:textId="6F6D4561" w:rsidR="00FB4CAC" w:rsidRPr="00F44EE2" w:rsidRDefault="00FB4CAC" w:rsidP="00FB4CAC">
      <w:pPr>
        <w:rPr>
          <w:rFonts w:ascii="Arial" w:eastAsia="Arial" w:hAnsi="Arial" w:cs="Arial"/>
          <w:sz w:val="22"/>
          <w:szCs w:val="22"/>
        </w:rPr>
      </w:pPr>
    </w:p>
    <w:p w14:paraId="72027AF4" w14:textId="77777777" w:rsidR="00FB4CAC" w:rsidRPr="00F44EE2" w:rsidRDefault="00FB4CAC" w:rsidP="00FB4CAC">
      <w:pPr>
        <w:spacing w:before="240" w:after="240"/>
        <w:rPr>
          <w:rFonts w:ascii="Arial" w:hAnsi="Arial" w:cs="Arial"/>
          <w:sz w:val="22"/>
          <w:szCs w:val="22"/>
        </w:rPr>
      </w:pPr>
      <w:r w:rsidRPr="00F44EE2">
        <w:rPr>
          <w:rFonts w:ascii="Arial" w:hAnsi="Arial" w:cs="Arial"/>
          <w:sz w:val="22"/>
          <w:szCs w:val="22"/>
        </w:rPr>
        <w:lastRenderedPageBreak/>
        <w:t xml:space="preserve">WHO (2024) </w:t>
      </w:r>
      <w:r w:rsidRPr="00F44EE2">
        <w:rPr>
          <w:rFonts w:ascii="Arial" w:hAnsi="Arial" w:cs="Arial"/>
          <w:i/>
          <w:iCs/>
          <w:sz w:val="22"/>
          <w:szCs w:val="22"/>
        </w:rPr>
        <w:t>Global Patient Safety Action Plan 2021–2030</w:t>
      </w:r>
      <w:r w:rsidRPr="00F44EE2">
        <w:rPr>
          <w:rFonts w:ascii="Arial" w:hAnsi="Arial" w:cs="Arial"/>
          <w:sz w:val="22"/>
          <w:szCs w:val="22"/>
        </w:rPr>
        <w:t>. Available at:</w:t>
      </w:r>
      <w:hyperlink r:id="rId54"/>
      <w:hyperlink r:id="rId55">
        <w:r w:rsidRPr="00F44EE2">
          <w:rPr>
            <w:rFonts w:ascii="Arial" w:hAnsi="Arial" w:cs="Arial"/>
            <w:color w:val="1155CC"/>
            <w:sz w:val="22"/>
            <w:szCs w:val="22"/>
            <w:u w:val="single"/>
          </w:rPr>
          <w:t>https://www.who.int/teams/integrated-health-services/patient-safety</w:t>
        </w:r>
      </w:hyperlink>
      <w:r w:rsidRPr="00F44EE2">
        <w:rPr>
          <w:rFonts w:ascii="Arial" w:hAnsi="Arial" w:cs="Arial"/>
          <w:sz w:val="22"/>
          <w:szCs w:val="22"/>
        </w:rPr>
        <w:t xml:space="preserve"> (Accessed: 5 August 2026).</w:t>
      </w:r>
    </w:p>
    <w:p w14:paraId="6433C9BD" w14:textId="77777777" w:rsidR="00FB4CAC" w:rsidRPr="00F44EE2" w:rsidRDefault="00FB4CAC" w:rsidP="00FB4CAC">
      <w:pPr>
        <w:rPr>
          <w:rFonts w:ascii="Arial" w:eastAsia="Arial" w:hAnsi="Arial" w:cs="Arial"/>
          <w:sz w:val="22"/>
          <w:szCs w:val="22"/>
        </w:rPr>
      </w:pPr>
      <w:r w:rsidRPr="00F44EE2">
        <w:rPr>
          <w:rFonts w:ascii="Arial" w:eastAsia="Arial" w:hAnsi="Arial" w:cs="Arial"/>
          <w:color w:val="222222"/>
          <w:sz w:val="22"/>
          <w:szCs w:val="22"/>
        </w:rPr>
        <w:t>Yang, J., Liu, F., Yang, C., Wei, J., Ma, Y., Xu, L., Xie, J. and Wang, J., (2025). ‘Application of Donabedian three</w:t>
      </w:r>
      <w:r w:rsidRPr="00F44EE2">
        <w:rPr>
          <w:rFonts w:ascii="Cambria Math" w:eastAsia="Arial" w:hAnsi="Cambria Math" w:cs="Cambria Math"/>
          <w:color w:val="222222"/>
          <w:sz w:val="22"/>
          <w:szCs w:val="22"/>
        </w:rPr>
        <w:t>‐</w:t>
      </w:r>
      <w:r w:rsidRPr="00F44EE2">
        <w:rPr>
          <w:rFonts w:ascii="Arial" w:eastAsia="Arial" w:hAnsi="Arial" w:cs="Arial"/>
          <w:color w:val="222222"/>
          <w:sz w:val="22"/>
          <w:szCs w:val="22"/>
        </w:rPr>
        <w:t xml:space="preserve">dimensional model in outpatient care quality: A scoping review’. </w:t>
      </w:r>
      <w:r w:rsidRPr="00F44EE2">
        <w:rPr>
          <w:rFonts w:ascii="Arial" w:eastAsia="Arial" w:hAnsi="Arial" w:cs="Arial"/>
          <w:i/>
          <w:iCs/>
          <w:color w:val="222222"/>
          <w:sz w:val="22"/>
          <w:szCs w:val="22"/>
        </w:rPr>
        <w:t>Journal of nursing management</w:t>
      </w:r>
      <w:r w:rsidRPr="00F44EE2">
        <w:rPr>
          <w:rFonts w:ascii="Arial" w:eastAsia="Arial" w:hAnsi="Arial" w:cs="Arial"/>
          <w:color w:val="222222"/>
          <w:sz w:val="22"/>
          <w:szCs w:val="22"/>
        </w:rPr>
        <w:t xml:space="preserve">, </w:t>
      </w:r>
      <w:r w:rsidRPr="00F44EE2">
        <w:rPr>
          <w:rFonts w:ascii="Arial" w:eastAsia="Arial" w:hAnsi="Arial" w:cs="Arial"/>
          <w:i/>
          <w:iCs/>
          <w:color w:val="222222"/>
          <w:sz w:val="22"/>
          <w:szCs w:val="22"/>
        </w:rPr>
        <w:t>2025</w:t>
      </w:r>
      <w:r w:rsidRPr="00F44EE2">
        <w:rPr>
          <w:rFonts w:ascii="Arial" w:eastAsia="Arial" w:hAnsi="Arial" w:cs="Arial"/>
          <w:color w:val="222222"/>
          <w:sz w:val="22"/>
          <w:szCs w:val="22"/>
        </w:rPr>
        <w:t>(1), p.6893336.</w:t>
      </w:r>
      <w:hyperlink r:id="rId56">
        <w:r w:rsidRPr="00F44EE2">
          <w:rPr>
            <w:rFonts w:ascii="Arial" w:eastAsia="Arial" w:hAnsi="Arial" w:cs="Arial"/>
            <w:color w:val="1155CC"/>
            <w:sz w:val="22"/>
            <w:szCs w:val="22"/>
            <w:u w:val="single"/>
          </w:rPr>
          <w:t>https://onlinelibrary.wiley.com/doi/pdf/10.1155/jonm/6893336</w:t>
        </w:r>
      </w:hyperlink>
    </w:p>
    <w:sectPr w:rsidR="00FB4CAC" w:rsidRPr="00F44EE2" w:rsidSect="00052A24">
      <w:footerReference w:type="default" r:id="rId5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595A2" w14:textId="77777777" w:rsidR="0072107A" w:rsidRDefault="0072107A">
      <w:pPr>
        <w:spacing w:line="240" w:lineRule="auto"/>
      </w:pPr>
      <w:r>
        <w:separator/>
      </w:r>
    </w:p>
  </w:endnote>
  <w:endnote w:type="continuationSeparator" w:id="0">
    <w:p w14:paraId="12F745D8" w14:textId="77777777" w:rsidR="0072107A" w:rsidRDefault="007210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CFF1399-AD3A-433C-99D2-BE66735BE76C}"/>
  </w:font>
  <w:font w:name="Tahoma">
    <w:panose1 w:val="020B0604030504040204"/>
    <w:charset w:val="00"/>
    <w:family w:val="swiss"/>
    <w:pitch w:val="variable"/>
    <w:sig w:usb0="E1002EFF" w:usb1="C000605B" w:usb2="00000029" w:usb3="00000000" w:csb0="000101FF" w:csb1="00000000"/>
    <w:embedRegular r:id="rId2" w:fontKey="{F442AEDC-8891-41C3-BCD5-53DE53A6D3EB}"/>
  </w:font>
  <w:font w:name="Cambria Math">
    <w:panose1 w:val="02040503050406030204"/>
    <w:charset w:val="00"/>
    <w:family w:val="roman"/>
    <w:pitch w:val="variable"/>
    <w:sig w:usb0="E00006FF" w:usb1="420024FF" w:usb2="02000000" w:usb3="00000000" w:csb0="0000019F" w:csb1="00000000"/>
    <w:embedRegular r:id="rId3" w:fontKey="{F446C19D-CE80-4DE8-BA61-0B35B25D665D}"/>
  </w:font>
  <w:font w:name="Cambria">
    <w:panose1 w:val="02040503050406030204"/>
    <w:charset w:val="00"/>
    <w:family w:val="roman"/>
    <w:pitch w:val="variable"/>
    <w:sig w:usb0="E00006FF" w:usb1="420024FF" w:usb2="02000000" w:usb3="00000000" w:csb0="0000019F" w:csb1="00000000"/>
    <w:embedRegular r:id="rId4" w:fontKey="{D07DB8D9-AA92-41FE-BE7A-4A7171E765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14E2" w14:textId="77777777" w:rsidR="008D346B" w:rsidRDefault="00052A24">
    <w:pPr>
      <w:jc w:val="right"/>
      <w:rPr>
        <w:rFonts w:ascii="Arial" w:eastAsia="Arial" w:hAnsi="Arial" w:cs="Arial"/>
        <w:sz w:val="20"/>
        <w:szCs w:val="20"/>
      </w:rPr>
    </w:pPr>
    <w:r>
      <w:rPr>
        <w:rFonts w:ascii="Arial" w:eastAsia="Arial" w:hAnsi="Arial" w:cs="Arial"/>
        <w:sz w:val="20"/>
        <w:szCs w:val="20"/>
      </w:rPr>
      <w:fldChar w:fldCharType="begin"/>
    </w:r>
    <w:r w:rsidR="005825D5">
      <w:rPr>
        <w:rFonts w:ascii="Arial" w:eastAsia="Arial" w:hAnsi="Arial" w:cs="Arial"/>
        <w:sz w:val="20"/>
        <w:szCs w:val="20"/>
      </w:rPr>
      <w:instrText>PAGE</w:instrText>
    </w:r>
    <w:r>
      <w:rPr>
        <w:rFonts w:ascii="Arial" w:eastAsia="Arial" w:hAnsi="Arial" w:cs="Arial"/>
        <w:sz w:val="20"/>
        <w:szCs w:val="20"/>
      </w:rPr>
      <w:fldChar w:fldCharType="separate"/>
    </w:r>
    <w:r w:rsidR="00F4667C">
      <w:rPr>
        <w:rFonts w:ascii="Arial" w:eastAsia="Arial" w:hAnsi="Arial" w:cs="Arial"/>
        <w:noProof/>
        <w:sz w:val="20"/>
        <w:szCs w:val="20"/>
      </w:rPr>
      <w:t>17</w:t>
    </w:r>
    <w:r>
      <w:rPr>
        <w:rFonts w:ascii="Arial" w:eastAsia="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806C0" w14:textId="77777777" w:rsidR="0072107A" w:rsidRDefault="0072107A">
      <w:pPr>
        <w:spacing w:line="240" w:lineRule="auto"/>
      </w:pPr>
      <w:r>
        <w:separator/>
      </w:r>
    </w:p>
  </w:footnote>
  <w:footnote w:type="continuationSeparator" w:id="0">
    <w:p w14:paraId="70705862" w14:textId="77777777" w:rsidR="0072107A" w:rsidRDefault="007210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A080A"/>
    <w:multiLevelType w:val="multilevel"/>
    <w:tmpl w:val="9A0C5ACA"/>
    <w:lvl w:ilvl="0">
      <w:start w:val="1"/>
      <w:numFmt w:val="decimal"/>
      <w:lvlText w:val="%1."/>
      <w:lvlJc w:val="left"/>
      <w:pPr>
        <w:ind w:left="720" w:hanging="360"/>
      </w:pPr>
      <w:rPr>
        <w:rFonts w:hint="default"/>
      </w:rPr>
    </w:lvl>
    <w:lvl w:ilvl="1">
      <w:start w:val="2"/>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44773CC"/>
    <w:multiLevelType w:val="hybridMultilevel"/>
    <w:tmpl w:val="598CB1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0C83C05"/>
    <w:multiLevelType w:val="multilevel"/>
    <w:tmpl w:val="B428D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ED61CF"/>
    <w:multiLevelType w:val="hybridMultilevel"/>
    <w:tmpl w:val="371443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5A61108"/>
    <w:multiLevelType w:val="multilevel"/>
    <w:tmpl w:val="0374C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1C161C5"/>
    <w:multiLevelType w:val="multilevel"/>
    <w:tmpl w:val="2AA2D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315A71"/>
    <w:multiLevelType w:val="hybridMultilevel"/>
    <w:tmpl w:val="C2F010D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D47E4E"/>
    <w:multiLevelType w:val="multilevel"/>
    <w:tmpl w:val="6F6E7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9420243">
    <w:abstractNumId w:val="5"/>
  </w:num>
  <w:num w:numId="2" w16cid:durableId="1873956382">
    <w:abstractNumId w:val="4"/>
  </w:num>
  <w:num w:numId="3" w16cid:durableId="1087774812">
    <w:abstractNumId w:val="2"/>
  </w:num>
  <w:num w:numId="4" w16cid:durableId="1019547096">
    <w:abstractNumId w:val="7"/>
  </w:num>
  <w:num w:numId="5" w16cid:durableId="847403306">
    <w:abstractNumId w:val="1"/>
  </w:num>
  <w:num w:numId="6" w16cid:durableId="1127895783">
    <w:abstractNumId w:val="3"/>
  </w:num>
  <w:num w:numId="7" w16cid:durableId="160432891">
    <w:abstractNumId w:val="0"/>
  </w:num>
  <w:num w:numId="8" w16cid:durableId="17859541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46B"/>
    <w:rsid w:val="00021576"/>
    <w:rsid w:val="00033EDB"/>
    <w:rsid w:val="00052A24"/>
    <w:rsid w:val="000E1757"/>
    <w:rsid w:val="00107620"/>
    <w:rsid w:val="001547A0"/>
    <w:rsid w:val="00255250"/>
    <w:rsid w:val="002748A3"/>
    <w:rsid w:val="00321514"/>
    <w:rsid w:val="00410CA3"/>
    <w:rsid w:val="004C0A46"/>
    <w:rsid w:val="004D1832"/>
    <w:rsid w:val="004D4201"/>
    <w:rsid w:val="005552F5"/>
    <w:rsid w:val="005825D5"/>
    <w:rsid w:val="005E7C45"/>
    <w:rsid w:val="006B71F5"/>
    <w:rsid w:val="0072107A"/>
    <w:rsid w:val="007337F1"/>
    <w:rsid w:val="00800AA1"/>
    <w:rsid w:val="00865619"/>
    <w:rsid w:val="008D346B"/>
    <w:rsid w:val="009452E0"/>
    <w:rsid w:val="009605F6"/>
    <w:rsid w:val="00A534E2"/>
    <w:rsid w:val="00A71D33"/>
    <w:rsid w:val="00AC6416"/>
    <w:rsid w:val="00B15DBE"/>
    <w:rsid w:val="00B77524"/>
    <w:rsid w:val="00B93B56"/>
    <w:rsid w:val="00B9591F"/>
    <w:rsid w:val="00BA06EE"/>
    <w:rsid w:val="00BC10C2"/>
    <w:rsid w:val="00CE791C"/>
    <w:rsid w:val="00E56E74"/>
    <w:rsid w:val="00EC7644"/>
    <w:rsid w:val="00EE2468"/>
    <w:rsid w:val="00F24DF4"/>
    <w:rsid w:val="00F44EE2"/>
    <w:rsid w:val="00F4667C"/>
    <w:rsid w:val="00F90E35"/>
    <w:rsid w:val="00FB4CAC"/>
    <w:rsid w:val="00FD17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B74DC"/>
  <w15:docId w15:val="{D52E3AD3-F317-4A0D-B1F0-0A0B8C243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A24"/>
  </w:style>
  <w:style w:type="paragraph" w:styleId="Heading1">
    <w:name w:val="heading 1"/>
    <w:basedOn w:val="Normal"/>
    <w:next w:val="Normal"/>
    <w:uiPriority w:val="9"/>
    <w:qFormat/>
    <w:rsid w:val="00052A24"/>
    <w:pPr>
      <w:keepNext/>
      <w:keepLines/>
      <w:outlineLvl w:val="0"/>
    </w:pPr>
    <w:rPr>
      <w:rFonts w:ascii="Arial" w:eastAsia="Arial" w:hAnsi="Arial" w:cs="Arial"/>
      <w:b/>
      <w:bCs/>
      <w:sz w:val="22"/>
      <w:szCs w:val="22"/>
    </w:rPr>
  </w:style>
  <w:style w:type="paragraph" w:styleId="Heading2">
    <w:name w:val="heading 2"/>
    <w:basedOn w:val="Normal"/>
    <w:next w:val="Normal"/>
    <w:uiPriority w:val="9"/>
    <w:unhideWhenUsed/>
    <w:qFormat/>
    <w:rsid w:val="00052A24"/>
    <w:pPr>
      <w:keepNext/>
      <w:keepLines/>
      <w:outlineLvl w:val="1"/>
    </w:pPr>
    <w:rPr>
      <w:rFonts w:ascii="Arial" w:eastAsia="Arial" w:hAnsi="Arial" w:cs="Arial"/>
      <w:b/>
      <w:bCs/>
      <w:i/>
      <w:iCs/>
      <w:sz w:val="22"/>
      <w:szCs w:val="22"/>
    </w:rPr>
  </w:style>
  <w:style w:type="paragraph" w:styleId="Heading3">
    <w:name w:val="heading 3"/>
    <w:basedOn w:val="Normal"/>
    <w:next w:val="Normal"/>
    <w:uiPriority w:val="9"/>
    <w:unhideWhenUsed/>
    <w:qFormat/>
    <w:rsid w:val="00052A24"/>
    <w:pPr>
      <w:keepNext/>
      <w:keepLines/>
      <w:outlineLvl w:val="2"/>
    </w:pPr>
    <w:rPr>
      <w:rFonts w:ascii="Arial" w:eastAsia="Arial" w:hAnsi="Arial" w:cs="Arial"/>
      <w:b/>
      <w:bCs/>
      <w:sz w:val="22"/>
      <w:szCs w:val="22"/>
    </w:rPr>
  </w:style>
  <w:style w:type="paragraph" w:styleId="Heading4">
    <w:name w:val="heading 4"/>
    <w:basedOn w:val="Normal"/>
    <w:next w:val="Normal"/>
    <w:uiPriority w:val="9"/>
    <w:semiHidden/>
    <w:unhideWhenUsed/>
    <w:qFormat/>
    <w:rsid w:val="00052A24"/>
    <w:pPr>
      <w:keepNext/>
      <w:keepLines/>
      <w:spacing w:before="280" w:after="80"/>
      <w:outlineLvl w:val="3"/>
    </w:pPr>
    <w:rPr>
      <w:color w:val="666666"/>
    </w:rPr>
  </w:style>
  <w:style w:type="paragraph" w:styleId="Heading5">
    <w:name w:val="heading 5"/>
    <w:basedOn w:val="Normal"/>
    <w:next w:val="Normal"/>
    <w:uiPriority w:val="9"/>
    <w:semiHidden/>
    <w:unhideWhenUsed/>
    <w:qFormat/>
    <w:rsid w:val="00052A2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052A24"/>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52A24"/>
    <w:tblPr>
      <w:tblCellMar>
        <w:top w:w="100" w:type="dxa"/>
        <w:left w:w="100" w:type="dxa"/>
        <w:bottom w:w="100" w:type="dxa"/>
        <w:right w:w="100" w:type="dxa"/>
      </w:tblCellMar>
    </w:tblPr>
  </w:style>
  <w:style w:type="paragraph" w:styleId="Title">
    <w:name w:val="Title"/>
    <w:basedOn w:val="Normal"/>
    <w:next w:val="Normal"/>
    <w:uiPriority w:val="10"/>
    <w:qFormat/>
    <w:rsid w:val="00052A24"/>
    <w:pPr>
      <w:keepNext/>
      <w:keepLines/>
      <w:spacing w:after="60"/>
    </w:pPr>
    <w:rPr>
      <w:sz w:val="52"/>
      <w:szCs w:val="52"/>
    </w:rPr>
  </w:style>
  <w:style w:type="paragraph" w:styleId="Subtitle">
    <w:name w:val="Subtitle"/>
    <w:basedOn w:val="Normal"/>
    <w:next w:val="Normal"/>
    <w:uiPriority w:val="11"/>
    <w:qFormat/>
    <w:rsid w:val="00052A24"/>
    <w:pPr>
      <w:keepNext/>
      <w:keepLines/>
      <w:spacing w:after="320"/>
    </w:pPr>
    <w:rPr>
      <w:rFonts w:ascii="Arial" w:eastAsia="Arial" w:hAnsi="Arial" w:cs="Arial"/>
      <w:color w:val="666666"/>
      <w:sz w:val="30"/>
      <w:szCs w:val="30"/>
    </w:rPr>
  </w:style>
  <w:style w:type="table" w:customStyle="1" w:styleId="a">
    <w:basedOn w:val="TableNormal0"/>
    <w:rsid w:val="00052A24"/>
    <w:tblPr>
      <w:tblStyleRowBandSize w:val="1"/>
      <w:tblStyleColBandSize w:val="1"/>
    </w:tblPr>
  </w:style>
  <w:style w:type="table" w:customStyle="1" w:styleId="a0">
    <w:basedOn w:val="TableNormal0"/>
    <w:rsid w:val="00052A24"/>
    <w:tblPr>
      <w:tblStyleRowBandSize w:val="1"/>
      <w:tblStyleColBandSize w:val="1"/>
    </w:tblPr>
  </w:style>
  <w:style w:type="paragraph" w:styleId="CommentText">
    <w:name w:val="annotation text"/>
    <w:basedOn w:val="Normal"/>
    <w:link w:val="CommentTextChar"/>
    <w:uiPriority w:val="99"/>
    <w:semiHidden/>
    <w:unhideWhenUsed/>
    <w:rsid w:val="00052A24"/>
    <w:pPr>
      <w:spacing w:line="240" w:lineRule="auto"/>
    </w:pPr>
    <w:rPr>
      <w:sz w:val="20"/>
      <w:szCs w:val="20"/>
    </w:rPr>
  </w:style>
  <w:style w:type="character" w:customStyle="1" w:styleId="CommentTextChar">
    <w:name w:val="Comment Text Char"/>
    <w:basedOn w:val="DefaultParagraphFont"/>
    <w:link w:val="CommentText"/>
    <w:uiPriority w:val="99"/>
    <w:semiHidden/>
    <w:rsid w:val="00052A24"/>
    <w:rPr>
      <w:sz w:val="20"/>
      <w:szCs w:val="20"/>
    </w:rPr>
  </w:style>
  <w:style w:type="character" w:styleId="CommentReference">
    <w:name w:val="annotation reference"/>
    <w:basedOn w:val="DefaultParagraphFont"/>
    <w:uiPriority w:val="99"/>
    <w:semiHidden/>
    <w:unhideWhenUsed/>
    <w:rsid w:val="00052A24"/>
    <w:rPr>
      <w:sz w:val="16"/>
      <w:szCs w:val="16"/>
    </w:rPr>
  </w:style>
  <w:style w:type="paragraph" w:styleId="TOCHeading">
    <w:name w:val="TOC Heading"/>
    <w:basedOn w:val="Heading1"/>
    <w:next w:val="Normal"/>
    <w:uiPriority w:val="39"/>
    <w:unhideWhenUsed/>
    <w:qFormat/>
    <w:rsid w:val="00FD170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D1703"/>
    <w:pPr>
      <w:spacing w:after="100"/>
    </w:pPr>
  </w:style>
  <w:style w:type="paragraph" w:styleId="TOC2">
    <w:name w:val="toc 2"/>
    <w:basedOn w:val="Normal"/>
    <w:next w:val="Normal"/>
    <w:autoRedefine/>
    <w:uiPriority w:val="39"/>
    <w:unhideWhenUsed/>
    <w:rsid w:val="00FD1703"/>
    <w:pPr>
      <w:spacing w:after="100"/>
      <w:ind w:left="240"/>
    </w:pPr>
  </w:style>
  <w:style w:type="paragraph" w:styleId="TOC3">
    <w:name w:val="toc 3"/>
    <w:basedOn w:val="Normal"/>
    <w:next w:val="Normal"/>
    <w:autoRedefine/>
    <w:uiPriority w:val="39"/>
    <w:unhideWhenUsed/>
    <w:rsid w:val="00FD1703"/>
    <w:pPr>
      <w:spacing w:after="100"/>
      <w:ind w:left="480"/>
    </w:pPr>
  </w:style>
  <w:style w:type="character" w:styleId="Hyperlink">
    <w:name w:val="Hyperlink"/>
    <w:basedOn w:val="DefaultParagraphFont"/>
    <w:uiPriority w:val="99"/>
    <w:unhideWhenUsed/>
    <w:rsid w:val="00FD1703"/>
    <w:rPr>
      <w:color w:val="0000FF" w:themeColor="hyperlink"/>
      <w:u w:val="single"/>
    </w:rPr>
  </w:style>
  <w:style w:type="paragraph" w:styleId="ListParagraph">
    <w:name w:val="List Paragraph"/>
    <w:basedOn w:val="Normal"/>
    <w:uiPriority w:val="34"/>
    <w:qFormat/>
    <w:rsid w:val="00EE2468"/>
    <w:pPr>
      <w:ind w:left="720"/>
      <w:contextualSpacing/>
    </w:pPr>
  </w:style>
  <w:style w:type="paragraph" w:styleId="NormalWeb">
    <w:name w:val="Normal (Web)"/>
    <w:basedOn w:val="Normal"/>
    <w:uiPriority w:val="99"/>
    <w:semiHidden/>
    <w:unhideWhenUsed/>
    <w:rsid w:val="00FB4CAC"/>
  </w:style>
  <w:style w:type="character" w:customStyle="1" w:styleId="UnresolvedMention1">
    <w:name w:val="Unresolved Mention1"/>
    <w:basedOn w:val="DefaultParagraphFont"/>
    <w:uiPriority w:val="99"/>
    <w:semiHidden/>
    <w:unhideWhenUsed/>
    <w:rsid w:val="00FB4CAC"/>
    <w:rPr>
      <w:color w:val="605E5C"/>
      <w:shd w:val="clear" w:color="auto" w:fill="E1DFDD"/>
    </w:rPr>
  </w:style>
  <w:style w:type="paragraph" w:styleId="BalloonText">
    <w:name w:val="Balloon Text"/>
    <w:basedOn w:val="Normal"/>
    <w:link w:val="BalloonTextChar"/>
    <w:uiPriority w:val="99"/>
    <w:semiHidden/>
    <w:unhideWhenUsed/>
    <w:rsid w:val="00F44E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EE2"/>
    <w:rPr>
      <w:rFonts w:ascii="Tahoma" w:hAnsi="Tahoma" w:cs="Tahoma"/>
      <w:sz w:val="16"/>
      <w:szCs w:val="16"/>
    </w:rPr>
  </w:style>
  <w:style w:type="character" w:styleId="UnresolvedMention">
    <w:name w:val="Unresolved Mention"/>
    <w:basedOn w:val="DefaultParagraphFont"/>
    <w:uiPriority w:val="99"/>
    <w:semiHidden/>
    <w:unhideWhenUsed/>
    <w:rsid w:val="00107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ore.exeter.ac.uk/articles/chapter/Judge-led_public_inquiries_in_the_United_Kingdom_The_gold_standard_/29793905/1/files/56831444.pdf?utm_source=copilot.com" TargetMode="External"/><Relationship Id="rId39" Type="http://schemas.openxmlformats.org/officeDocument/2006/relationships/hyperlink" Target="https://www.ihi.org/resources/Pages/HowtoImprove/ScienceofImprovementTestingChanges.aspx" TargetMode="External"/><Relationship Id="rId21" Type="http://schemas.openxmlformats.org/officeDocument/2006/relationships/hyperlink" Target="https://www.emerald.com/insight/publication/issn/0265-671X" TargetMode="External"/><Relationship Id="rId34" Type="http://schemas.openxmlformats.org/officeDocument/2006/relationships/hyperlink" Target="https://www.nuffieldtrust.org.uk/sites/default/files/2017-01/inquiries-learning-from-failure-nhs-web-final.pdf?utm_source=copilot.com" TargetMode="External"/><Relationship Id="rId42" Type="http://schemas.openxmlformats.org/officeDocument/2006/relationships/hyperlink" Target="https://www.researchgate.net/publication/276881603_Applying_Lean_principles_to_the_design_of_healthcare_facilities" TargetMode="External"/><Relationship Id="rId47" Type="http://schemas.openxmlformats.org/officeDocument/2006/relationships/hyperlink" Target="https://www.england.nhs.uk/improvement-hub/" TargetMode="External"/><Relationship Id="rId50" Type="http://schemas.openxmlformats.org/officeDocument/2006/relationships/hyperlink" Target="https://pmc.ncbi.nlm.nih.gov/articles/PMC1120824/?utm_source=copilot.com" TargetMode="External"/><Relationship Id="rId55" Type="http://schemas.openxmlformats.org/officeDocument/2006/relationships/hyperlink" Target="https://www.who.int/teams/integrated-health-services/patient-safet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hyperlink" Target="https://www.researchgate.net/publication/333222783_Leadership_styles'_influence_on_the_quality_of_nursing_care" TargetMode="External"/><Relationship Id="rId11" Type="http://schemas.openxmlformats.org/officeDocument/2006/relationships/diagramLayout" Target="diagrams/layout1.xml"/><Relationship Id="rId24" Type="http://schemas.openxmlformats.org/officeDocument/2006/relationships/hyperlink" Target="https://www.bristol-inquiry.org.uk/" TargetMode="External"/><Relationship Id="rId32" Type="http://schemas.openxmlformats.org/officeDocument/2006/relationships/hyperlink" Target="https://pmc.ncbi.nlm.nih.gov/articles/PMC10065807/" TargetMode="External"/><Relationship Id="rId37" Type="http://schemas.openxmlformats.org/officeDocument/2006/relationships/hyperlink" Target="https://qualitysafety.bmj.com/content/qhc/35/8/552.full.pdf" TargetMode="External"/><Relationship Id="rId40" Type="http://schemas.openxmlformats.org/officeDocument/2006/relationships/hyperlink" Target="https://bmchealthservres.biomedcentral.com/" TargetMode="External"/><Relationship Id="rId45" Type="http://schemas.openxmlformats.org/officeDocument/2006/relationships/hyperlink" Target="https://www.england.nhs.uk/patient-safety/" TargetMode="External"/><Relationship Id="rId53" Type="http://schemas.openxmlformats.org/officeDocument/2006/relationships/hyperlink" Target="https://link.springer.com/content/pdf/10.1186/s12889-025-25117-6.pdf"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emerald.com/insight/publication/issn/0265-671X" TargetMode="External"/><Relationship Id="rId27" Type="http://schemas.openxmlformats.org/officeDocument/2006/relationships/hyperlink" Target="https://assets.publishing.service.gov.uk/media/5a7c743540f0b62aff6c1c71/5363.pdf?utm_source=copilot.com" TargetMode="External"/><Relationship Id="rId30" Type="http://schemas.openxmlformats.org/officeDocument/2006/relationships/hyperlink" Target="https://www.researchgate.net/publication/333222783_Leadership_styles'_influence_on_the_quality_of_nursing_care" TargetMode="External"/><Relationship Id="rId35" Type="http://schemas.openxmlformats.org/officeDocument/2006/relationships/hyperlink" Target="https://journals.lww.com/journalpatientsafety/" TargetMode="External"/><Relationship Id="rId43" Type="http://schemas.openxmlformats.org/officeDocument/2006/relationships/hyperlink" Target="https://www.researchgate.net/publication/276881603_Applying_Lean_principles_to_the_design_of_healthcare_facilities" TargetMode="External"/><Relationship Id="rId48" Type="http://schemas.openxmlformats.org/officeDocument/2006/relationships/hyperlink" Target="https://www.england.nhs.uk/improvement-hub/" TargetMode="External"/><Relationship Id="rId56" Type="http://schemas.openxmlformats.org/officeDocument/2006/relationships/hyperlink" Target="https://onlinelibrary.wiley.com/doi/pdf/10.1155/jonm/6893336" TargetMode="External"/><Relationship Id="rId8" Type="http://schemas.openxmlformats.org/officeDocument/2006/relationships/image" Target="media/image1.png"/><Relationship Id="rId51" Type="http://schemas.openxmlformats.org/officeDocument/2006/relationships/hyperlink" Target="https://www.jmir.org/2024/1/e54556/"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books.google.com/books?hl=en&amp;lr=&amp;id=yS5lEAAAQBAJ&amp;oi=fnd&amp;pg=PR5&amp;dq=bristol+royal+infirmary+inquiry&amp;ots=6sUlm-cm9D&amp;sig=gs3eFI3InGTnRIfKMSp76JaN9l0&amp;utm_source=copilot.com" TargetMode="External"/><Relationship Id="rId33" Type="http://schemas.openxmlformats.org/officeDocument/2006/relationships/hyperlink" Target="https://pmc.ncbi.nlm.nih.gov/articles/PMC10065807/" TargetMode="External"/><Relationship Id="rId38" Type="http://schemas.openxmlformats.org/officeDocument/2006/relationships/hyperlink" Target="https://www.ihi.org/resources/Pages/HowtoImprove/ScienceofImprovementTestingChanges.aspx" TargetMode="External"/><Relationship Id="rId46" Type="http://schemas.openxmlformats.org/officeDocument/2006/relationships/hyperlink" Target="https://www.england.nhs.uk/patient-safety/" TargetMode="External"/><Relationship Id="rId59" Type="http://schemas.openxmlformats.org/officeDocument/2006/relationships/theme" Target="theme/theme1.xml"/><Relationship Id="rId20" Type="http://schemas.openxmlformats.org/officeDocument/2006/relationships/hyperlink" Target="https://psnet.ahrq.gov/issue/learning-bristol-report-public-inquiry-childrens-heart-surgery-bristol-royal-infirmary-1984?utm_source=copilot.com" TargetMode="External"/><Relationship Id="rId41" Type="http://schemas.openxmlformats.org/officeDocument/2006/relationships/hyperlink" Target="https://bmchealthservres.biomedcentral.com/" TargetMode="External"/><Relationship Id="rId54" Type="http://schemas.openxmlformats.org/officeDocument/2006/relationships/hyperlink" Target="https://www.who.int/teams/integrated-health-services/patient-safet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www.bbc.com/news/uk-england-bristol-36651082?utm_source=copilot.com" TargetMode="External"/><Relationship Id="rId28" Type="http://schemas.openxmlformats.org/officeDocument/2006/relationships/hyperlink" Target="https://www.theguardian.com/society/2002/jan/17/5?utm_source=copilot.com" TargetMode="External"/><Relationship Id="rId36" Type="http://schemas.openxmlformats.org/officeDocument/2006/relationships/hyperlink" Target="https://journals.lww.com/journalpatientsafety/" TargetMode="External"/><Relationship Id="rId49" Type="http://schemas.openxmlformats.org/officeDocument/2006/relationships/hyperlink" Target="https://equatorscience.com/index.php/jabter/article/download/103/80?utm_source=copilot.com" TargetMode="External"/><Relationship Id="rId57" Type="http://schemas.openxmlformats.org/officeDocument/2006/relationships/footer" Target="footer1.xml"/><Relationship Id="rId10" Type="http://schemas.openxmlformats.org/officeDocument/2006/relationships/diagramData" Target="diagrams/data1.xml"/><Relationship Id="rId31" Type="http://schemas.openxmlformats.org/officeDocument/2006/relationships/hyperlink" Target="https://doi.org/10.18103/mra.v12i7.5649" TargetMode="External"/><Relationship Id="rId44" Type="http://schemas.openxmlformats.org/officeDocument/2006/relationships/hyperlink" Target="https://www.uhbristol.nhs.uk/patients-and-visitors/your-hospitals/bristol-royal-infirmary/" TargetMode="External"/><Relationship Id="rId52" Type="http://schemas.openxmlformats.org/officeDocument/2006/relationships/hyperlink" Target="https://www.theguardian.com/society/2026/may/18/nhs-nurses-believe-lack-of-staff-putting-patients-at-risk-survey-find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4BA163-9848-4A38-B100-08178986570A}" type="doc">
      <dgm:prSet loTypeId="urn:microsoft.com/office/officeart/2005/8/layout/default#1" loCatId="list" qsTypeId="urn:microsoft.com/office/officeart/2005/8/quickstyle/simple1" qsCatId="simple" csTypeId="urn:microsoft.com/office/officeart/2005/8/colors/colorful2" csCatId="colorful" phldr="1"/>
      <dgm:spPr/>
      <dgm:t>
        <a:bodyPr/>
        <a:lstStyle/>
        <a:p>
          <a:endParaRPr lang="en-IN"/>
        </a:p>
      </dgm:t>
    </dgm:pt>
    <dgm:pt modelId="{7FFCAE33-F477-41BD-8442-478A5574C4CE}">
      <dgm:prSet phldrT="[Text]" custT="1"/>
      <dgm:spPr/>
      <dgm:t>
        <a:bodyPr/>
        <a:lstStyle/>
        <a:p>
          <a:r>
            <a:rPr lang="en-GB" sz="1500" b="1" i="1">
              <a:solidFill>
                <a:sysClr val="windowText" lastClr="000000"/>
              </a:solidFill>
            </a:rPr>
            <a:t>Structure: Resources and Governance</a:t>
          </a:r>
          <a:endParaRPr lang="en-IN" sz="1500" b="1" i="1">
            <a:solidFill>
              <a:sysClr val="windowText" lastClr="000000"/>
            </a:solidFill>
          </a:endParaRPr>
        </a:p>
      </dgm:t>
    </dgm:pt>
    <dgm:pt modelId="{F7DED858-03C1-43A5-9B8B-9B1F501143B1}" type="parTrans" cxnId="{219B86C8-3717-410B-8A52-4653DF876D26}">
      <dgm:prSet/>
      <dgm:spPr/>
      <dgm:t>
        <a:bodyPr/>
        <a:lstStyle/>
        <a:p>
          <a:endParaRPr lang="en-IN"/>
        </a:p>
      </dgm:t>
    </dgm:pt>
    <dgm:pt modelId="{CC76186B-F912-4CC1-92AA-C0408A4636E6}" type="sibTrans" cxnId="{219B86C8-3717-410B-8A52-4653DF876D26}">
      <dgm:prSet/>
      <dgm:spPr/>
      <dgm:t>
        <a:bodyPr/>
        <a:lstStyle/>
        <a:p>
          <a:endParaRPr lang="en-IN"/>
        </a:p>
      </dgm:t>
    </dgm:pt>
    <dgm:pt modelId="{AE198C27-C707-4411-A1CA-9D26DE6D0C6C}">
      <dgm:prSet custT="1"/>
      <dgm:spPr/>
      <dgm:t>
        <a:bodyPr/>
        <a:lstStyle/>
        <a:p>
          <a:r>
            <a:rPr lang="en-GB" sz="1500" b="1" i="1">
              <a:solidFill>
                <a:sysClr val="windowText" lastClr="000000"/>
              </a:solidFill>
            </a:rPr>
            <a:t>Process: Care Delivery, and Audits </a:t>
          </a:r>
          <a:endParaRPr lang="en-IN" sz="1500" b="1" i="1">
            <a:solidFill>
              <a:sysClr val="windowText" lastClr="000000"/>
            </a:solidFill>
          </a:endParaRPr>
        </a:p>
      </dgm:t>
    </dgm:pt>
    <dgm:pt modelId="{280059F0-D958-4A7F-B1ED-F1126DA8EFE6}" type="parTrans" cxnId="{9C599F20-B191-4F8C-899D-9D18A483A56F}">
      <dgm:prSet/>
      <dgm:spPr/>
      <dgm:t>
        <a:bodyPr/>
        <a:lstStyle/>
        <a:p>
          <a:endParaRPr lang="en-IN"/>
        </a:p>
      </dgm:t>
    </dgm:pt>
    <dgm:pt modelId="{FE23594A-4C21-4662-9FDC-D0A2047F02C9}" type="sibTrans" cxnId="{9C599F20-B191-4F8C-899D-9D18A483A56F}">
      <dgm:prSet/>
      <dgm:spPr/>
      <dgm:t>
        <a:bodyPr/>
        <a:lstStyle/>
        <a:p>
          <a:endParaRPr lang="en-IN"/>
        </a:p>
      </dgm:t>
    </dgm:pt>
    <dgm:pt modelId="{51193384-5497-4AE5-9832-D58AA263CE2B}">
      <dgm:prSet custT="1"/>
      <dgm:spPr/>
      <dgm:t>
        <a:bodyPr/>
        <a:lstStyle/>
        <a:p>
          <a:r>
            <a:rPr lang="en-GB" sz="1500" b="1" i="1">
              <a:solidFill>
                <a:sysClr val="windowText" lastClr="000000"/>
              </a:solidFill>
            </a:rPr>
            <a:t>Outcome: Mortality Rates and Public Trust</a:t>
          </a:r>
          <a:endParaRPr lang="en-IN" sz="1500" b="1" i="1">
            <a:solidFill>
              <a:sysClr val="windowText" lastClr="000000"/>
            </a:solidFill>
          </a:endParaRPr>
        </a:p>
      </dgm:t>
    </dgm:pt>
    <dgm:pt modelId="{5BACEC6D-6D81-4183-86E7-8D13BBF951F3}" type="parTrans" cxnId="{7C94702B-A735-49A8-B3CE-B6843ECC9AFE}">
      <dgm:prSet/>
      <dgm:spPr/>
      <dgm:t>
        <a:bodyPr/>
        <a:lstStyle/>
        <a:p>
          <a:endParaRPr lang="en-IN"/>
        </a:p>
      </dgm:t>
    </dgm:pt>
    <dgm:pt modelId="{8ADB604F-4FA8-4F24-BC34-287FF97B6BE1}" type="sibTrans" cxnId="{7C94702B-A735-49A8-B3CE-B6843ECC9AFE}">
      <dgm:prSet/>
      <dgm:spPr/>
      <dgm:t>
        <a:bodyPr/>
        <a:lstStyle/>
        <a:p>
          <a:endParaRPr lang="en-IN"/>
        </a:p>
      </dgm:t>
    </dgm:pt>
    <dgm:pt modelId="{EBAEF294-5D09-4B75-AB76-B818175EF7AB}" type="pres">
      <dgm:prSet presAssocID="{974BA163-9848-4A38-B100-08178986570A}" presName="diagram" presStyleCnt="0">
        <dgm:presLayoutVars>
          <dgm:dir/>
          <dgm:resizeHandles val="exact"/>
        </dgm:presLayoutVars>
      </dgm:prSet>
      <dgm:spPr/>
    </dgm:pt>
    <dgm:pt modelId="{997FCA9F-2F78-443C-A9A7-DD465C200C93}" type="pres">
      <dgm:prSet presAssocID="{7FFCAE33-F477-41BD-8442-478A5574C4CE}" presName="node" presStyleLbl="node1" presStyleIdx="0" presStyleCnt="3">
        <dgm:presLayoutVars>
          <dgm:bulletEnabled val="1"/>
        </dgm:presLayoutVars>
      </dgm:prSet>
      <dgm:spPr/>
    </dgm:pt>
    <dgm:pt modelId="{C80268F4-6287-49F1-91E1-596DD0890B37}" type="pres">
      <dgm:prSet presAssocID="{CC76186B-F912-4CC1-92AA-C0408A4636E6}" presName="sibTrans" presStyleCnt="0"/>
      <dgm:spPr/>
    </dgm:pt>
    <dgm:pt modelId="{8AF3D496-1B40-4E01-B6E0-5CD4957ED285}" type="pres">
      <dgm:prSet presAssocID="{AE198C27-C707-4411-A1CA-9D26DE6D0C6C}" presName="node" presStyleLbl="node1" presStyleIdx="1" presStyleCnt="3">
        <dgm:presLayoutVars>
          <dgm:bulletEnabled val="1"/>
        </dgm:presLayoutVars>
      </dgm:prSet>
      <dgm:spPr/>
    </dgm:pt>
    <dgm:pt modelId="{1D8C6138-D765-4787-8E64-24CC1C11A0DE}" type="pres">
      <dgm:prSet presAssocID="{FE23594A-4C21-4662-9FDC-D0A2047F02C9}" presName="sibTrans" presStyleCnt="0"/>
      <dgm:spPr/>
    </dgm:pt>
    <dgm:pt modelId="{41A5915D-2D9C-4A91-9806-2DA991EFC6D1}" type="pres">
      <dgm:prSet presAssocID="{51193384-5497-4AE5-9832-D58AA263CE2B}" presName="node" presStyleLbl="node1" presStyleIdx="2" presStyleCnt="3">
        <dgm:presLayoutVars>
          <dgm:bulletEnabled val="1"/>
        </dgm:presLayoutVars>
      </dgm:prSet>
      <dgm:spPr/>
    </dgm:pt>
  </dgm:ptLst>
  <dgm:cxnLst>
    <dgm:cxn modelId="{BD14D21A-FEA3-4A3C-83F5-E7F61CE0962F}" type="presOf" srcId="{51193384-5497-4AE5-9832-D58AA263CE2B}" destId="{41A5915D-2D9C-4A91-9806-2DA991EFC6D1}" srcOrd="0" destOrd="0" presId="urn:microsoft.com/office/officeart/2005/8/layout/default#1"/>
    <dgm:cxn modelId="{9C599F20-B191-4F8C-899D-9D18A483A56F}" srcId="{974BA163-9848-4A38-B100-08178986570A}" destId="{AE198C27-C707-4411-A1CA-9D26DE6D0C6C}" srcOrd="1" destOrd="0" parTransId="{280059F0-D958-4A7F-B1ED-F1126DA8EFE6}" sibTransId="{FE23594A-4C21-4662-9FDC-D0A2047F02C9}"/>
    <dgm:cxn modelId="{7C94702B-A735-49A8-B3CE-B6843ECC9AFE}" srcId="{974BA163-9848-4A38-B100-08178986570A}" destId="{51193384-5497-4AE5-9832-D58AA263CE2B}" srcOrd="2" destOrd="0" parTransId="{5BACEC6D-6D81-4183-86E7-8D13BBF951F3}" sibTransId="{8ADB604F-4FA8-4F24-BC34-287FF97B6BE1}"/>
    <dgm:cxn modelId="{5AB684AF-4756-4167-8348-0E3CF9BB6E48}" type="presOf" srcId="{7FFCAE33-F477-41BD-8442-478A5574C4CE}" destId="{997FCA9F-2F78-443C-A9A7-DD465C200C93}" srcOrd="0" destOrd="0" presId="urn:microsoft.com/office/officeart/2005/8/layout/default#1"/>
    <dgm:cxn modelId="{2C86E6B6-5509-4D22-B4AC-C38D935C223F}" type="presOf" srcId="{974BA163-9848-4A38-B100-08178986570A}" destId="{EBAEF294-5D09-4B75-AB76-B818175EF7AB}" srcOrd="0" destOrd="0" presId="urn:microsoft.com/office/officeart/2005/8/layout/default#1"/>
    <dgm:cxn modelId="{219B86C8-3717-410B-8A52-4653DF876D26}" srcId="{974BA163-9848-4A38-B100-08178986570A}" destId="{7FFCAE33-F477-41BD-8442-478A5574C4CE}" srcOrd="0" destOrd="0" parTransId="{F7DED858-03C1-43A5-9B8B-9B1F501143B1}" sibTransId="{CC76186B-F912-4CC1-92AA-C0408A4636E6}"/>
    <dgm:cxn modelId="{49A20EF5-4405-480C-B0A0-ED78CBF1A086}" type="presOf" srcId="{AE198C27-C707-4411-A1CA-9D26DE6D0C6C}" destId="{8AF3D496-1B40-4E01-B6E0-5CD4957ED285}" srcOrd="0" destOrd="0" presId="urn:microsoft.com/office/officeart/2005/8/layout/default#1"/>
    <dgm:cxn modelId="{CB8B1118-D93F-4B67-93A4-33FFA3BE4700}" type="presParOf" srcId="{EBAEF294-5D09-4B75-AB76-B818175EF7AB}" destId="{997FCA9F-2F78-443C-A9A7-DD465C200C93}" srcOrd="0" destOrd="0" presId="urn:microsoft.com/office/officeart/2005/8/layout/default#1"/>
    <dgm:cxn modelId="{7A3E5432-6A9B-4FA5-8D0C-F13FF1C8DC47}" type="presParOf" srcId="{EBAEF294-5D09-4B75-AB76-B818175EF7AB}" destId="{C80268F4-6287-49F1-91E1-596DD0890B37}" srcOrd="1" destOrd="0" presId="urn:microsoft.com/office/officeart/2005/8/layout/default#1"/>
    <dgm:cxn modelId="{83BA5BD7-15EC-47EC-8540-EBD1DF4BD03E}" type="presParOf" srcId="{EBAEF294-5D09-4B75-AB76-B818175EF7AB}" destId="{8AF3D496-1B40-4E01-B6E0-5CD4957ED285}" srcOrd="2" destOrd="0" presId="urn:microsoft.com/office/officeart/2005/8/layout/default#1"/>
    <dgm:cxn modelId="{F0EB223E-F92B-495C-B66B-5EAE5EFC9B04}" type="presParOf" srcId="{EBAEF294-5D09-4B75-AB76-B818175EF7AB}" destId="{1D8C6138-D765-4787-8E64-24CC1C11A0DE}" srcOrd="3" destOrd="0" presId="urn:microsoft.com/office/officeart/2005/8/layout/default#1"/>
    <dgm:cxn modelId="{B7AF2F5C-D7D2-405A-BDF0-29EFA76A7D13}" type="presParOf" srcId="{EBAEF294-5D09-4B75-AB76-B818175EF7AB}" destId="{41A5915D-2D9C-4A91-9806-2DA991EFC6D1}" srcOrd="4" destOrd="0" presId="urn:microsoft.com/office/officeart/2005/8/layout/default#1"/>
  </dgm:cxnLst>
  <dgm:bg>
    <a:solidFill>
      <a:schemeClr val="accent3">
        <a:lumMod val="20000"/>
        <a:lumOff val="80000"/>
      </a:schemeClr>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7A8EAC-C87C-46E5-805B-B752BFE02233}" type="doc">
      <dgm:prSet loTypeId="urn:microsoft.com/office/officeart/2005/8/layout/cycle1" loCatId="cycle" qsTypeId="urn:microsoft.com/office/officeart/2005/8/quickstyle/3d3" qsCatId="3D" csTypeId="urn:microsoft.com/office/officeart/2005/8/colors/colorful1#1" csCatId="colorful" phldr="1"/>
      <dgm:spPr/>
      <dgm:t>
        <a:bodyPr/>
        <a:lstStyle/>
        <a:p>
          <a:endParaRPr lang="en-US"/>
        </a:p>
      </dgm:t>
    </dgm:pt>
    <dgm:pt modelId="{FABE06FF-9D2A-4D4B-B094-970C4DC382B2}">
      <dgm:prSet phldrT="[Text]" custT="1"/>
      <dgm:spPr/>
      <dgm:t>
        <a:bodyPr/>
        <a:lstStyle/>
        <a:p>
          <a:pPr algn="ctr"/>
          <a:r>
            <a:rPr lang="en-IN" sz="900">
              <a:latin typeface="Times New Roman" panose="02020603050405020304" pitchFamily="18" charset="0"/>
              <a:cs typeface="Times New Roman" panose="02020603050405020304" pitchFamily="18" charset="0"/>
            </a:rPr>
            <a:t>Standardise referral, surgery, and discharge pathways</a:t>
          </a:r>
          <a:endParaRPr lang="en-US" sz="900">
            <a:latin typeface="Times New Roman" panose="02020603050405020304" pitchFamily="18" charset="0"/>
            <a:cs typeface="Times New Roman" panose="02020603050405020304" pitchFamily="18" charset="0"/>
          </a:endParaRPr>
        </a:p>
      </dgm:t>
    </dgm:pt>
    <dgm:pt modelId="{CA4C4C2C-B820-4979-BDC8-6399E9A570B8}" type="parTrans" cxnId="{62230DFE-9731-4B7C-AC26-8D3F3E101EB8}">
      <dgm:prSet/>
      <dgm:spPr/>
      <dgm:t>
        <a:bodyPr/>
        <a:lstStyle/>
        <a:p>
          <a:pPr algn="ctr"/>
          <a:endParaRPr lang="en-US"/>
        </a:p>
      </dgm:t>
    </dgm:pt>
    <dgm:pt modelId="{FC3DBC0C-D524-4245-AB98-3174CF66CAC2}" type="sibTrans" cxnId="{62230DFE-9731-4B7C-AC26-8D3F3E101EB8}">
      <dgm:prSet/>
      <dgm:spPr/>
      <dgm:t>
        <a:bodyPr/>
        <a:lstStyle/>
        <a:p>
          <a:pPr algn="ctr"/>
          <a:endParaRPr lang="en-US"/>
        </a:p>
      </dgm:t>
    </dgm:pt>
    <dgm:pt modelId="{2BA6D9EA-0035-4977-85E7-55CAC165A650}">
      <dgm:prSet phldrT="[Text]" custT="1"/>
      <dgm:spPr/>
      <dgm:t>
        <a:bodyPr/>
        <a:lstStyle/>
        <a:p>
          <a:pPr algn="ctr"/>
          <a:r>
            <a:rPr lang="en-IN" sz="900">
              <a:latin typeface="Times New Roman" panose="02020603050405020304" pitchFamily="18" charset="0"/>
              <a:cs typeface="Times New Roman" panose="02020603050405020304" pitchFamily="18" charset="0"/>
            </a:rPr>
            <a:t>Reduce clinical variation through Six Sigma analysis</a:t>
          </a:r>
          <a:endParaRPr lang="en-US" sz="900">
            <a:latin typeface="Times New Roman" panose="02020603050405020304" pitchFamily="18" charset="0"/>
            <a:cs typeface="Times New Roman" panose="02020603050405020304" pitchFamily="18" charset="0"/>
          </a:endParaRPr>
        </a:p>
      </dgm:t>
    </dgm:pt>
    <dgm:pt modelId="{D3B7A132-F02C-4D53-9C19-8496A0F04DA0}" type="parTrans" cxnId="{F2861080-669B-4A99-BC8A-1AF914689D77}">
      <dgm:prSet/>
      <dgm:spPr/>
      <dgm:t>
        <a:bodyPr/>
        <a:lstStyle/>
        <a:p>
          <a:pPr algn="ctr"/>
          <a:endParaRPr lang="en-US"/>
        </a:p>
      </dgm:t>
    </dgm:pt>
    <dgm:pt modelId="{A89B6922-EF1F-4B58-BB06-39CE9E28C12E}" type="sibTrans" cxnId="{F2861080-669B-4A99-BC8A-1AF914689D77}">
      <dgm:prSet/>
      <dgm:spPr/>
      <dgm:t>
        <a:bodyPr/>
        <a:lstStyle/>
        <a:p>
          <a:pPr algn="ctr"/>
          <a:endParaRPr lang="en-US"/>
        </a:p>
      </dgm:t>
    </dgm:pt>
    <dgm:pt modelId="{6E5E3A82-C73D-4A79-A4A3-DEA026722EAC}">
      <dgm:prSet phldrT="[Text]" custT="1"/>
      <dgm:spPr/>
      <dgm:t>
        <a:bodyPr/>
        <a:lstStyle/>
        <a:p>
          <a:pPr algn="ctr"/>
          <a:r>
            <a:rPr lang="en-IN" sz="900">
              <a:latin typeface="Times New Roman" panose="02020603050405020304" pitchFamily="18" charset="0"/>
              <a:cs typeface="Times New Roman" panose="02020603050405020304" pitchFamily="18" charset="0"/>
            </a:rPr>
            <a:t>Use data dashboards to monitor performance</a:t>
          </a:r>
          <a:endParaRPr lang="en-US" sz="900">
            <a:latin typeface="Times New Roman" panose="02020603050405020304" pitchFamily="18" charset="0"/>
            <a:cs typeface="Times New Roman" panose="02020603050405020304" pitchFamily="18" charset="0"/>
          </a:endParaRPr>
        </a:p>
      </dgm:t>
    </dgm:pt>
    <dgm:pt modelId="{1536F111-343F-4CFC-96BB-ADDB97ABFE92}" type="parTrans" cxnId="{A0F5F03D-EC80-4EDD-951D-6EF7B5F8EFD1}">
      <dgm:prSet/>
      <dgm:spPr/>
      <dgm:t>
        <a:bodyPr/>
        <a:lstStyle/>
        <a:p>
          <a:pPr algn="ctr"/>
          <a:endParaRPr lang="en-US"/>
        </a:p>
      </dgm:t>
    </dgm:pt>
    <dgm:pt modelId="{D269FBFC-B024-498C-9374-FEF75C3A8CF3}" type="sibTrans" cxnId="{A0F5F03D-EC80-4EDD-951D-6EF7B5F8EFD1}">
      <dgm:prSet/>
      <dgm:spPr/>
      <dgm:t>
        <a:bodyPr/>
        <a:lstStyle/>
        <a:p>
          <a:pPr algn="ctr"/>
          <a:endParaRPr lang="en-US"/>
        </a:p>
      </dgm:t>
    </dgm:pt>
    <dgm:pt modelId="{2F7B2E45-49A2-45D2-9880-89C429FCA1ED}">
      <dgm:prSet phldrT="[Text]" custT="1"/>
      <dgm:spPr/>
      <dgm:t>
        <a:bodyPr/>
        <a:lstStyle/>
        <a:p>
          <a:pPr algn="ctr"/>
          <a:r>
            <a:rPr lang="en-IN" sz="900">
              <a:latin typeface="Times New Roman" panose="02020603050405020304" pitchFamily="18" charset="0"/>
              <a:cs typeface="Times New Roman" panose="02020603050405020304" pitchFamily="18" charset="0"/>
            </a:rPr>
            <a:t>Eliminate delays and non-value-added activities</a:t>
          </a:r>
          <a:endParaRPr lang="en-US" sz="900">
            <a:latin typeface="Times New Roman" panose="02020603050405020304" pitchFamily="18" charset="0"/>
            <a:cs typeface="Times New Roman" panose="02020603050405020304" pitchFamily="18" charset="0"/>
          </a:endParaRPr>
        </a:p>
      </dgm:t>
    </dgm:pt>
    <dgm:pt modelId="{CA237946-C775-4259-9EE6-256E9CB0EEFF}" type="parTrans" cxnId="{A55DFFFB-330F-48E7-BB94-F21C56CD8284}">
      <dgm:prSet/>
      <dgm:spPr/>
      <dgm:t>
        <a:bodyPr/>
        <a:lstStyle/>
        <a:p>
          <a:pPr algn="ctr"/>
          <a:endParaRPr lang="en-US"/>
        </a:p>
      </dgm:t>
    </dgm:pt>
    <dgm:pt modelId="{F4F49E4B-EAF2-4D1C-8418-6704B1E569D2}" type="sibTrans" cxnId="{A55DFFFB-330F-48E7-BB94-F21C56CD8284}">
      <dgm:prSet/>
      <dgm:spPr/>
      <dgm:t>
        <a:bodyPr/>
        <a:lstStyle/>
        <a:p>
          <a:pPr algn="ctr"/>
          <a:endParaRPr lang="en-US"/>
        </a:p>
      </dgm:t>
    </dgm:pt>
    <dgm:pt modelId="{0647E481-BB9E-4E8D-88A8-A7229773947D}">
      <dgm:prSet phldrT="[Text]" custT="1"/>
      <dgm:spPr/>
      <dgm:t>
        <a:bodyPr/>
        <a:lstStyle/>
        <a:p>
          <a:pPr algn="ctr"/>
          <a:r>
            <a:rPr lang="en-IN" sz="900">
              <a:latin typeface="Times New Roman" panose="02020603050405020304" pitchFamily="18" charset="0"/>
              <a:cs typeface="Times New Roman" panose="02020603050405020304" pitchFamily="18" charset="0"/>
            </a:rPr>
            <a:t>Strengthen multidisciplinary teamwork and continuous improvement</a:t>
          </a:r>
          <a:endParaRPr lang="en-US" sz="900">
            <a:latin typeface="Times New Roman" panose="02020603050405020304" pitchFamily="18" charset="0"/>
            <a:cs typeface="Times New Roman" panose="02020603050405020304" pitchFamily="18" charset="0"/>
          </a:endParaRPr>
        </a:p>
      </dgm:t>
    </dgm:pt>
    <dgm:pt modelId="{408443DD-F1E2-4BEA-8C51-D1FA019E88F7}" type="parTrans" cxnId="{F50A28BD-CA01-469B-BE55-641254F69564}">
      <dgm:prSet/>
      <dgm:spPr/>
      <dgm:t>
        <a:bodyPr/>
        <a:lstStyle/>
        <a:p>
          <a:pPr algn="ctr"/>
          <a:endParaRPr lang="en-US"/>
        </a:p>
      </dgm:t>
    </dgm:pt>
    <dgm:pt modelId="{1CCCB2D3-A5C9-4290-A736-14D69B607031}" type="sibTrans" cxnId="{F50A28BD-CA01-469B-BE55-641254F69564}">
      <dgm:prSet/>
      <dgm:spPr/>
      <dgm:t>
        <a:bodyPr/>
        <a:lstStyle/>
        <a:p>
          <a:pPr algn="ctr"/>
          <a:endParaRPr lang="en-US"/>
        </a:p>
      </dgm:t>
    </dgm:pt>
    <dgm:pt modelId="{A5090270-9CE4-4A05-9C52-D7D229A25438}">
      <dgm:prSet phldrT="[Text]" custT="1"/>
      <dgm:spPr/>
      <dgm:t>
        <a:bodyPr/>
        <a:lstStyle/>
        <a:p>
          <a:pPr algn="ctr"/>
          <a:r>
            <a:rPr lang="en-IN" sz="900">
              <a:latin typeface="Times New Roman" panose="02020603050405020304" pitchFamily="18" charset="0"/>
              <a:cs typeface="Times New Roman" panose="02020603050405020304" pitchFamily="18" charset="0"/>
            </a:rPr>
            <a:t>Improve patient safety, efficiency, and surgical outcomes</a:t>
          </a:r>
          <a:endParaRPr lang="en-US" sz="900">
            <a:latin typeface="Times New Roman" panose="02020603050405020304" pitchFamily="18" charset="0"/>
            <a:cs typeface="Times New Roman" panose="02020603050405020304" pitchFamily="18" charset="0"/>
          </a:endParaRPr>
        </a:p>
      </dgm:t>
    </dgm:pt>
    <dgm:pt modelId="{015E3735-3B41-4197-8CAE-5DBF3D3C000A}" type="parTrans" cxnId="{29B04849-039A-4D98-8248-805545484EC0}">
      <dgm:prSet/>
      <dgm:spPr/>
      <dgm:t>
        <a:bodyPr/>
        <a:lstStyle/>
        <a:p>
          <a:pPr algn="ctr"/>
          <a:endParaRPr lang="en-US"/>
        </a:p>
      </dgm:t>
    </dgm:pt>
    <dgm:pt modelId="{44D24920-DB39-405F-A8D3-D17F068957BD}" type="sibTrans" cxnId="{29B04849-039A-4D98-8248-805545484EC0}">
      <dgm:prSet/>
      <dgm:spPr/>
      <dgm:t>
        <a:bodyPr/>
        <a:lstStyle/>
        <a:p>
          <a:pPr algn="ctr"/>
          <a:endParaRPr lang="en-US"/>
        </a:p>
      </dgm:t>
    </dgm:pt>
    <dgm:pt modelId="{DCD2A9F2-F4CB-46C5-BC2A-13789EA09813}" type="pres">
      <dgm:prSet presAssocID="{7A7A8EAC-C87C-46E5-805B-B752BFE02233}" presName="cycle" presStyleCnt="0">
        <dgm:presLayoutVars>
          <dgm:dir/>
          <dgm:resizeHandles val="exact"/>
        </dgm:presLayoutVars>
      </dgm:prSet>
      <dgm:spPr/>
    </dgm:pt>
    <dgm:pt modelId="{FC2B95A0-0F38-4D59-A4F9-B19003E094A6}" type="pres">
      <dgm:prSet presAssocID="{FABE06FF-9D2A-4D4B-B094-970C4DC382B2}" presName="dummy" presStyleCnt="0"/>
      <dgm:spPr/>
    </dgm:pt>
    <dgm:pt modelId="{3700309E-4D4F-4176-BE65-74C4D389F400}" type="pres">
      <dgm:prSet presAssocID="{FABE06FF-9D2A-4D4B-B094-970C4DC382B2}" presName="node" presStyleLbl="revTx" presStyleIdx="0" presStyleCnt="6">
        <dgm:presLayoutVars>
          <dgm:bulletEnabled val="1"/>
        </dgm:presLayoutVars>
      </dgm:prSet>
      <dgm:spPr/>
    </dgm:pt>
    <dgm:pt modelId="{FACBE86A-D424-41C8-B33A-C3635D2E09F0}" type="pres">
      <dgm:prSet presAssocID="{FC3DBC0C-D524-4245-AB98-3174CF66CAC2}" presName="sibTrans" presStyleLbl="node1" presStyleIdx="0" presStyleCnt="6" custLinFactNeighborX="1668" custLinFactNeighborY="-3574"/>
      <dgm:spPr/>
    </dgm:pt>
    <dgm:pt modelId="{BBF72085-95B3-4F3A-9447-0CB7A8C7B4A4}" type="pres">
      <dgm:prSet presAssocID="{2BA6D9EA-0035-4977-85E7-55CAC165A650}" presName="dummy" presStyleCnt="0"/>
      <dgm:spPr/>
    </dgm:pt>
    <dgm:pt modelId="{7A1CAB22-4C36-4FE2-A254-B9D4C6823E29}" type="pres">
      <dgm:prSet presAssocID="{2BA6D9EA-0035-4977-85E7-55CAC165A650}" presName="node" presStyleLbl="revTx" presStyleIdx="1" presStyleCnt="6">
        <dgm:presLayoutVars>
          <dgm:bulletEnabled val="1"/>
        </dgm:presLayoutVars>
      </dgm:prSet>
      <dgm:spPr/>
    </dgm:pt>
    <dgm:pt modelId="{FBD45903-6284-41E1-9D58-9EB8E8C7409E}" type="pres">
      <dgm:prSet presAssocID="{A89B6922-EF1F-4B58-BB06-39CE9E28C12E}" presName="sibTrans" presStyleLbl="node1" presStyleIdx="1" presStyleCnt="6" custLinFactNeighborX="1668" custLinFactNeighborY="3336"/>
      <dgm:spPr/>
    </dgm:pt>
    <dgm:pt modelId="{B5716E53-1937-4119-B466-B8FBA4CB65AC}" type="pres">
      <dgm:prSet presAssocID="{6E5E3A82-C73D-4A79-A4A3-DEA026722EAC}" presName="dummy" presStyleCnt="0"/>
      <dgm:spPr/>
    </dgm:pt>
    <dgm:pt modelId="{9BE24D61-B0C6-4654-98F7-3F038E5C6050}" type="pres">
      <dgm:prSet presAssocID="{6E5E3A82-C73D-4A79-A4A3-DEA026722EAC}" presName="node" presStyleLbl="revTx" presStyleIdx="2" presStyleCnt="6">
        <dgm:presLayoutVars>
          <dgm:bulletEnabled val="1"/>
        </dgm:presLayoutVars>
      </dgm:prSet>
      <dgm:spPr/>
    </dgm:pt>
    <dgm:pt modelId="{4910C233-C8DD-4AC4-B560-3773576C8568}" type="pres">
      <dgm:prSet presAssocID="{D269FBFC-B024-498C-9374-FEF75C3A8CF3}" presName="sibTrans" presStyleLbl="node1" presStyleIdx="2" presStyleCnt="6"/>
      <dgm:spPr/>
    </dgm:pt>
    <dgm:pt modelId="{F134C8D1-2D1E-4596-96E8-DED7FB113C51}" type="pres">
      <dgm:prSet presAssocID="{2F7B2E45-49A2-45D2-9880-89C429FCA1ED}" presName="dummy" presStyleCnt="0"/>
      <dgm:spPr/>
    </dgm:pt>
    <dgm:pt modelId="{DFF667A7-C2BC-4918-B9B6-4C44BBBE584F}" type="pres">
      <dgm:prSet presAssocID="{2F7B2E45-49A2-45D2-9880-89C429FCA1ED}" presName="node" presStyleLbl="revTx" presStyleIdx="3" presStyleCnt="6">
        <dgm:presLayoutVars>
          <dgm:bulletEnabled val="1"/>
        </dgm:presLayoutVars>
      </dgm:prSet>
      <dgm:spPr/>
    </dgm:pt>
    <dgm:pt modelId="{1CF7BEF2-036E-4645-A7CC-6CB513CB818B}" type="pres">
      <dgm:prSet presAssocID="{F4F49E4B-EAF2-4D1C-8418-6704B1E569D2}" presName="sibTrans" presStyleLbl="node1" presStyleIdx="3" presStyleCnt="6" custLinFactNeighborX="-1668" custLinFactNeighborY="3098"/>
      <dgm:spPr/>
    </dgm:pt>
    <dgm:pt modelId="{3F886153-D94E-40D7-A13F-E69C20CB51BE}" type="pres">
      <dgm:prSet presAssocID="{0647E481-BB9E-4E8D-88A8-A7229773947D}" presName="dummy" presStyleCnt="0"/>
      <dgm:spPr/>
    </dgm:pt>
    <dgm:pt modelId="{49ED3980-3FE7-4E4D-B56F-ED13ACF517B7}" type="pres">
      <dgm:prSet presAssocID="{0647E481-BB9E-4E8D-88A8-A7229773947D}" presName="node" presStyleLbl="revTx" presStyleIdx="4" presStyleCnt="6">
        <dgm:presLayoutVars>
          <dgm:bulletEnabled val="1"/>
        </dgm:presLayoutVars>
      </dgm:prSet>
      <dgm:spPr/>
    </dgm:pt>
    <dgm:pt modelId="{78904116-B18B-423A-B6FC-34DED744B834}" type="pres">
      <dgm:prSet presAssocID="{1CCCB2D3-A5C9-4290-A736-14D69B607031}" presName="sibTrans" presStyleLbl="node1" presStyleIdx="4" presStyleCnt="6" custLinFactNeighborX="-715" custLinFactNeighborY="-6195"/>
      <dgm:spPr/>
    </dgm:pt>
    <dgm:pt modelId="{C9407636-B50F-49B3-AABC-7B20E056C062}" type="pres">
      <dgm:prSet presAssocID="{A5090270-9CE4-4A05-9C52-D7D229A25438}" presName="dummy" presStyleCnt="0"/>
      <dgm:spPr/>
    </dgm:pt>
    <dgm:pt modelId="{4C3337B1-FF7E-47AA-9B5D-30515F7655BB}" type="pres">
      <dgm:prSet presAssocID="{A5090270-9CE4-4A05-9C52-D7D229A25438}" presName="node" presStyleLbl="revTx" presStyleIdx="5" presStyleCnt="6">
        <dgm:presLayoutVars>
          <dgm:bulletEnabled val="1"/>
        </dgm:presLayoutVars>
      </dgm:prSet>
      <dgm:spPr/>
    </dgm:pt>
    <dgm:pt modelId="{354EB7CF-19BE-44C7-AF9F-1D31EEF794A4}" type="pres">
      <dgm:prSet presAssocID="{44D24920-DB39-405F-A8D3-D17F068957BD}" presName="sibTrans" presStyleLbl="node1" presStyleIdx="5" presStyleCnt="6"/>
      <dgm:spPr/>
    </dgm:pt>
  </dgm:ptLst>
  <dgm:cxnLst>
    <dgm:cxn modelId="{BF093405-789E-423D-94AA-B740565843B1}" type="presOf" srcId="{7A7A8EAC-C87C-46E5-805B-B752BFE02233}" destId="{DCD2A9F2-F4CB-46C5-BC2A-13789EA09813}" srcOrd="0" destOrd="0" presId="urn:microsoft.com/office/officeart/2005/8/layout/cycle1"/>
    <dgm:cxn modelId="{C9E3FD07-7F58-4781-B7D1-98CDBDA71DF2}" type="presOf" srcId="{FABE06FF-9D2A-4D4B-B094-970C4DC382B2}" destId="{3700309E-4D4F-4176-BE65-74C4D389F400}" srcOrd="0" destOrd="0" presId="urn:microsoft.com/office/officeart/2005/8/layout/cycle1"/>
    <dgm:cxn modelId="{8582E60D-4F5D-4169-AF5A-B07182521A85}" type="presOf" srcId="{6E5E3A82-C73D-4A79-A4A3-DEA026722EAC}" destId="{9BE24D61-B0C6-4654-98F7-3F038E5C6050}" srcOrd="0" destOrd="0" presId="urn:microsoft.com/office/officeart/2005/8/layout/cycle1"/>
    <dgm:cxn modelId="{07EE1F0F-212E-43AD-99F1-4E78AADE43B8}" type="presOf" srcId="{A89B6922-EF1F-4B58-BB06-39CE9E28C12E}" destId="{FBD45903-6284-41E1-9D58-9EB8E8C7409E}" srcOrd="0" destOrd="0" presId="urn:microsoft.com/office/officeart/2005/8/layout/cycle1"/>
    <dgm:cxn modelId="{A0F5F03D-EC80-4EDD-951D-6EF7B5F8EFD1}" srcId="{7A7A8EAC-C87C-46E5-805B-B752BFE02233}" destId="{6E5E3A82-C73D-4A79-A4A3-DEA026722EAC}" srcOrd="2" destOrd="0" parTransId="{1536F111-343F-4CFC-96BB-ADDB97ABFE92}" sibTransId="{D269FBFC-B024-498C-9374-FEF75C3A8CF3}"/>
    <dgm:cxn modelId="{17990E64-F2B0-4733-8832-3C56EEBEB21E}" type="presOf" srcId="{44D24920-DB39-405F-A8D3-D17F068957BD}" destId="{354EB7CF-19BE-44C7-AF9F-1D31EEF794A4}" srcOrd="0" destOrd="0" presId="urn:microsoft.com/office/officeart/2005/8/layout/cycle1"/>
    <dgm:cxn modelId="{5F274E65-7DFB-4FD2-A0DB-73E932D6A5E8}" type="presOf" srcId="{2BA6D9EA-0035-4977-85E7-55CAC165A650}" destId="{7A1CAB22-4C36-4FE2-A254-B9D4C6823E29}" srcOrd="0" destOrd="0" presId="urn:microsoft.com/office/officeart/2005/8/layout/cycle1"/>
    <dgm:cxn modelId="{29B04849-039A-4D98-8248-805545484EC0}" srcId="{7A7A8EAC-C87C-46E5-805B-B752BFE02233}" destId="{A5090270-9CE4-4A05-9C52-D7D229A25438}" srcOrd="5" destOrd="0" parTransId="{015E3735-3B41-4197-8CAE-5DBF3D3C000A}" sibTransId="{44D24920-DB39-405F-A8D3-D17F068957BD}"/>
    <dgm:cxn modelId="{F2861080-669B-4A99-BC8A-1AF914689D77}" srcId="{7A7A8EAC-C87C-46E5-805B-B752BFE02233}" destId="{2BA6D9EA-0035-4977-85E7-55CAC165A650}" srcOrd="1" destOrd="0" parTransId="{D3B7A132-F02C-4D53-9C19-8496A0F04DA0}" sibTransId="{A89B6922-EF1F-4B58-BB06-39CE9E28C12E}"/>
    <dgm:cxn modelId="{A6EA1B9B-73E3-49B4-AA32-B8365A1F0DA0}" type="presOf" srcId="{FC3DBC0C-D524-4245-AB98-3174CF66CAC2}" destId="{FACBE86A-D424-41C8-B33A-C3635D2E09F0}" srcOrd="0" destOrd="0" presId="urn:microsoft.com/office/officeart/2005/8/layout/cycle1"/>
    <dgm:cxn modelId="{F217159F-7ED6-4308-AEE0-17D300CD67C1}" type="presOf" srcId="{D269FBFC-B024-498C-9374-FEF75C3A8CF3}" destId="{4910C233-C8DD-4AC4-B560-3773576C8568}" srcOrd="0" destOrd="0" presId="urn:microsoft.com/office/officeart/2005/8/layout/cycle1"/>
    <dgm:cxn modelId="{195AC9A1-A1FA-46EA-977D-89CA59A76389}" type="presOf" srcId="{A5090270-9CE4-4A05-9C52-D7D229A25438}" destId="{4C3337B1-FF7E-47AA-9B5D-30515F7655BB}" srcOrd="0" destOrd="0" presId="urn:microsoft.com/office/officeart/2005/8/layout/cycle1"/>
    <dgm:cxn modelId="{F50A28BD-CA01-469B-BE55-641254F69564}" srcId="{7A7A8EAC-C87C-46E5-805B-B752BFE02233}" destId="{0647E481-BB9E-4E8D-88A8-A7229773947D}" srcOrd="4" destOrd="0" parTransId="{408443DD-F1E2-4BEA-8C51-D1FA019E88F7}" sibTransId="{1CCCB2D3-A5C9-4290-A736-14D69B607031}"/>
    <dgm:cxn modelId="{631F97CD-EEAB-4CF8-95D7-BBB5AF6CB5AA}" type="presOf" srcId="{F4F49E4B-EAF2-4D1C-8418-6704B1E569D2}" destId="{1CF7BEF2-036E-4645-A7CC-6CB513CB818B}" srcOrd="0" destOrd="0" presId="urn:microsoft.com/office/officeart/2005/8/layout/cycle1"/>
    <dgm:cxn modelId="{A52489D2-1810-4974-A8B9-5A6406295872}" type="presOf" srcId="{1CCCB2D3-A5C9-4290-A736-14D69B607031}" destId="{78904116-B18B-423A-B6FC-34DED744B834}" srcOrd="0" destOrd="0" presId="urn:microsoft.com/office/officeart/2005/8/layout/cycle1"/>
    <dgm:cxn modelId="{331303E6-8226-4525-8B0A-75118CDCFF1F}" type="presOf" srcId="{0647E481-BB9E-4E8D-88A8-A7229773947D}" destId="{49ED3980-3FE7-4E4D-B56F-ED13ACF517B7}" srcOrd="0" destOrd="0" presId="urn:microsoft.com/office/officeart/2005/8/layout/cycle1"/>
    <dgm:cxn modelId="{A55DFFFB-330F-48E7-BB94-F21C56CD8284}" srcId="{7A7A8EAC-C87C-46E5-805B-B752BFE02233}" destId="{2F7B2E45-49A2-45D2-9880-89C429FCA1ED}" srcOrd="3" destOrd="0" parTransId="{CA237946-C775-4259-9EE6-256E9CB0EEFF}" sibTransId="{F4F49E4B-EAF2-4D1C-8418-6704B1E569D2}"/>
    <dgm:cxn modelId="{62230DFE-9731-4B7C-AC26-8D3F3E101EB8}" srcId="{7A7A8EAC-C87C-46E5-805B-B752BFE02233}" destId="{FABE06FF-9D2A-4D4B-B094-970C4DC382B2}" srcOrd="0" destOrd="0" parTransId="{CA4C4C2C-B820-4979-BDC8-6399E9A570B8}" sibTransId="{FC3DBC0C-D524-4245-AB98-3174CF66CAC2}"/>
    <dgm:cxn modelId="{333DFDFF-CA88-4BEE-9ACA-31F93A4FB5F3}" type="presOf" srcId="{2F7B2E45-49A2-45D2-9880-89C429FCA1ED}" destId="{DFF667A7-C2BC-4918-B9B6-4C44BBBE584F}" srcOrd="0" destOrd="0" presId="urn:microsoft.com/office/officeart/2005/8/layout/cycle1"/>
    <dgm:cxn modelId="{26650B4B-2F77-4287-82EB-A8D9D1117CEE}" type="presParOf" srcId="{DCD2A9F2-F4CB-46C5-BC2A-13789EA09813}" destId="{FC2B95A0-0F38-4D59-A4F9-B19003E094A6}" srcOrd="0" destOrd="0" presId="urn:microsoft.com/office/officeart/2005/8/layout/cycle1"/>
    <dgm:cxn modelId="{4B53E474-8E87-4923-9D83-86810E672A04}" type="presParOf" srcId="{DCD2A9F2-F4CB-46C5-BC2A-13789EA09813}" destId="{3700309E-4D4F-4176-BE65-74C4D389F400}" srcOrd="1" destOrd="0" presId="urn:microsoft.com/office/officeart/2005/8/layout/cycle1"/>
    <dgm:cxn modelId="{82096579-88DA-4A89-9A71-9289E2D4FDA2}" type="presParOf" srcId="{DCD2A9F2-F4CB-46C5-BC2A-13789EA09813}" destId="{FACBE86A-D424-41C8-B33A-C3635D2E09F0}" srcOrd="2" destOrd="0" presId="urn:microsoft.com/office/officeart/2005/8/layout/cycle1"/>
    <dgm:cxn modelId="{84E62B92-7A44-4519-BDA1-1F91B62BB93F}" type="presParOf" srcId="{DCD2A9F2-F4CB-46C5-BC2A-13789EA09813}" destId="{BBF72085-95B3-4F3A-9447-0CB7A8C7B4A4}" srcOrd="3" destOrd="0" presId="urn:microsoft.com/office/officeart/2005/8/layout/cycle1"/>
    <dgm:cxn modelId="{C7ACF086-3A61-40F0-A202-B662C7C6331D}" type="presParOf" srcId="{DCD2A9F2-F4CB-46C5-BC2A-13789EA09813}" destId="{7A1CAB22-4C36-4FE2-A254-B9D4C6823E29}" srcOrd="4" destOrd="0" presId="urn:microsoft.com/office/officeart/2005/8/layout/cycle1"/>
    <dgm:cxn modelId="{722D4856-206B-4D14-B6F8-11CA7F9CED73}" type="presParOf" srcId="{DCD2A9F2-F4CB-46C5-BC2A-13789EA09813}" destId="{FBD45903-6284-41E1-9D58-9EB8E8C7409E}" srcOrd="5" destOrd="0" presId="urn:microsoft.com/office/officeart/2005/8/layout/cycle1"/>
    <dgm:cxn modelId="{E38A8D26-0008-4AEE-9549-2F46562A6CDD}" type="presParOf" srcId="{DCD2A9F2-F4CB-46C5-BC2A-13789EA09813}" destId="{B5716E53-1937-4119-B466-B8FBA4CB65AC}" srcOrd="6" destOrd="0" presId="urn:microsoft.com/office/officeart/2005/8/layout/cycle1"/>
    <dgm:cxn modelId="{2A6DF440-469E-41EA-B186-06615B9A28A6}" type="presParOf" srcId="{DCD2A9F2-F4CB-46C5-BC2A-13789EA09813}" destId="{9BE24D61-B0C6-4654-98F7-3F038E5C6050}" srcOrd="7" destOrd="0" presId="urn:microsoft.com/office/officeart/2005/8/layout/cycle1"/>
    <dgm:cxn modelId="{60C87B25-BBD6-424D-86BF-BD3F6BE4DA84}" type="presParOf" srcId="{DCD2A9F2-F4CB-46C5-BC2A-13789EA09813}" destId="{4910C233-C8DD-4AC4-B560-3773576C8568}" srcOrd="8" destOrd="0" presId="urn:microsoft.com/office/officeart/2005/8/layout/cycle1"/>
    <dgm:cxn modelId="{12D26C7B-D072-4588-884B-CB6995018182}" type="presParOf" srcId="{DCD2A9F2-F4CB-46C5-BC2A-13789EA09813}" destId="{F134C8D1-2D1E-4596-96E8-DED7FB113C51}" srcOrd="9" destOrd="0" presId="urn:microsoft.com/office/officeart/2005/8/layout/cycle1"/>
    <dgm:cxn modelId="{655EE840-8055-4AD2-B4DC-4F44EEA54FEB}" type="presParOf" srcId="{DCD2A9F2-F4CB-46C5-BC2A-13789EA09813}" destId="{DFF667A7-C2BC-4918-B9B6-4C44BBBE584F}" srcOrd="10" destOrd="0" presId="urn:microsoft.com/office/officeart/2005/8/layout/cycle1"/>
    <dgm:cxn modelId="{ADB08E0D-FF23-4367-84A7-D9D93630D1E6}" type="presParOf" srcId="{DCD2A9F2-F4CB-46C5-BC2A-13789EA09813}" destId="{1CF7BEF2-036E-4645-A7CC-6CB513CB818B}" srcOrd="11" destOrd="0" presId="urn:microsoft.com/office/officeart/2005/8/layout/cycle1"/>
    <dgm:cxn modelId="{8045703D-DFFF-46AC-A23E-2A8E0DBE2E29}" type="presParOf" srcId="{DCD2A9F2-F4CB-46C5-BC2A-13789EA09813}" destId="{3F886153-D94E-40D7-A13F-E69C20CB51BE}" srcOrd="12" destOrd="0" presId="urn:microsoft.com/office/officeart/2005/8/layout/cycle1"/>
    <dgm:cxn modelId="{753AD76A-919F-40AA-A9BA-3DF9A4A95CAC}" type="presParOf" srcId="{DCD2A9F2-F4CB-46C5-BC2A-13789EA09813}" destId="{49ED3980-3FE7-4E4D-B56F-ED13ACF517B7}" srcOrd="13" destOrd="0" presId="urn:microsoft.com/office/officeart/2005/8/layout/cycle1"/>
    <dgm:cxn modelId="{BE581B38-015A-4C94-800B-F8E754C63A5E}" type="presParOf" srcId="{DCD2A9F2-F4CB-46C5-BC2A-13789EA09813}" destId="{78904116-B18B-423A-B6FC-34DED744B834}" srcOrd="14" destOrd="0" presId="urn:microsoft.com/office/officeart/2005/8/layout/cycle1"/>
    <dgm:cxn modelId="{07B66F54-9C0D-4ADB-9CE5-E558BE28061A}" type="presParOf" srcId="{DCD2A9F2-F4CB-46C5-BC2A-13789EA09813}" destId="{C9407636-B50F-49B3-AABC-7B20E056C062}" srcOrd="15" destOrd="0" presId="urn:microsoft.com/office/officeart/2005/8/layout/cycle1"/>
    <dgm:cxn modelId="{37F21625-9968-4FB7-82B4-5184934527F7}" type="presParOf" srcId="{DCD2A9F2-F4CB-46C5-BC2A-13789EA09813}" destId="{4C3337B1-FF7E-47AA-9B5D-30515F7655BB}" srcOrd="16" destOrd="0" presId="urn:microsoft.com/office/officeart/2005/8/layout/cycle1"/>
    <dgm:cxn modelId="{9C450BB7-0B60-4284-A1DF-2FDF54E8B2D5}" type="presParOf" srcId="{DCD2A9F2-F4CB-46C5-BC2A-13789EA09813}" destId="{354EB7CF-19BE-44C7-AF9F-1D31EEF794A4}" srcOrd="17" destOrd="0" presId="urn:microsoft.com/office/officeart/2005/8/layout/cycle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7FCA9F-2F78-443C-A9A7-DD465C200C93}">
      <dsp:nvSpPr>
        <dsp:cNvPr id="0" name=""/>
        <dsp:cNvSpPr/>
      </dsp:nvSpPr>
      <dsp:spPr>
        <a:xfrm>
          <a:off x="161002" y="1696"/>
          <a:ext cx="2459235" cy="1475541"/>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solidFill>
                <a:sysClr val="windowText" lastClr="000000"/>
              </a:solidFill>
            </a:rPr>
            <a:t>Structure: Resources and Governance</a:t>
          </a:r>
          <a:endParaRPr lang="en-IN" sz="1500" b="1" i="1" kern="1200">
            <a:solidFill>
              <a:sysClr val="windowText" lastClr="000000"/>
            </a:solidFill>
          </a:endParaRPr>
        </a:p>
      </dsp:txBody>
      <dsp:txXfrm>
        <a:off x="161002" y="1696"/>
        <a:ext cx="2459235" cy="1475541"/>
      </dsp:txXfrm>
    </dsp:sp>
    <dsp:sp modelId="{8AF3D496-1B40-4E01-B6E0-5CD4957ED285}">
      <dsp:nvSpPr>
        <dsp:cNvPr id="0" name=""/>
        <dsp:cNvSpPr/>
      </dsp:nvSpPr>
      <dsp:spPr>
        <a:xfrm>
          <a:off x="2866161" y="1696"/>
          <a:ext cx="2459235" cy="1475541"/>
        </a:xfrm>
        <a:prstGeom prst="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solidFill>
                <a:sysClr val="windowText" lastClr="000000"/>
              </a:solidFill>
            </a:rPr>
            <a:t>Process: Care Delivery, and Audits </a:t>
          </a:r>
          <a:endParaRPr lang="en-IN" sz="1500" b="1" i="1" kern="1200">
            <a:solidFill>
              <a:sysClr val="windowText" lastClr="000000"/>
            </a:solidFill>
          </a:endParaRPr>
        </a:p>
      </dsp:txBody>
      <dsp:txXfrm>
        <a:off x="2866161" y="1696"/>
        <a:ext cx="2459235" cy="1475541"/>
      </dsp:txXfrm>
    </dsp:sp>
    <dsp:sp modelId="{41A5915D-2D9C-4A91-9806-2DA991EFC6D1}">
      <dsp:nvSpPr>
        <dsp:cNvPr id="0" name=""/>
        <dsp:cNvSpPr/>
      </dsp:nvSpPr>
      <dsp:spPr>
        <a:xfrm>
          <a:off x="1513582" y="1723161"/>
          <a:ext cx="2459235" cy="1475541"/>
        </a:xfrm>
        <a:prstGeom prst="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solidFill>
                <a:sysClr val="windowText" lastClr="000000"/>
              </a:solidFill>
            </a:rPr>
            <a:t>Outcome: Mortality Rates and Public Trust</a:t>
          </a:r>
          <a:endParaRPr lang="en-IN" sz="1500" b="1" i="1" kern="1200">
            <a:solidFill>
              <a:sysClr val="windowText" lastClr="000000"/>
            </a:solidFill>
          </a:endParaRPr>
        </a:p>
      </dsp:txBody>
      <dsp:txXfrm>
        <a:off x="1513582" y="1723161"/>
        <a:ext cx="2459235" cy="14755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00309E-4D4F-4176-BE65-74C4D389F400}">
      <dsp:nvSpPr>
        <dsp:cNvPr id="0" name=""/>
        <dsp:cNvSpPr/>
      </dsp:nvSpPr>
      <dsp:spPr>
        <a:xfrm>
          <a:off x="3145991" y="7808"/>
          <a:ext cx="654992" cy="654992"/>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Standardise referral, surgery, and discharge pathways</a:t>
          </a:r>
          <a:endParaRPr lang="en-US" sz="900" kern="1200">
            <a:latin typeface="Times New Roman" panose="02020603050405020304" pitchFamily="18" charset="0"/>
            <a:cs typeface="Times New Roman" panose="02020603050405020304" pitchFamily="18" charset="0"/>
          </a:endParaRPr>
        </a:p>
      </dsp:txBody>
      <dsp:txXfrm>
        <a:off x="3145991" y="7808"/>
        <a:ext cx="654992" cy="654992"/>
      </dsp:txXfrm>
    </dsp:sp>
    <dsp:sp modelId="{FACBE86A-D424-41C8-B33A-C3635D2E09F0}">
      <dsp:nvSpPr>
        <dsp:cNvPr id="0" name=""/>
        <dsp:cNvSpPr/>
      </dsp:nvSpPr>
      <dsp:spPr>
        <a:xfrm>
          <a:off x="1197598" y="-113034"/>
          <a:ext cx="3197884" cy="3197884"/>
        </a:xfrm>
        <a:prstGeom prst="circularArrow">
          <a:avLst>
            <a:gd name="adj1" fmla="val 3994"/>
            <a:gd name="adj2" fmla="val 250574"/>
            <a:gd name="adj3" fmla="val 20571990"/>
            <a:gd name="adj4" fmla="val 18984261"/>
            <a:gd name="adj5" fmla="val 466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7A1CAB22-4C36-4FE2-A254-B9D4C6823E29}">
      <dsp:nvSpPr>
        <dsp:cNvPr id="0" name=""/>
        <dsp:cNvSpPr/>
      </dsp:nvSpPr>
      <dsp:spPr>
        <a:xfrm>
          <a:off x="3876278" y="1272703"/>
          <a:ext cx="654992" cy="654992"/>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Reduce clinical variation through Six Sigma analysis</a:t>
          </a:r>
          <a:endParaRPr lang="en-US" sz="900" kern="1200">
            <a:latin typeface="Times New Roman" panose="02020603050405020304" pitchFamily="18" charset="0"/>
            <a:cs typeface="Times New Roman" panose="02020603050405020304" pitchFamily="18" charset="0"/>
          </a:endParaRPr>
        </a:p>
      </dsp:txBody>
      <dsp:txXfrm>
        <a:off x="3876278" y="1272703"/>
        <a:ext cx="654992" cy="654992"/>
      </dsp:txXfrm>
    </dsp:sp>
    <dsp:sp modelId="{FBD45903-6284-41E1-9D58-9EB8E8C7409E}">
      <dsp:nvSpPr>
        <dsp:cNvPr id="0" name=""/>
        <dsp:cNvSpPr/>
      </dsp:nvSpPr>
      <dsp:spPr>
        <a:xfrm>
          <a:off x="1197598" y="107939"/>
          <a:ext cx="3197884" cy="3197884"/>
        </a:xfrm>
        <a:prstGeom prst="circularArrow">
          <a:avLst>
            <a:gd name="adj1" fmla="val 3994"/>
            <a:gd name="adj2" fmla="val 250574"/>
            <a:gd name="adj3" fmla="val 2365165"/>
            <a:gd name="adj4" fmla="val 777436"/>
            <a:gd name="adj5" fmla="val 466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9BE24D61-B0C6-4654-98F7-3F038E5C6050}">
      <dsp:nvSpPr>
        <dsp:cNvPr id="0" name=""/>
        <dsp:cNvSpPr/>
      </dsp:nvSpPr>
      <dsp:spPr>
        <a:xfrm>
          <a:off x="3145991" y="2537598"/>
          <a:ext cx="654992" cy="654992"/>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Use data dashboards to monitor performance</a:t>
          </a:r>
          <a:endParaRPr lang="en-US" sz="900" kern="1200">
            <a:latin typeface="Times New Roman" panose="02020603050405020304" pitchFamily="18" charset="0"/>
            <a:cs typeface="Times New Roman" panose="02020603050405020304" pitchFamily="18" charset="0"/>
          </a:endParaRPr>
        </a:p>
      </dsp:txBody>
      <dsp:txXfrm>
        <a:off x="3145991" y="2537598"/>
        <a:ext cx="654992" cy="654992"/>
      </dsp:txXfrm>
    </dsp:sp>
    <dsp:sp modelId="{4910C233-C8DD-4AC4-B560-3773576C8568}">
      <dsp:nvSpPr>
        <dsp:cNvPr id="0" name=""/>
        <dsp:cNvSpPr/>
      </dsp:nvSpPr>
      <dsp:spPr>
        <a:xfrm>
          <a:off x="1144257" y="1257"/>
          <a:ext cx="3197884" cy="3197884"/>
        </a:xfrm>
        <a:prstGeom prst="circularArrow">
          <a:avLst>
            <a:gd name="adj1" fmla="val 3994"/>
            <a:gd name="adj2" fmla="val 250574"/>
            <a:gd name="adj3" fmla="val 6109921"/>
            <a:gd name="adj4" fmla="val 4439505"/>
            <a:gd name="adj5" fmla="val 4660"/>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DFF667A7-C2BC-4918-B9B6-4C44BBBE584F}">
      <dsp:nvSpPr>
        <dsp:cNvPr id="0" name=""/>
        <dsp:cNvSpPr/>
      </dsp:nvSpPr>
      <dsp:spPr>
        <a:xfrm>
          <a:off x="1685416" y="2537598"/>
          <a:ext cx="654992" cy="654992"/>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Eliminate delays and non-value-added activities</a:t>
          </a:r>
          <a:endParaRPr lang="en-US" sz="900" kern="1200">
            <a:latin typeface="Times New Roman" panose="02020603050405020304" pitchFamily="18" charset="0"/>
            <a:cs typeface="Times New Roman" panose="02020603050405020304" pitchFamily="18" charset="0"/>
          </a:endParaRPr>
        </a:p>
      </dsp:txBody>
      <dsp:txXfrm>
        <a:off x="1685416" y="2537598"/>
        <a:ext cx="654992" cy="654992"/>
      </dsp:txXfrm>
    </dsp:sp>
    <dsp:sp modelId="{1CF7BEF2-036E-4645-A7CC-6CB513CB818B}">
      <dsp:nvSpPr>
        <dsp:cNvPr id="0" name=""/>
        <dsp:cNvSpPr/>
      </dsp:nvSpPr>
      <dsp:spPr>
        <a:xfrm>
          <a:off x="1090916" y="100328"/>
          <a:ext cx="3197884" cy="3197884"/>
        </a:xfrm>
        <a:prstGeom prst="circularArrow">
          <a:avLst>
            <a:gd name="adj1" fmla="val 3994"/>
            <a:gd name="adj2" fmla="val 250574"/>
            <a:gd name="adj3" fmla="val 9771990"/>
            <a:gd name="adj4" fmla="val 8184261"/>
            <a:gd name="adj5" fmla="val 466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49ED3980-3FE7-4E4D-B56F-ED13ACF517B7}">
      <dsp:nvSpPr>
        <dsp:cNvPr id="0" name=""/>
        <dsp:cNvSpPr/>
      </dsp:nvSpPr>
      <dsp:spPr>
        <a:xfrm>
          <a:off x="955128" y="1272703"/>
          <a:ext cx="654992" cy="654992"/>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Strengthen multidisciplinary teamwork and continuous improvement</a:t>
          </a:r>
          <a:endParaRPr lang="en-US" sz="900" kern="1200">
            <a:latin typeface="Times New Roman" panose="02020603050405020304" pitchFamily="18" charset="0"/>
            <a:cs typeface="Times New Roman" panose="02020603050405020304" pitchFamily="18" charset="0"/>
          </a:endParaRPr>
        </a:p>
      </dsp:txBody>
      <dsp:txXfrm>
        <a:off x="955128" y="1272703"/>
        <a:ext cx="654992" cy="654992"/>
      </dsp:txXfrm>
    </dsp:sp>
    <dsp:sp modelId="{78904116-B18B-423A-B6FC-34DED744B834}">
      <dsp:nvSpPr>
        <dsp:cNvPr id="0" name=""/>
        <dsp:cNvSpPr/>
      </dsp:nvSpPr>
      <dsp:spPr>
        <a:xfrm>
          <a:off x="1121392" y="-196851"/>
          <a:ext cx="3197884" cy="3197884"/>
        </a:xfrm>
        <a:prstGeom prst="circularArrow">
          <a:avLst>
            <a:gd name="adj1" fmla="val 3994"/>
            <a:gd name="adj2" fmla="val 250574"/>
            <a:gd name="adj3" fmla="val 13165165"/>
            <a:gd name="adj4" fmla="val 11577436"/>
            <a:gd name="adj5" fmla="val 4660"/>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4C3337B1-FF7E-47AA-9B5D-30515F7655BB}">
      <dsp:nvSpPr>
        <dsp:cNvPr id="0" name=""/>
        <dsp:cNvSpPr/>
      </dsp:nvSpPr>
      <dsp:spPr>
        <a:xfrm>
          <a:off x="1685416" y="7808"/>
          <a:ext cx="654992" cy="654992"/>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Improve patient safety, efficiency, and surgical outcomes</a:t>
          </a:r>
          <a:endParaRPr lang="en-US" sz="900" kern="1200">
            <a:latin typeface="Times New Roman" panose="02020603050405020304" pitchFamily="18" charset="0"/>
            <a:cs typeface="Times New Roman" panose="02020603050405020304" pitchFamily="18" charset="0"/>
          </a:endParaRPr>
        </a:p>
      </dsp:txBody>
      <dsp:txXfrm>
        <a:off x="1685416" y="7808"/>
        <a:ext cx="654992" cy="654992"/>
      </dsp:txXfrm>
    </dsp:sp>
    <dsp:sp modelId="{354EB7CF-19BE-44C7-AF9F-1D31EEF794A4}">
      <dsp:nvSpPr>
        <dsp:cNvPr id="0" name=""/>
        <dsp:cNvSpPr/>
      </dsp:nvSpPr>
      <dsp:spPr>
        <a:xfrm>
          <a:off x="1144257" y="1257"/>
          <a:ext cx="3197884" cy="3197884"/>
        </a:xfrm>
        <a:prstGeom prst="circularArrow">
          <a:avLst>
            <a:gd name="adj1" fmla="val 3994"/>
            <a:gd name="adj2" fmla="val 250574"/>
            <a:gd name="adj3" fmla="val 16909921"/>
            <a:gd name="adj4" fmla="val 15239505"/>
            <a:gd name="adj5" fmla="val 466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DBC31-E667-4049-81A9-069EB22BC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5384</Words>
  <Characters>30693</Characters>
  <DocSecurity>0</DocSecurity>
  <Lines>255</Lines>
  <Paragraphs>72</Paragraphs>
  <ScaleCrop>false</ScaleCrop>
  <Company/>
  <LinksUpToDate>false</LinksUpToDate>
  <CharactersWithSpaces>36005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2026-08-06T10:14:00Z</dcterms:created>
  <dcterms:modified xsi:type="dcterms:W3CDTF">2026-08-09T16:27:00Z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ab0fbc9a-3273-440b-8d4a-5cf71a12e0ad</vt:lpwstr>
  </property>
</Properties>
</file>