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6473" w:rsidRPr="001B6473" w:rsidRDefault="001B6473" w:rsidP="001B6473">
      <w:pPr>
        <w:pStyle w:val="Alex"/>
        <w:rPr>
          <w:rFonts w:asciiTheme="minorHAnsi" w:hAnsiTheme="minorHAnsi"/>
          <w:b/>
          <w:u w:val="single"/>
        </w:rPr>
      </w:pPr>
      <w:r w:rsidRPr="001B6473">
        <w:rPr>
          <w:rFonts w:asciiTheme="minorHAnsi" w:hAnsiTheme="minorHAnsi"/>
          <w:b/>
          <w:u w:val="single"/>
        </w:rPr>
        <w:t>AHHI5017 Contesting Conflict: Representations of War, 1789–Present</w:t>
      </w:r>
    </w:p>
    <w:p w:rsidR="00D54999" w:rsidRPr="001B6473" w:rsidRDefault="00D54999" w:rsidP="00D54999">
      <w:pPr>
        <w:pStyle w:val="Alex"/>
        <w:rPr>
          <w:rFonts w:asciiTheme="minorHAnsi" w:hAnsiTheme="minorHAnsi"/>
          <w:b/>
          <w:u w:val="single"/>
        </w:rPr>
      </w:pPr>
      <w:r w:rsidRPr="001B6473">
        <w:rPr>
          <w:rFonts w:asciiTheme="minorHAnsi" w:hAnsiTheme="minorHAnsi"/>
          <w:b/>
          <w:u w:val="single"/>
        </w:rPr>
        <w:t xml:space="preserve">Weeks 9: </w:t>
      </w:r>
      <w:r w:rsidR="001B6473" w:rsidRPr="001B6473">
        <w:rPr>
          <w:rFonts w:asciiTheme="minorHAnsi" w:hAnsiTheme="minorHAnsi"/>
          <w:b/>
          <w:u w:val="single"/>
        </w:rPr>
        <w:t>T</w:t>
      </w:r>
      <w:r w:rsidRPr="001B6473">
        <w:rPr>
          <w:rFonts w:asciiTheme="minorHAnsi" w:hAnsiTheme="minorHAnsi"/>
          <w:b/>
          <w:u w:val="single"/>
        </w:rPr>
        <w:t>he Holocaust</w:t>
      </w:r>
    </w:p>
    <w:p w:rsidR="00D54999" w:rsidRPr="001B6473" w:rsidRDefault="00D54999" w:rsidP="00D54999">
      <w:pPr>
        <w:pStyle w:val="Alex"/>
        <w:rPr>
          <w:rFonts w:asciiTheme="minorHAnsi" w:hAnsiTheme="minorHAnsi"/>
          <w:b/>
          <w:u w:val="single"/>
        </w:rPr>
      </w:pPr>
      <w:r w:rsidRPr="001B6473">
        <w:rPr>
          <w:noProof/>
          <w:lang w:val="en-US"/>
        </w:rPr>
        <w:drawing>
          <wp:inline distT="0" distB="0" distL="0" distR="0">
            <wp:extent cx="5943600" cy="3868057"/>
            <wp:effectExtent l="0" t="0" r="0" b="0"/>
            <wp:docPr id="1" name="Picture 1" descr="Image result for art spiegelman ma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rt spiegelman mau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3868057"/>
                    </a:xfrm>
                    <a:prstGeom prst="rect">
                      <a:avLst/>
                    </a:prstGeom>
                    <a:noFill/>
                    <a:ln>
                      <a:noFill/>
                    </a:ln>
                  </pic:spPr>
                </pic:pic>
              </a:graphicData>
            </a:graphic>
          </wp:inline>
        </w:drawing>
      </w:r>
    </w:p>
    <w:p w:rsidR="00FB60BC" w:rsidRDefault="00FB60BC" w:rsidP="0077325B">
      <w:pPr>
        <w:spacing w:after="0" w:line="360" w:lineRule="auto"/>
        <w:jc w:val="both"/>
        <w:rPr>
          <w:i/>
          <w:u w:val="single"/>
        </w:rPr>
      </w:pPr>
    </w:p>
    <w:p w:rsidR="00FB6D4D" w:rsidRDefault="00FB6D4D" w:rsidP="00FB6D4D">
      <w:pPr>
        <w:pStyle w:val="Alex"/>
        <w:rPr>
          <w:rFonts w:asciiTheme="minorHAnsi" w:hAnsiTheme="minorHAnsi"/>
          <w:i/>
          <w:u w:val="single"/>
        </w:rPr>
      </w:pPr>
      <w:r>
        <w:rPr>
          <w:rFonts w:asciiTheme="minorHAnsi" w:hAnsiTheme="minorHAnsi"/>
          <w:i/>
          <w:u w:val="single"/>
        </w:rPr>
        <w:t>Lectures summary:</w:t>
      </w:r>
    </w:p>
    <w:p w:rsidR="00FB6D4D" w:rsidRPr="00FB6D4D" w:rsidRDefault="00FB6D4D" w:rsidP="00FB6D4D">
      <w:pPr>
        <w:pStyle w:val="ListParagraph"/>
        <w:spacing w:after="0" w:line="360" w:lineRule="auto"/>
        <w:ind w:left="0"/>
        <w:jc w:val="both"/>
      </w:pPr>
      <w:r w:rsidRPr="00FB6D4D">
        <w:t xml:space="preserve">This lecture examines the challenges of commemorating the Holocaust. It gravitates around Theodor Adorno’s dictum about the impossibility of “poetry after Auschwitz,” as explored through an examination Art </w:t>
      </w:r>
      <w:proofErr w:type="spellStart"/>
      <w:r w:rsidRPr="00FB6D4D">
        <w:t>Spiegelmann’s</w:t>
      </w:r>
      <w:proofErr w:type="spellEnd"/>
      <w:r w:rsidRPr="00FB6D4D">
        <w:t xml:space="preserve"> celebrated comic </w:t>
      </w:r>
      <w:proofErr w:type="spellStart"/>
      <w:r w:rsidRPr="00FB6D4D">
        <w:rPr>
          <w:i/>
        </w:rPr>
        <w:t>Maus</w:t>
      </w:r>
      <w:proofErr w:type="spellEnd"/>
      <w:r w:rsidRPr="00FB6D4D">
        <w:t xml:space="preserve">. We shall also consider instances in which Holocaust memory is given material form at former concentration camps and museums respectively. </w:t>
      </w:r>
      <w:r>
        <w:t>Thought is given to the built and natural landscapes of the camps as they exist today; to the different commemorative practices enacted at them; and to how the camps can be interpreted as ex</w:t>
      </w:r>
      <w:r>
        <w:t xml:space="preserve">pressing political sentiments. </w:t>
      </w:r>
    </w:p>
    <w:p w:rsidR="00FB6D4D" w:rsidRPr="001B6473" w:rsidRDefault="00FB6D4D" w:rsidP="0077325B">
      <w:pPr>
        <w:spacing w:after="0" w:line="360" w:lineRule="auto"/>
        <w:jc w:val="both"/>
        <w:rPr>
          <w:i/>
          <w:u w:val="single"/>
        </w:rPr>
      </w:pPr>
    </w:p>
    <w:p w:rsidR="0077325B" w:rsidRPr="001B6473" w:rsidRDefault="0077325B" w:rsidP="0077325B">
      <w:pPr>
        <w:spacing w:after="0" w:line="360" w:lineRule="auto"/>
        <w:jc w:val="both"/>
        <w:rPr>
          <w:i/>
          <w:u w:val="single"/>
        </w:rPr>
      </w:pPr>
      <w:r w:rsidRPr="001B6473">
        <w:rPr>
          <w:i/>
          <w:u w:val="single"/>
        </w:rPr>
        <w:t>Required reading:</w:t>
      </w:r>
    </w:p>
    <w:p w:rsidR="00F109D6" w:rsidRPr="001B6473" w:rsidRDefault="00F109D6" w:rsidP="00F109D6">
      <w:pPr>
        <w:pStyle w:val="ListParagraph"/>
        <w:numPr>
          <w:ilvl w:val="0"/>
          <w:numId w:val="1"/>
        </w:numPr>
        <w:spacing w:after="0" w:line="360" w:lineRule="auto"/>
        <w:jc w:val="both"/>
      </w:pPr>
      <w:r w:rsidRPr="001B6473">
        <w:t xml:space="preserve">Michael Rothberg, introduction, </w:t>
      </w:r>
      <w:r w:rsidRPr="001B6473">
        <w:rPr>
          <w:i/>
        </w:rPr>
        <w:t xml:space="preserve">Traumatic Realism: The Demands of Holocaust Representation </w:t>
      </w:r>
      <w:r w:rsidRPr="001B6473">
        <w:t xml:space="preserve">(University of Minnesota: Minneapolis, 2000), pp. 1–15. </w:t>
      </w:r>
    </w:p>
    <w:p w:rsidR="00F109D6" w:rsidRPr="001B6473" w:rsidRDefault="00F109D6" w:rsidP="00F109D6">
      <w:pPr>
        <w:pStyle w:val="ListParagraph"/>
        <w:numPr>
          <w:ilvl w:val="0"/>
          <w:numId w:val="1"/>
        </w:numPr>
        <w:spacing w:after="0" w:line="360" w:lineRule="auto"/>
        <w:jc w:val="both"/>
      </w:pPr>
      <w:r w:rsidRPr="001B6473">
        <w:t>Art Spieg</w:t>
      </w:r>
      <w:r w:rsidR="00152ED4" w:rsidRPr="001B6473">
        <w:t>e</w:t>
      </w:r>
      <w:r w:rsidRPr="001B6473">
        <w:t xml:space="preserve">lman, </w:t>
      </w:r>
      <w:proofErr w:type="spellStart"/>
      <w:r w:rsidRPr="001B6473">
        <w:rPr>
          <w:i/>
        </w:rPr>
        <w:t>Maus</w:t>
      </w:r>
      <w:proofErr w:type="spellEnd"/>
      <w:r w:rsidRPr="001B6473">
        <w:rPr>
          <w:i/>
        </w:rPr>
        <w:t xml:space="preserve">: A Survivor's Tale </w:t>
      </w:r>
      <w:r w:rsidRPr="001B6473">
        <w:t>(London: Penguin 2003 [original serialisation 1980–1991]), pp. 5–25, 164–167, 199–234, 261–277.</w:t>
      </w:r>
    </w:p>
    <w:p w:rsidR="00FB60BC" w:rsidRPr="001B6473" w:rsidRDefault="00FB60BC" w:rsidP="00F109D6">
      <w:pPr>
        <w:pStyle w:val="NoSpacing"/>
        <w:spacing w:line="360" w:lineRule="auto"/>
        <w:jc w:val="both"/>
        <w:rPr>
          <w:b/>
          <w:u w:val="single"/>
        </w:rPr>
      </w:pPr>
    </w:p>
    <w:p w:rsidR="00FB60BC" w:rsidRPr="001B6473" w:rsidRDefault="00FB60BC" w:rsidP="00FB60BC">
      <w:pPr>
        <w:pStyle w:val="NoSpacing"/>
        <w:spacing w:line="360" w:lineRule="auto"/>
        <w:jc w:val="both"/>
        <w:rPr>
          <w:i/>
          <w:u w:val="single"/>
        </w:rPr>
      </w:pPr>
      <w:r w:rsidRPr="001B6473">
        <w:rPr>
          <w:i/>
          <w:u w:val="single"/>
        </w:rPr>
        <w:t>Lecture preparation:</w:t>
      </w:r>
    </w:p>
    <w:p w:rsidR="00FB60BC" w:rsidRPr="001B6473" w:rsidRDefault="00FB60BC" w:rsidP="00FB60BC">
      <w:pPr>
        <w:pStyle w:val="NoSpacing"/>
        <w:spacing w:line="360" w:lineRule="auto"/>
        <w:jc w:val="both"/>
      </w:pPr>
      <w:r w:rsidRPr="001B6473">
        <w:t xml:space="preserve">When preparing for the seminar, it may be advisable to </w:t>
      </w:r>
      <w:r w:rsidR="001B6473" w:rsidRPr="001B6473">
        <w:t xml:space="preserve">first </w:t>
      </w:r>
      <w:r w:rsidRPr="001B6473">
        <w:t xml:space="preserve">read the chapter from Michael Rothberg’s </w:t>
      </w:r>
      <w:r w:rsidRPr="001B6473">
        <w:rPr>
          <w:i/>
        </w:rPr>
        <w:t>Traumatic Realism: The Demands of Holocaust Representation</w:t>
      </w:r>
      <w:r w:rsidRPr="001B6473">
        <w:t xml:space="preserve"> as it offers a very general introduction to Holocaust literature and scholarship, and brings attention to a number of themes relevant to the other assigned texts. </w:t>
      </w:r>
      <w:r w:rsidR="001B6473" w:rsidRPr="001B6473">
        <w:t xml:space="preserve">Then read </w:t>
      </w:r>
      <w:r w:rsidRPr="001B6473">
        <w:t xml:space="preserve">the extracts from </w:t>
      </w:r>
      <w:proofErr w:type="spellStart"/>
      <w:r w:rsidRPr="001B6473">
        <w:rPr>
          <w:i/>
        </w:rPr>
        <w:t>Maus</w:t>
      </w:r>
      <w:proofErr w:type="spellEnd"/>
      <w:r w:rsidRPr="001B6473">
        <w:t>, paying attention to Spiegelman’s text and his images.</w:t>
      </w:r>
      <w:r w:rsidR="00F55E2E" w:rsidRPr="001B6473">
        <w:t xml:space="preserve"> The latter extracts are not as much reading as they might appear: they combine illustrations as well as text.</w:t>
      </w:r>
    </w:p>
    <w:p w:rsidR="001B6473" w:rsidRPr="001B6473" w:rsidRDefault="00FB60BC" w:rsidP="00FB60BC">
      <w:pPr>
        <w:pStyle w:val="NoSpacing"/>
        <w:spacing w:line="360" w:lineRule="auto"/>
        <w:jc w:val="both"/>
      </w:pPr>
      <w:r w:rsidRPr="001B6473">
        <w:tab/>
      </w:r>
      <w:r w:rsidRPr="001B6473">
        <w:rPr>
          <w:b/>
        </w:rPr>
        <w:t xml:space="preserve">Note: </w:t>
      </w:r>
      <w:r w:rsidRPr="001B6473">
        <w:t>The amount of literature and scholarship that has been written about the Holocaust can make it an intimidating topic to approach, so students should not be unduly concerned if they feel as though they do not have a clear grasp on this vast subject area. They should concentrate instead on getting a clear handle on the writings b</w:t>
      </w:r>
      <w:r w:rsidR="001B6473" w:rsidRPr="001B6473">
        <w:t xml:space="preserve">y Rothberg </w:t>
      </w:r>
      <w:r w:rsidRPr="001B6473">
        <w:t xml:space="preserve">and Spiegelman. </w:t>
      </w:r>
    </w:p>
    <w:p w:rsidR="00FB60BC" w:rsidRPr="001B6473" w:rsidRDefault="00FB60BC" w:rsidP="001B6473">
      <w:pPr>
        <w:pStyle w:val="NoSpacing"/>
        <w:spacing w:line="360" w:lineRule="auto"/>
        <w:ind w:firstLine="720"/>
        <w:jc w:val="both"/>
      </w:pPr>
      <w:r w:rsidRPr="001B6473">
        <w:t xml:space="preserve">An overview of Holocaust literature is available here: </w:t>
      </w:r>
      <w:hyperlink r:id="rId6" w:history="1">
        <w:r w:rsidRPr="001B6473">
          <w:rPr>
            <w:rStyle w:val="Hyperlink"/>
          </w:rPr>
          <w:t>http://www.oxfordreference.com/view/10.1093/acref/9780192806871.001.0001/acref-9780192806871-e-3682?rskey=HaKuJS&amp;result=6</w:t>
        </w:r>
      </w:hyperlink>
      <w:r w:rsidRPr="001B6473">
        <w:t>.</w:t>
      </w:r>
    </w:p>
    <w:p w:rsidR="00FB60BC" w:rsidRPr="001B6473" w:rsidRDefault="00FB60BC" w:rsidP="00FB60BC">
      <w:pPr>
        <w:pStyle w:val="NoSpacing"/>
        <w:spacing w:line="360" w:lineRule="auto"/>
        <w:jc w:val="both"/>
      </w:pPr>
    </w:p>
    <w:p w:rsidR="00FB60BC" w:rsidRPr="001B6473" w:rsidRDefault="00FB60BC" w:rsidP="00F109D6">
      <w:pPr>
        <w:pStyle w:val="NoSpacing"/>
        <w:spacing w:line="360" w:lineRule="auto"/>
        <w:jc w:val="both"/>
        <w:rPr>
          <w:i/>
          <w:u w:val="single"/>
        </w:rPr>
      </w:pPr>
      <w:r w:rsidRPr="001B6473">
        <w:rPr>
          <w:i/>
          <w:u w:val="single"/>
        </w:rPr>
        <w:t>Questions to consider</w:t>
      </w:r>
    </w:p>
    <w:p w:rsidR="00FB6D4D" w:rsidRDefault="00FB6D4D" w:rsidP="00F109D6">
      <w:pPr>
        <w:pStyle w:val="NoSpacing"/>
        <w:spacing w:line="360" w:lineRule="auto"/>
        <w:jc w:val="both"/>
        <w:rPr>
          <w:b/>
          <w:u w:val="single"/>
        </w:rPr>
      </w:pPr>
      <w:r>
        <w:rPr>
          <w:b/>
          <w:u w:val="single"/>
        </w:rPr>
        <w:t>General</w:t>
      </w:r>
    </w:p>
    <w:p w:rsidR="00FB6D4D" w:rsidRDefault="00FB6D4D" w:rsidP="00F109D6">
      <w:pPr>
        <w:pStyle w:val="NoSpacing"/>
        <w:spacing w:line="360" w:lineRule="auto"/>
        <w:jc w:val="both"/>
        <w:rPr>
          <w:i/>
        </w:rPr>
      </w:pPr>
      <w:r>
        <w:rPr>
          <w:i/>
        </w:rPr>
        <w:t>Interpret the below quotations:</w:t>
      </w:r>
    </w:p>
    <w:p w:rsidR="00FB6D4D" w:rsidRPr="00FB6D4D" w:rsidRDefault="00FB6D4D" w:rsidP="00FB6D4D">
      <w:pPr>
        <w:pStyle w:val="NoSpacing"/>
        <w:spacing w:line="360" w:lineRule="auto"/>
        <w:jc w:val="both"/>
        <w:rPr>
          <w:lang w:val="en-US"/>
        </w:rPr>
      </w:pPr>
      <w:r w:rsidRPr="00FB6D4D">
        <w:t>“We know that we will have difficulty being understood, and this is as it should be. But consider what value, what meaning is enclosed even in the smallest of our daily habits, in the hundred possessions even the poorest beggar owns: a handkerchief, an old letter, the photo of a cherished person. These things are part of us, almost like limbs in our body; nor is it conceivable that we can be deprived of them in our world, for we immediately find others to substitute old ones, other objects that our ours in their personification and evocation of our memories.</w:t>
      </w:r>
    </w:p>
    <w:p w:rsidR="00FB6D4D" w:rsidRPr="00FB6D4D" w:rsidRDefault="00FB6D4D" w:rsidP="00FB6D4D">
      <w:pPr>
        <w:pStyle w:val="NoSpacing"/>
        <w:spacing w:line="360" w:lineRule="auto"/>
        <w:jc w:val="both"/>
        <w:rPr>
          <w:lang w:val="en-US"/>
        </w:rPr>
      </w:pPr>
      <w:r w:rsidRPr="00FB6D4D">
        <w:tab/>
        <w:t>“Imagine now a man who is deprived of everyone he loves, and at the same time of his house, his habits, his clothes, in short, of everything he possess: he will be a hollow man, reduced to suffering and needs, forgetful of dignity and restraint … he will be a man whose life or death can be lightly decided with no sense of human affinity.”</w:t>
      </w:r>
    </w:p>
    <w:p w:rsidR="00000000" w:rsidRPr="00FB6D4D" w:rsidRDefault="00FB6D4D" w:rsidP="00FB6D4D">
      <w:pPr>
        <w:pStyle w:val="NoSpacing"/>
        <w:numPr>
          <w:ilvl w:val="0"/>
          <w:numId w:val="12"/>
        </w:numPr>
        <w:spacing w:line="360" w:lineRule="auto"/>
        <w:jc w:val="both"/>
        <w:rPr>
          <w:i/>
          <w:lang w:val="en-US"/>
        </w:rPr>
      </w:pPr>
      <w:r w:rsidRPr="00FB6D4D">
        <w:t>Primo Levi, ‘On the Bottom,’</w:t>
      </w:r>
      <w:r w:rsidRPr="00FB6D4D">
        <w:rPr>
          <w:i/>
          <w:iCs/>
        </w:rPr>
        <w:t xml:space="preserve"> </w:t>
      </w:r>
      <w:r w:rsidRPr="00FB6D4D">
        <w:rPr>
          <w:i/>
          <w:iCs/>
        </w:rPr>
        <w:t>If This is a Man and The Truce</w:t>
      </w:r>
      <w:r w:rsidRPr="00FB6D4D">
        <w:rPr>
          <w:i/>
        </w:rPr>
        <w:t xml:space="preserve"> </w:t>
      </w:r>
      <w:r w:rsidRPr="00FB6D4D">
        <w:t>(</w:t>
      </w:r>
      <w:r>
        <w:t>London</w:t>
      </w:r>
      <w:r w:rsidRPr="00FB6D4D">
        <w:t xml:space="preserve">: </w:t>
      </w:r>
      <w:r>
        <w:t>Abacus</w:t>
      </w:r>
      <w:r w:rsidRPr="00FB6D4D">
        <w:t>, 1979), p. 33</w:t>
      </w:r>
    </w:p>
    <w:p w:rsidR="00FB6D4D" w:rsidRPr="00FB6D4D" w:rsidRDefault="00FB6D4D" w:rsidP="00FB6D4D">
      <w:pPr>
        <w:pStyle w:val="NoSpacing"/>
        <w:spacing w:line="360" w:lineRule="auto"/>
        <w:ind w:left="720"/>
        <w:jc w:val="both"/>
        <w:rPr>
          <w:i/>
          <w:lang w:val="en-US"/>
        </w:rPr>
      </w:pPr>
    </w:p>
    <w:p w:rsidR="00FB6D4D" w:rsidRPr="00FB6D4D" w:rsidRDefault="00FB6D4D" w:rsidP="00FB6D4D">
      <w:pPr>
        <w:pStyle w:val="NoSpacing"/>
        <w:spacing w:line="360" w:lineRule="auto"/>
        <w:jc w:val="both"/>
        <w:rPr>
          <w:lang w:val="en-US"/>
        </w:rPr>
      </w:pPr>
      <w:r w:rsidRPr="00FB6D4D">
        <w:lastRenderedPageBreak/>
        <w:t>“In 1944, the Nazis blew up the gas chambers and crematoria at Auschwitz, but the ruins remain … the Warsaw ghetto, after the famous insurrection in the spring of 1943, was razed to the ground, but thanks to the superhuman efforts of a number of fight-historians who made certain in that rubble, often many metres deeps, or smuggled beyond the wall, testimony survived, other historians could rediscover, how day by day, the ghetto lived and dies. All the archives in the Lagers were burned during the last days of the war, and that was truly an irremediable loss, so that even today there is discussion as to whether the victims were four, six, or eight million.”</w:t>
      </w:r>
    </w:p>
    <w:p w:rsidR="00000000" w:rsidRPr="00FB6D4D" w:rsidRDefault="00FB6D4D" w:rsidP="00FB6D4D">
      <w:pPr>
        <w:pStyle w:val="NoSpacing"/>
        <w:numPr>
          <w:ilvl w:val="0"/>
          <w:numId w:val="13"/>
        </w:numPr>
        <w:spacing w:line="360" w:lineRule="auto"/>
        <w:jc w:val="both"/>
        <w:rPr>
          <w:i/>
          <w:lang w:val="en-US"/>
        </w:rPr>
      </w:pPr>
      <w:r w:rsidRPr="00FB6D4D">
        <w:t>Primo Levi,</w:t>
      </w:r>
      <w:r w:rsidRPr="00FB6D4D">
        <w:rPr>
          <w:i/>
        </w:rPr>
        <w:t xml:space="preserve"> </w:t>
      </w:r>
      <w:r w:rsidRPr="00FB6D4D">
        <w:rPr>
          <w:i/>
          <w:iCs/>
        </w:rPr>
        <w:t xml:space="preserve">The Drowned and the Saved </w:t>
      </w:r>
      <w:r w:rsidRPr="00FB6D4D">
        <w:t xml:space="preserve">(London: </w:t>
      </w:r>
      <w:r w:rsidRPr="00FB6D4D">
        <w:t xml:space="preserve">Abacus, </w:t>
      </w:r>
      <w:r w:rsidRPr="00FB6D4D">
        <w:t>1988), p.2</w:t>
      </w:r>
    </w:p>
    <w:p w:rsidR="00FB6D4D" w:rsidRPr="00FB6D4D" w:rsidRDefault="00FB6D4D" w:rsidP="00F109D6">
      <w:pPr>
        <w:pStyle w:val="NoSpacing"/>
        <w:spacing w:line="360" w:lineRule="auto"/>
        <w:jc w:val="both"/>
        <w:rPr>
          <w:i/>
        </w:rPr>
      </w:pPr>
    </w:p>
    <w:p w:rsidR="00F109D6" w:rsidRPr="001B6473" w:rsidRDefault="00F109D6" w:rsidP="00F109D6">
      <w:pPr>
        <w:pStyle w:val="NoSpacing"/>
        <w:spacing w:line="360" w:lineRule="auto"/>
        <w:jc w:val="both"/>
        <w:rPr>
          <w:b/>
          <w:u w:val="single"/>
        </w:rPr>
      </w:pPr>
      <w:r w:rsidRPr="001B6473">
        <w:rPr>
          <w:b/>
          <w:u w:val="single"/>
        </w:rPr>
        <w:t xml:space="preserve">Rothberg, </w:t>
      </w:r>
      <w:proofErr w:type="gramStart"/>
      <w:r w:rsidRPr="001B6473">
        <w:rPr>
          <w:b/>
          <w:i/>
          <w:u w:val="single"/>
        </w:rPr>
        <w:t>The</w:t>
      </w:r>
      <w:proofErr w:type="gramEnd"/>
      <w:r w:rsidRPr="001B6473">
        <w:rPr>
          <w:b/>
          <w:i/>
          <w:u w:val="single"/>
        </w:rPr>
        <w:t xml:space="preserve"> Demands of Holocaust Representation</w:t>
      </w:r>
    </w:p>
    <w:p w:rsidR="00F109D6" w:rsidRPr="001B6473" w:rsidRDefault="00F109D6" w:rsidP="00F109D6">
      <w:pPr>
        <w:pStyle w:val="NoSpacing"/>
        <w:numPr>
          <w:ilvl w:val="0"/>
          <w:numId w:val="2"/>
        </w:numPr>
        <w:spacing w:line="360" w:lineRule="auto"/>
        <w:jc w:val="both"/>
        <w:rPr>
          <w:b/>
        </w:rPr>
      </w:pPr>
      <w:r w:rsidRPr="001B6473">
        <w:rPr>
          <w:b/>
        </w:rPr>
        <w:t>What two key approaches does Rothberg claim have “dominated” (p. 3) writing and thinking about the Holocaust?</w:t>
      </w:r>
    </w:p>
    <w:p w:rsidR="00F109D6" w:rsidRPr="001B6473" w:rsidRDefault="00F109D6" w:rsidP="00F109D6">
      <w:pPr>
        <w:pStyle w:val="Alex"/>
        <w:rPr>
          <w:rFonts w:asciiTheme="minorHAnsi" w:hAnsiTheme="minorHAnsi"/>
        </w:rPr>
      </w:pPr>
    </w:p>
    <w:p w:rsidR="00F109D6" w:rsidRPr="001B6473" w:rsidRDefault="00F109D6" w:rsidP="00F109D6">
      <w:pPr>
        <w:pStyle w:val="NoSpacing"/>
        <w:numPr>
          <w:ilvl w:val="0"/>
          <w:numId w:val="2"/>
        </w:numPr>
        <w:spacing w:line="360" w:lineRule="auto"/>
        <w:jc w:val="both"/>
        <w:rPr>
          <w:b/>
        </w:rPr>
      </w:pPr>
      <w:r w:rsidRPr="001B6473">
        <w:rPr>
          <w:b/>
        </w:rPr>
        <w:t xml:space="preserve"> What three key demands does Rothberg claim that the Holocaust makes on “attempts at comprehension and representation” (p.7)?</w:t>
      </w:r>
    </w:p>
    <w:p w:rsidR="00F109D6" w:rsidRPr="001B6473" w:rsidRDefault="00F109D6" w:rsidP="00F109D6">
      <w:pPr>
        <w:pStyle w:val="ListParagraph"/>
        <w:rPr>
          <w:b/>
        </w:rPr>
      </w:pPr>
    </w:p>
    <w:p w:rsidR="00F109D6" w:rsidRPr="001B6473" w:rsidRDefault="00F109D6" w:rsidP="00F109D6">
      <w:pPr>
        <w:pStyle w:val="NoSpacing"/>
        <w:numPr>
          <w:ilvl w:val="0"/>
          <w:numId w:val="2"/>
        </w:numPr>
        <w:spacing w:line="360" w:lineRule="auto"/>
        <w:jc w:val="both"/>
        <w:rPr>
          <w:b/>
        </w:rPr>
      </w:pPr>
      <w:r w:rsidRPr="001B6473">
        <w:rPr>
          <w:b/>
        </w:rPr>
        <w:t>How do interpret Theodor Adorno’s comment that “to write poetry after Auschwitz is barbaric?” Why might it be deemed “barbaric” to write poetry after Auschwitz?</w:t>
      </w:r>
    </w:p>
    <w:p w:rsidR="00FB60BC" w:rsidRPr="001B6473" w:rsidRDefault="00FB60BC" w:rsidP="00FB60BC">
      <w:pPr>
        <w:pStyle w:val="NoSpacing"/>
        <w:spacing w:line="360" w:lineRule="auto"/>
        <w:ind w:left="360"/>
        <w:jc w:val="both"/>
        <w:rPr>
          <w:b/>
        </w:rPr>
      </w:pPr>
      <w:r w:rsidRPr="001B6473">
        <w:rPr>
          <w:b/>
          <w:noProof/>
          <w:lang w:val="en-US"/>
        </w:rPr>
        <w:drawing>
          <wp:inline distT="0" distB="0" distL="0" distR="0">
            <wp:extent cx="2653795" cy="26765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us 1.png"/>
                    <pic:cNvPicPr/>
                  </pic:nvPicPr>
                  <pic:blipFill rotWithShape="1">
                    <a:blip r:embed="rId7" cstate="print">
                      <a:extLst>
                        <a:ext uri="{28A0092B-C50C-407E-A947-70E740481C1C}">
                          <a14:useLocalDpi xmlns:a14="http://schemas.microsoft.com/office/drawing/2010/main" val="0"/>
                        </a:ext>
                      </a:extLst>
                    </a:blip>
                    <a:srcRect l="12981" r="12179" b="-42"/>
                    <a:stretch/>
                  </pic:blipFill>
                  <pic:spPr bwMode="auto">
                    <a:xfrm>
                      <a:off x="0" y="0"/>
                      <a:ext cx="2660953" cy="2683745"/>
                    </a:xfrm>
                    <a:prstGeom prst="rect">
                      <a:avLst/>
                    </a:prstGeom>
                    <a:ln>
                      <a:noFill/>
                    </a:ln>
                    <a:extLst>
                      <a:ext uri="{53640926-AAD7-44D8-BBD7-CCE9431645EC}">
                        <a14:shadowObscured xmlns:a14="http://schemas.microsoft.com/office/drawing/2010/main"/>
                      </a:ext>
                    </a:extLst>
                  </pic:spPr>
                </pic:pic>
              </a:graphicData>
            </a:graphic>
          </wp:inline>
        </w:drawing>
      </w:r>
      <w:r w:rsidRPr="001B6473">
        <w:rPr>
          <w:b/>
          <w:noProof/>
          <w:lang w:val="en-US"/>
        </w:rPr>
        <w:drawing>
          <wp:inline distT="0" distB="0" distL="0" distR="0">
            <wp:extent cx="2695575" cy="26897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us 2.png"/>
                    <pic:cNvPicPr/>
                  </pic:nvPicPr>
                  <pic:blipFill rotWithShape="1">
                    <a:blip r:embed="rId8" cstate="print">
                      <a:extLst>
                        <a:ext uri="{28A0092B-C50C-407E-A947-70E740481C1C}">
                          <a14:useLocalDpi xmlns:a14="http://schemas.microsoft.com/office/drawing/2010/main" val="0"/>
                        </a:ext>
                      </a:extLst>
                    </a:blip>
                    <a:srcRect l="12660" r="12660" b="1330"/>
                    <a:stretch/>
                  </pic:blipFill>
                  <pic:spPr bwMode="auto">
                    <a:xfrm>
                      <a:off x="0" y="0"/>
                      <a:ext cx="2697070" cy="2691282"/>
                    </a:xfrm>
                    <a:prstGeom prst="rect">
                      <a:avLst/>
                    </a:prstGeom>
                    <a:ln>
                      <a:noFill/>
                    </a:ln>
                    <a:extLst>
                      <a:ext uri="{53640926-AAD7-44D8-BBD7-CCE9431645EC}">
                        <a14:shadowObscured xmlns:a14="http://schemas.microsoft.com/office/drawing/2010/main"/>
                      </a:ext>
                    </a:extLst>
                  </pic:spPr>
                </pic:pic>
              </a:graphicData>
            </a:graphic>
          </wp:inline>
        </w:drawing>
      </w:r>
    </w:p>
    <w:p w:rsidR="00F109D6" w:rsidRPr="001B6473" w:rsidRDefault="00F109D6" w:rsidP="00F109D6">
      <w:pPr>
        <w:pStyle w:val="NoSpacing"/>
        <w:numPr>
          <w:ilvl w:val="0"/>
          <w:numId w:val="2"/>
        </w:numPr>
        <w:spacing w:line="360" w:lineRule="auto"/>
        <w:jc w:val="both"/>
        <w:rPr>
          <w:b/>
        </w:rPr>
      </w:pPr>
      <w:r w:rsidRPr="001B6473">
        <w:rPr>
          <w:b/>
        </w:rPr>
        <w:t>Why does Rothberg choose to begin by writing about illustration</w:t>
      </w:r>
      <w:r w:rsidR="00FB60BC" w:rsidRPr="001B6473">
        <w:rPr>
          <w:b/>
        </w:rPr>
        <w:t>s</w:t>
      </w:r>
      <w:r w:rsidRPr="001B6473">
        <w:rPr>
          <w:b/>
        </w:rPr>
        <w:t xml:space="preserve"> by Art Spiegelman</w:t>
      </w:r>
      <w:r w:rsidR="00FB60BC" w:rsidRPr="001B6473">
        <w:rPr>
          <w:b/>
        </w:rPr>
        <w:t xml:space="preserve"> (see above)</w:t>
      </w:r>
      <w:r w:rsidRPr="001B6473">
        <w:rPr>
          <w:b/>
        </w:rPr>
        <w:t xml:space="preserve">? What insights does he suggest </w:t>
      </w:r>
      <w:r w:rsidR="00FB60BC" w:rsidRPr="001B6473">
        <w:rPr>
          <w:b/>
        </w:rPr>
        <w:t xml:space="preserve">these offer </w:t>
      </w:r>
      <w:r w:rsidR="001B6473" w:rsidRPr="001B6473">
        <w:rPr>
          <w:b/>
        </w:rPr>
        <w:t>about</w:t>
      </w:r>
      <w:r w:rsidRPr="001B6473">
        <w:rPr>
          <w:b/>
        </w:rPr>
        <w:t xml:space="preserve"> Holocaust representation?</w:t>
      </w:r>
      <w:r w:rsidR="00FB60BC" w:rsidRPr="001B6473">
        <w:rPr>
          <w:b/>
        </w:rPr>
        <w:t xml:space="preserve"> What interpretations of </w:t>
      </w:r>
      <w:proofErr w:type="spellStart"/>
      <w:r w:rsidR="00FB60BC" w:rsidRPr="001B6473">
        <w:rPr>
          <w:b/>
          <w:i/>
        </w:rPr>
        <w:t>Maus</w:t>
      </w:r>
      <w:proofErr w:type="spellEnd"/>
      <w:r w:rsidR="00FB60BC" w:rsidRPr="001B6473">
        <w:rPr>
          <w:b/>
        </w:rPr>
        <w:t xml:space="preserve"> does he offer?</w:t>
      </w:r>
    </w:p>
    <w:p w:rsidR="00F109D6" w:rsidRPr="001B6473" w:rsidRDefault="00F109D6" w:rsidP="00F109D6">
      <w:pPr>
        <w:pStyle w:val="NoSpacing"/>
        <w:spacing w:line="360" w:lineRule="auto"/>
        <w:jc w:val="both"/>
        <w:rPr>
          <w:b/>
          <w:i/>
          <w:u w:val="single"/>
        </w:rPr>
      </w:pPr>
      <w:bookmarkStart w:id="0" w:name="_GoBack"/>
      <w:bookmarkEnd w:id="0"/>
      <w:r w:rsidRPr="001B6473">
        <w:rPr>
          <w:b/>
          <w:u w:val="single"/>
        </w:rPr>
        <w:lastRenderedPageBreak/>
        <w:t xml:space="preserve">Spiegelman, </w:t>
      </w:r>
      <w:proofErr w:type="spellStart"/>
      <w:r w:rsidRPr="001B6473">
        <w:rPr>
          <w:b/>
          <w:i/>
          <w:u w:val="single"/>
        </w:rPr>
        <w:t>Maus</w:t>
      </w:r>
      <w:proofErr w:type="spellEnd"/>
    </w:p>
    <w:p w:rsidR="00F109D6" w:rsidRPr="001B6473" w:rsidRDefault="00F109D6" w:rsidP="00F109D6">
      <w:pPr>
        <w:pStyle w:val="NoSpacing"/>
        <w:numPr>
          <w:ilvl w:val="0"/>
          <w:numId w:val="9"/>
        </w:numPr>
        <w:spacing w:line="360" w:lineRule="auto"/>
        <w:jc w:val="both"/>
      </w:pPr>
      <w:r w:rsidRPr="001B6473">
        <w:rPr>
          <w:b/>
        </w:rPr>
        <w:t xml:space="preserve">Can you summarise the following features of </w:t>
      </w:r>
      <w:proofErr w:type="spellStart"/>
      <w:r w:rsidRPr="001B6473">
        <w:rPr>
          <w:b/>
          <w:i/>
        </w:rPr>
        <w:t>Maus</w:t>
      </w:r>
      <w:proofErr w:type="spellEnd"/>
      <w:r w:rsidRPr="001B6473">
        <w:rPr>
          <w:b/>
        </w:rPr>
        <w:t>:</w:t>
      </w:r>
    </w:p>
    <w:p w:rsidR="00F109D6" w:rsidRPr="001B6473" w:rsidRDefault="00F109D6" w:rsidP="00F109D6">
      <w:pPr>
        <w:pStyle w:val="NoSpacing"/>
        <w:numPr>
          <w:ilvl w:val="0"/>
          <w:numId w:val="11"/>
        </w:numPr>
        <w:spacing w:line="360" w:lineRule="auto"/>
        <w:jc w:val="both"/>
      </w:pPr>
      <w:r w:rsidRPr="001B6473">
        <w:rPr>
          <w:b/>
        </w:rPr>
        <w:t>Its plot</w:t>
      </w:r>
    </w:p>
    <w:p w:rsidR="00F109D6" w:rsidRPr="001B6473" w:rsidRDefault="00F109D6" w:rsidP="00F109D6">
      <w:pPr>
        <w:pStyle w:val="NoSpacing"/>
        <w:numPr>
          <w:ilvl w:val="0"/>
          <w:numId w:val="11"/>
        </w:numPr>
        <w:spacing w:line="360" w:lineRule="auto"/>
        <w:jc w:val="both"/>
      </w:pPr>
      <w:r w:rsidRPr="001B6473">
        <w:rPr>
          <w:b/>
        </w:rPr>
        <w:t>Its key characters</w:t>
      </w:r>
    </w:p>
    <w:p w:rsidR="00F109D6" w:rsidRPr="001B6473" w:rsidRDefault="00F109D6" w:rsidP="00F109D6">
      <w:pPr>
        <w:pStyle w:val="NoSpacing"/>
        <w:numPr>
          <w:ilvl w:val="0"/>
          <w:numId w:val="11"/>
        </w:numPr>
        <w:spacing w:line="360" w:lineRule="auto"/>
        <w:jc w:val="both"/>
      </w:pPr>
      <w:r w:rsidRPr="001B6473">
        <w:rPr>
          <w:b/>
        </w:rPr>
        <w:t>Its setting</w:t>
      </w:r>
    </w:p>
    <w:p w:rsidR="00F109D6" w:rsidRPr="001B6473" w:rsidRDefault="00F109D6" w:rsidP="00F109D6">
      <w:pPr>
        <w:pStyle w:val="NoSpacing"/>
        <w:numPr>
          <w:ilvl w:val="0"/>
          <w:numId w:val="11"/>
        </w:numPr>
        <w:spacing w:line="360" w:lineRule="auto"/>
        <w:jc w:val="both"/>
      </w:pPr>
      <w:r w:rsidRPr="001B6473">
        <w:rPr>
          <w:b/>
        </w:rPr>
        <w:t>Its literary genre?</w:t>
      </w:r>
    </w:p>
    <w:p w:rsidR="00F109D6" w:rsidRPr="001B6473" w:rsidRDefault="00F109D6" w:rsidP="00F109D6">
      <w:pPr>
        <w:pStyle w:val="NoSpacing"/>
        <w:spacing w:line="360" w:lineRule="auto"/>
        <w:jc w:val="both"/>
        <w:rPr>
          <w:b/>
        </w:rPr>
      </w:pPr>
    </w:p>
    <w:p w:rsidR="00F109D6" w:rsidRPr="001B6473" w:rsidRDefault="00F109D6" w:rsidP="00F109D6">
      <w:pPr>
        <w:pStyle w:val="NoSpacing"/>
        <w:numPr>
          <w:ilvl w:val="0"/>
          <w:numId w:val="9"/>
        </w:numPr>
        <w:spacing w:line="360" w:lineRule="auto"/>
        <w:jc w:val="both"/>
      </w:pPr>
      <w:r w:rsidRPr="001B6473">
        <w:rPr>
          <w:b/>
        </w:rPr>
        <w:t>What do you think were Spiegelman’s motivations for writing about the Holocaust in the manner in which he did? Why do you think he chose to use animals as a narrative/pictorial device?</w:t>
      </w:r>
    </w:p>
    <w:p w:rsidR="00F109D6" w:rsidRPr="001B6473" w:rsidRDefault="00F109D6" w:rsidP="00F109D6">
      <w:pPr>
        <w:pStyle w:val="NoSpacing"/>
        <w:spacing w:line="360" w:lineRule="auto"/>
        <w:jc w:val="both"/>
        <w:rPr>
          <w:b/>
        </w:rPr>
      </w:pPr>
    </w:p>
    <w:p w:rsidR="00F109D6" w:rsidRPr="001B6473" w:rsidRDefault="00F109D6" w:rsidP="00F109D6">
      <w:pPr>
        <w:pStyle w:val="NoSpacing"/>
        <w:numPr>
          <w:ilvl w:val="0"/>
          <w:numId w:val="9"/>
        </w:numPr>
        <w:spacing w:line="360" w:lineRule="auto"/>
        <w:jc w:val="both"/>
      </w:pPr>
      <w:r w:rsidRPr="001B6473">
        <w:rPr>
          <w:b/>
        </w:rPr>
        <w:t>Do you think the way Spiegelman represents the Holocaust is effective?</w:t>
      </w:r>
    </w:p>
    <w:p w:rsidR="00F109D6" w:rsidRPr="001B6473" w:rsidRDefault="00F109D6" w:rsidP="00F109D6">
      <w:pPr>
        <w:pStyle w:val="ListParagraph"/>
      </w:pPr>
    </w:p>
    <w:p w:rsidR="00F109D6" w:rsidRPr="00FB6D4D" w:rsidRDefault="00F109D6" w:rsidP="000602C6">
      <w:pPr>
        <w:pStyle w:val="NoSpacing"/>
        <w:numPr>
          <w:ilvl w:val="0"/>
          <w:numId w:val="9"/>
        </w:numPr>
        <w:spacing w:after="160" w:line="259" w:lineRule="auto"/>
        <w:jc w:val="both"/>
      </w:pPr>
      <w:r w:rsidRPr="001B6473">
        <w:rPr>
          <w:b/>
        </w:rPr>
        <w:t xml:space="preserve">How does </w:t>
      </w:r>
      <w:proofErr w:type="spellStart"/>
      <w:r w:rsidRPr="001B6473">
        <w:rPr>
          <w:b/>
          <w:i/>
        </w:rPr>
        <w:t>Maus</w:t>
      </w:r>
      <w:proofErr w:type="spellEnd"/>
      <w:r w:rsidRPr="001B6473">
        <w:rPr>
          <w:b/>
          <w:i/>
        </w:rPr>
        <w:t xml:space="preserve"> </w:t>
      </w:r>
      <w:r w:rsidRPr="001B6473">
        <w:rPr>
          <w:b/>
        </w:rPr>
        <w:t xml:space="preserve">relate to Adorno’s comments about “poetry after Auschwitz?” </w:t>
      </w:r>
    </w:p>
    <w:p w:rsidR="00FB6D4D" w:rsidRDefault="00FB6D4D" w:rsidP="00FB6D4D">
      <w:pPr>
        <w:pStyle w:val="ListParagraph"/>
      </w:pPr>
    </w:p>
    <w:p w:rsidR="00FB6D4D" w:rsidRPr="001B6473" w:rsidRDefault="00FB6D4D" w:rsidP="00FB6D4D">
      <w:pPr>
        <w:pStyle w:val="NoSpacing"/>
        <w:spacing w:after="160" w:line="259" w:lineRule="auto"/>
        <w:jc w:val="both"/>
      </w:pPr>
    </w:p>
    <w:sectPr w:rsidR="00FB6D4D" w:rsidRPr="001B64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27709"/>
    <w:multiLevelType w:val="hybridMultilevel"/>
    <w:tmpl w:val="D0FCD306"/>
    <w:lvl w:ilvl="0" w:tplc="4CFCDFD6">
      <w:start w:val="1"/>
      <w:numFmt w:val="bullet"/>
      <w:lvlText w:val="-"/>
      <w:lvlJc w:val="left"/>
      <w:pPr>
        <w:tabs>
          <w:tab w:val="num" w:pos="720"/>
        </w:tabs>
        <w:ind w:left="720" w:hanging="360"/>
      </w:pPr>
      <w:rPr>
        <w:rFonts w:ascii="Times New Roman" w:hAnsi="Times New Roman" w:hint="default"/>
      </w:rPr>
    </w:lvl>
    <w:lvl w:ilvl="1" w:tplc="A50422F8" w:tentative="1">
      <w:start w:val="1"/>
      <w:numFmt w:val="bullet"/>
      <w:lvlText w:val="-"/>
      <w:lvlJc w:val="left"/>
      <w:pPr>
        <w:tabs>
          <w:tab w:val="num" w:pos="1440"/>
        </w:tabs>
        <w:ind w:left="1440" w:hanging="360"/>
      </w:pPr>
      <w:rPr>
        <w:rFonts w:ascii="Times New Roman" w:hAnsi="Times New Roman" w:hint="default"/>
      </w:rPr>
    </w:lvl>
    <w:lvl w:ilvl="2" w:tplc="D3F860F4" w:tentative="1">
      <w:start w:val="1"/>
      <w:numFmt w:val="bullet"/>
      <w:lvlText w:val="-"/>
      <w:lvlJc w:val="left"/>
      <w:pPr>
        <w:tabs>
          <w:tab w:val="num" w:pos="2160"/>
        </w:tabs>
        <w:ind w:left="2160" w:hanging="360"/>
      </w:pPr>
      <w:rPr>
        <w:rFonts w:ascii="Times New Roman" w:hAnsi="Times New Roman" w:hint="default"/>
      </w:rPr>
    </w:lvl>
    <w:lvl w:ilvl="3" w:tplc="D960F544" w:tentative="1">
      <w:start w:val="1"/>
      <w:numFmt w:val="bullet"/>
      <w:lvlText w:val="-"/>
      <w:lvlJc w:val="left"/>
      <w:pPr>
        <w:tabs>
          <w:tab w:val="num" w:pos="2880"/>
        </w:tabs>
        <w:ind w:left="2880" w:hanging="360"/>
      </w:pPr>
      <w:rPr>
        <w:rFonts w:ascii="Times New Roman" w:hAnsi="Times New Roman" w:hint="default"/>
      </w:rPr>
    </w:lvl>
    <w:lvl w:ilvl="4" w:tplc="C922BBFE" w:tentative="1">
      <w:start w:val="1"/>
      <w:numFmt w:val="bullet"/>
      <w:lvlText w:val="-"/>
      <w:lvlJc w:val="left"/>
      <w:pPr>
        <w:tabs>
          <w:tab w:val="num" w:pos="3600"/>
        </w:tabs>
        <w:ind w:left="3600" w:hanging="360"/>
      </w:pPr>
      <w:rPr>
        <w:rFonts w:ascii="Times New Roman" w:hAnsi="Times New Roman" w:hint="default"/>
      </w:rPr>
    </w:lvl>
    <w:lvl w:ilvl="5" w:tplc="9A02B2A2" w:tentative="1">
      <w:start w:val="1"/>
      <w:numFmt w:val="bullet"/>
      <w:lvlText w:val="-"/>
      <w:lvlJc w:val="left"/>
      <w:pPr>
        <w:tabs>
          <w:tab w:val="num" w:pos="4320"/>
        </w:tabs>
        <w:ind w:left="4320" w:hanging="360"/>
      </w:pPr>
      <w:rPr>
        <w:rFonts w:ascii="Times New Roman" w:hAnsi="Times New Roman" w:hint="default"/>
      </w:rPr>
    </w:lvl>
    <w:lvl w:ilvl="6" w:tplc="8AD20B42" w:tentative="1">
      <w:start w:val="1"/>
      <w:numFmt w:val="bullet"/>
      <w:lvlText w:val="-"/>
      <w:lvlJc w:val="left"/>
      <w:pPr>
        <w:tabs>
          <w:tab w:val="num" w:pos="5040"/>
        </w:tabs>
        <w:ind w:left="5040" w:hanging="360"/>
      </w:pPr>
      <w:rPr>
        <w:rFonts w:ascii="Times New Roman" w:hAnsi="Times New Roman" w:hint="default"/>
      </w:rPr>
    </w:lvl>
    <w:lvl w:ilvl="7" w:tplc="2D72B9FC" w:tentative="1">
      <w:start w:val="1"/>
      <w:numFmt w:val="bullet"/>
      <w:lvlText w:val="-"/>
      <w:lvlJc w:val="left"/>
      <w:pPr>
        <w:tabs>
          <w:tab w:val="num" w:pos="5760"/>
        </w:tabs>
        <w:ind w:left="5760" w:hanging="360"/>
      </w:pPr>
      <w:rPr>
        <w:rFonts w:ascii="Times New Roman" w:hAnsi="Times New Roman" w:hint="default"/>
      </w:rPr>
    </w:lvl>
    <w:lvl w:ilvl="8" w:tplc="A83EDC6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259D3348"/>
    <w:multiLevelType w:val="hybridMultilevel"/>
    <w:tmpl w:val="2A928808"/>
    <w:lvl w:ilvl="0" w:tplc="26A4BF00">
      <w:start w:val="1"/>
      <w:numFmt w:val="bullet"/>
      <w:lvlText w:val="-"/>
      <w:lvlJc w:val="left"/>
      <w:pPr>
        <w:tabs>
          <w:tab w:val="num" w:pos="720"/>
        </w:tabs>
        <w:ind w:left="720" w:hanging="360"/>
      </w:pPr>
      <w:rPr>
        <w:rFonts w:ascii="Times New Roman" w:hAnsi="Times New Roman" w:hint="default"/>
      </w:rPr>
    </w:lvl>
    <w:lvl w:ilvl="1" w:tplc="E368901E" w:tentative="1">
      <w:start w:val="1"/>
      <w:numFmt w:val="bullet"/>
      <w:lvlText w:val="-"/>
      <w:lvlJc w:val="left"/>
      <w:pPr>
        <w:tabs>
          <w:tab w:val="num" w:pos="1440"/>
        </w:tabs>
        <w:ind w:left="1440" w:hanging="360"/>
      </w:pPr>
      <w:rPr>
        <w:rFonts w:ascii="Times New Roman" w:hAnsi="Times New Roman" w:hint="default"/>
      </w:rPr>
    </w:lvl>
    <w:lvl w:ilvl="2" w:tplc="7C962E62" w:tentative="1">
      <w:start w:val="1"/>
      <w:numFmt w:val="bullet"/>
      <w:lvlText w:val="-"/>
      <w:lvlJc w:val="left"/>
      <w:pPr>
        <w:tabs>
          <w:tab w:val="num" w:pos="2160"/>
        </w:tabs>
        <w:ind w:left="2160" w:hanging="360"/>
      </w:pPr>
      <w:rPr>
        <w:rFonts w:ascii="Times New Roman" w:hAnsi="Times New Roman" w:hint="default"/>
      </w:rPr>
    </w:lvl>
    <w:lvl w:ilvl="3" w:tplc="C180F5E0" w:tentative="1">
      <w:start w:val="1"/>
      <w:numFmt w:val="bullet"/>
      <w:lvlText w:val="-"/>
      <w:lvlJc w:val="left"/>
      <w:pPr>
        <w:tabs>
          <w:tab w:val="num" w:pos="2880"/>
        </w:tabs>
        <w:ind w:left="2880" w:hanging="360"/>
      </w:pPr>
      <w:rPr>
        <w:rFonts w:ascii="Times New Roman" w:hAnsi="Times New Roman" w:hint="default"/>
      </w:rPr>
    </w:lvl>
    <w:lvl w:ilvl="4" w:tplc="45AAE21A" w:tentative="1">
      <w:start w:val="1"/>
      <w:numFmt w:val="bullet"/>
      <w:lvlText w:val="-"/>
      <w:lvlJc w:val="left"/>
      <w:pPr>
        <w:tabs>
          <w:tab w:val="num" w:pos="3600"/>
        </w:tabs>
        <w:ind w:left="3600" w:hanging="360"/>
      </w:pPr>
      <w:rPr>
        <w:rFonts w:ascii="Times New Roman" w:hAnsi="Times New Roman" w:hint="default"/>
      </w:rPr>
    </w:lvl>
    <w:lvl w:ilvl="5" w:tplc="96B08C4A" w:tentative="1">
      <w:start w:val="1"/>
      <w:numFmt w:val="bullet"/>
      <w:lvlText w:val="-"/>
      <w:lvlJc w:val="left"/>
      <w:pPr>
        <w:tabs>
          <w:tab w:val="num" w:pos="4320"/>
        </w:tabs>
        <w:ind w:left="4320" w:hanging="360"/>
      </w:pPr>
      <w:rPr>
        <w:rFonts w:ascii="Times New Roman" w:hAnsi="Times New Roman" w:hint="default"/>
      </w:rPr>
    </w:lvl>
    <w:lvl w:ilvl="6" w:tplc="630E8288" w:tentative="1">
      <w:start w:val="1"/>
      <w:numFmt w:val="bullet"/>
      <w:lvlText w:val="-"/>
      <w:lvlJc w:val="left"/>
      <w:pPr>
        <w:tabs>
          <w:tab w:val="num" w:pos="5040"/>
        </w:tabs>
        <w:ind w:left="5040" w:hanging="360"/>
      </w:pPr>
      <w:rPr>
        <w:rFonts w:ascii="Times New Roman" w:hAnsi="Times New Roman" w:hint="default"/>
      </w:rPr>
    </w:lvl>
    <w:lvl w:ilvl="7" w:tplc="FC3E97C2" w:tentative="1">
      <w:start w:val="1"/>
      <w:numFmt w:val="bullet"/>
      <w:lvlText w:val="-"/>
      <w:lvlJc w:val="left"/>
      <w:pPr>
        <w:tabs>
          <w:tab w:val="num" w:pos="5760"/>
        </w:tabs>
        <w:ind w:left="5760" w:hanging="360"/>
      </w:pPr>
      <w:rPr>
        <w:rFonts w:ascii="Times New Roman" w:hAnsi="Times New Roman" w:hint="default"/>
      </w:rPr>
    </w:lvl>
    <w:lvl w:ilvl="8" w:tplc="567C402E"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2A507A34"/>
    <w:multiLevelType w:val="hybridMultilevel"/>
    <w:tmpl w:val="649898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AFB08E9"/>
    <w:multiLevelType w:val="hybridMultilevel"/>
    <w:tmpl w:val="638C4FE2"/>
    <w:lvl w:ilvl="0" w:tplc="DC84319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36588"/>
    <w:multiLevelType w:val="hybridMultilevel"/>
    <w:tmpl w:val="CB727C0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7806C62"/>
    <w:multiLevelType w:val="hybridMultilevel"/>
    <w:tmpl w:val="5516C17C"/>
    <w:lvl w:ilvl="0" w:tplc="079C279E">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6B5F5C"/>
    <w:multiLevelType w:val="hybridMultilevel"/>
    <w:tmpl w:val="43D498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0F56FB2"/>
    <w:multiLevelType w:val="hybridMultilevel"/>
    <w:tmpl w:val="BC42A08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22F6BC4"/>
    <w:multiLevelType w:val="hybridMultilevel"/>
    <w:tmpl w:val="B4025D8C"/>
    <w:lvl w:ilvl="0" w:tplc="DEB2D4B4">
      <w:numFmt w:val="bullet"/>
      <w:lvlText w:val="-"/>
      <w:lvlJc w:val="left"/>
      <w:pPr>
        <w:ind w:left="720" w:hanging="360"/>
      </w:pPr>
      <w:rPr>
        <w:rFonts w:ascii="Calibri" w:eastAsiaTheme="minorHAnsi" w:hAnsi="Calibri" w:cstheme="minorBidi"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2D972EE"/>
    <w:multiLevelType w:val="hybridMultilevel"/>
    <w:tmpl w:val="991069A2"/>
    <w:lvl w:ilvl="0" w:tplc="A718CF0C">
      <w:start w:val="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6B32A8F"/>
    <w:multiLevelType w:val="hybridMultilevel"/>
    <w:tmpl w:val="DF7878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69C0550"/>
    <w:multiLevelType w:val="multilevel"/>
    <w:tmpl w:val="ABC89906"/>
    <w:lvl w:ilvl="0">
      <w:numFmt w:val="bullet"/>
      <w:lvlText w:val="•"/>
      <w:lvlJc w:val="left"/>
      <w:pPr>
        <w:ind w:left="360" w:hanging="360"/>
      </w:pPr>
      <w:rPr>
        <w:rFonts w:ascii="Calibri" w:eastAsiaTheme="minorHAnsi" w:hAnsi="Calibri" w:cstheme="minorBidi" w:hint="default"/>
      </w:rPr>
    </w:lvl>
    <w:lvl w:ilvl="1">
      <w:numFmt w:val="bullet"/>
      <w:lvlText w:val="o"/>
      <w:lvlJc w:val="left"/>
      <w:pPr>
        <w:ind w:left="1157" w:hanging="360"/>
      </w:pPr>
      <w:rPr>
        <w:rFonts w:ascii="Courier New" w:hAnsi="Courier New" w:cs="Courier New"/>
      </w:rPr>
    </w:lvl>
    <w:lvl w:ilvl="2">
      <w:numFmt w:val="bullet"/>
      <w:lvlText w:val=""/>
      <w:lvlJc w:val="left"/>
      <w:pPr>
        <w:ind w:left="1877" w:hanging="360"/>
      </w:pPr>
      <w:rPr>
        <w:rFonts w:ascii="Wingdings" w:hAnsi="Wingdings"/>
      </w:rPr>
    </w:lvl>
    <w:lvl w:ilvl="3">
      <w:numFmt w:val="bullet"/>
      <w:lvlText w:val=""/>
      <w:lvlJc w:val="left"/>
      <w:pPr>
        <w:ind w:left="2597" w:hanging="360"/>
      </w:pPr>
      <w:rPr>
        <w:rFonts w:ascii="Symbol" w:hAnsi="Symbol"/>
      </w:rPr>
    </w:lvl>
    <w:lvl w:ilvl="4">
      <w:numFmt w:val="bullet"/>
      <w:lvlText w:val="o"/>
      <w:lvlJc w:val="left"/>
      <w:pPr>
        <w:ind w:left="3317" w:hanging="360"/>
      </w:pPr>
      <w:rPr>
        <w:rFonts w:ascii="Courier New" w:hAnsi="Courier New" w:cs="Courier New"/>
      </w:rPr>
    </w:lvl>
    <w:lvl w:ilvl="5">
      <w:numFmt w:val="bullet"/>
      <w:lvlText w:val=""/>
      <w:lvlJc w:val="left"/>
      <w:pPr>
        <w:ind w:left="4037" w:hanging="360"/>
      </w:pPr>
      <w:rPr>
        <w:rFonts w:ascii="Wingdings" w:hAnsi="Wingdings"/>
      </w:rPr>
    </w:lvl>
    <w:lvl w:ilvl="6">
      <w:numFmt w:val="bullet"/>
      <w:lvlText w:val=""/>
      <w:lvlJc w:val="left"/>
      <w:pPr>
        <w:ind w:left="4757" w:hanging="360"/>
      </w:pPr>
      <w:rPr>
        <w:rFonts w:ascii="Symbol" w:hAnsi="Symbol"/>
      </w:rPr>
    </w:lvl>
    <w:lvl w:ilvl="7">
      <w:numFmt w:val="bullet"/>
      <w:lvlText w:val="o"/>
      <w:lvlJc w:val="left"/>
      <w:pPr>
        <w:ind w:left="5477" w:hanging="360"/>
      </w:pPr>
      <w:rPr>
        <w:rFonts w:ascii="Courier New" w:hAnsi="Courier New" w:cs="Courier New"/>
      </w:rPr>
    </w:lvl>
    <w:lvl w:ilvl="8">
      <w:numFmt w:val="bullet"/>
      <w:lvlText w:val=""/>
      <w:lvlJc w:val="left"/>
      <w:pPr>
        <w:ind w:left="6197" w:hanging="360"/>
      </w:pPr>
      <w:rPr>
        <w:rFonts w:ascii="Wingdings" w:hAnsi="Wingdings"/>
      </w:rPr>
    </w:lvl>
  </w:abstractNum>
  <w:abstractNum w:abstractNumId="12" w15:restartNumberingAfterBreak="0">
    <w:nsid w:val="784B252C"/>
    <w:multiLevelType w:val="hybridMultilevel"/>
    <w:tmpl w:val="FF26F80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1"/>
  </w:num>
  <w:num w:numId="2">
    <w:abstractNumId w:val="7"/>
  </w:num>
  <w:num w:numId="3">
    <w:abstractNumId w:val="12"/>
  </w:num>
  <w:num w:numId="4">
    <w:abstractNumId w:val="2"/>
  </w:num>
  <w:num w:numId="5">
    <w:abstractNumId w:val="3"/>
  </w:num>
  <w:num w:numId="6">
    <w:abstractNumId w:val="4"/>
  </w:num>
  <w:num w:numId="7">
    <w:abstractNumId w:val="9"/>
  </w:num>
  <w:num w:numId="8">
    <w:abstractNumId w:val="6"/>
  </w:num>
  <w:num w:numId="9">
    <w:abstractNumId w:val="10"/>
  </w:num>
  <w:num w:numId="10">
    <w:abstractNumId w:val="8"/>
  </w:num>
  <w:num w:numId="11">
    <w:abstractNumId w:val="5"/>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4999"/>
    <w:rsid w:val="00152ED4"/>
    <w:rsid w:val="001B6473"/>
    <w:rsid w:val="0051432A"/>
    <w:rsid w:val="0053081F"/>
    <w:rsid w:val="00715ECC"/>
    <w:rsid w:val="0077325B"/>
    <w:rsid w:val="00926A44"/>
    <w:rsid w:val="00D54999"/>
    <w:rsid w:val="00F109D6"/>
    <w:rsid w:val="00F55E2E"/>
    <w:rsid w:val="00FB60BC"/>
    <w:rsid w:val="00FB6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7EBF410-DA88-4E4E-8333-09FD29DFA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25B"/>
    <w:pPr>
      <w:spacing w:after="200" w:line="276" w:lineRule="auto"/>
    </w:pPr>
    <w:rPr>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lex">
    <w:name w:val="Alex"/>
    <w:basedOn w:val="NoSpacing"/>
    <w:qFormat/>
    <w:rsid w:val="00D54999"/>
    <w:pPr>
      <w:spacing w:line="360" w:lineRule="auto"/>
      <w:jc w:val="both"/>
    </w:pPr>
    <w:rPr>
      <w:rFonts w:ascii="Times New Roman" w:hAnsi="Times New Roman"/>
    </w:rPr>
  </w:style>
  <w:style w:type="paragraph" w:customStyle="1" w:styleId="fixed">
    <w:name w:val="fixed"/>
    <w:link w:val="fixedChar"/>
    <w:rsid w:val="00D5499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val="en-GB" w:eastAsia="en-GB"/>
    </w:rPr>
  </w:style>
  <w:style w:type="character" w:customStyle="1" w:styleId="fixedChar">
    <w:name w:val="fixed Char"/>
    <w:link w:val="fixed"/>
    <w:rsid w:val="00D54999"/>
    <w:rPr>
      <w:rFonts w:ascii="Times New Roman" w:eastAsia="Times New Roman" w:hAnsi="Times New Roman" w:cs="Times New Roman"/>
      <w:b/>
      <w:sz w:val="24"/>
      <w:szCs w:val="20"/>
      <w:lang w:val="en-GB" w:eastAsia="en-GB"/>
    </w:rPr>
  </w:style>
  <w:style w:type="paragraph" w:styleId="NoSpacing">
    <w:name w:val="No Spacing"/>
    <w:uiPriority w:val="1"/>
    <w:qFormat/>
    <w:rsid w:val="00D54999"/>
    <w:pPr>
      <w:spacing w:after="0" w:line="240" w:lineRule="auto"/>
    </w:pPr>
    <w:rPr>
      <w:lang w:val="en-GB"/>
    </w:rPr>
  </w:style>
  <w:style w:type="paragraph" w:styleId="ListParagraph">
    <w:name w:val="List Paragraph"/>
    <w:basedOn w:val="Normal"/>
    <w:uiPriority w:val="34"/>
    <w:qFormat/>
    <w:rsid w:val="0077325B"/>
    <w:pPr>
      <w:ind w:left="720"/>
      <w:contextualSpacing/>
    </w:pPr>
  </w:style>
  <w:style w:type="character" w:styleId="Hyperlink">
    <w:name w:val="Hyperlink"/>
    <w:basedOn w:val="DefaultParagraphFont"/>
    <w:uiPriority w:val="99"/>
    <w:unhideWhenUsed/>
    <w:rsid w:val="00F109D6"/>
    <w:rPr>
      <w:color w:val="0563C1" w:themeColor="hyperlink"/>
      <w:u w:val="single"/>
    </w:rPr>
  </w:style>
  <w:style w:type="paragraph" w:styleId="BalloonText">
    <w:name w:val="Balloon Text"/>
    <w:basedOn w:val="Normal"/>
    <w:link w:val="BalloonTextChar"/>
    <w:uiPriority w:val="99"/>
    <w:semiHidden/>
    <w:unhideWhenUsed/>
    <w:rsid w:val="00715E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5ECC"/>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567497">
      <w:bodyDiv w:val="1"/>
      <w:marLeft w:val="0"/>
      <w:marRight w:val="0"/>
      <w:marTop w:val="0"/>
      <w:marBottom w:val="0"/>
      <w:divBdr>
        <w:top w:val="none" w:sz="0" w:space="0" w:color="auto"/>
        <w:left w:val="none" w:sz="0" w:space="0" w:color="auto"/>
        <w:bottom w:val="none" w:sz="0" w:space="0" w:color="auto"/>
        <w:right w:val="none" w:sz="0" w:space="0" w:color="auto"/>
      </w:divBdr>
    </w:div>
    <w:div w:id="884682019">
      <w:bodyDiv w:val="1"/>
      <w:marLeft w:val="0"/>
      <w:marRight w:val="0"/>
      <w:marTop w:val="0"/>
      <w:marBottom w:val="0"/>
      <w:divBdr>
        <w:top w:val="none" w:sz="0" w:space="0" w:color="auto"/>
        <w:left w:val="none" w:sz="0" w:space="0" w:color="auto"/>
        <w:bottom w:val="none" w:sz="0" w:space="0" w:color="auto"/>
        <w:right w:val="none" w:sz="0" w:space="0" w:color="auto"/>
      </w:divBdr>
      <w:divsChild>
        <w:div w:id="1086733343">
          <w:marLeft w:val="446"/>
          <w:marRight w:val="0"/>
          <w:marTop w:val="0"/>
          <w:marBottom w:val="0"/>
          <w:divBdr>
            <w:top w:val="none" w:sz="0" w:space="0" w:color="auto"/>
            <w:left w:val="none" w:sz="0" w:space="0" w:color="auto"/>
            <w:bottom w:val="none" w:sz="0" w:space="0" w:color="auto"/>
            <w:right w:val="none" w:sz="0" w:space="0" w:color="auto"/>
          </w:divBdr>
        </w:div>
        <w:div w:id="713309380">
          <w:marLeft w:val="446"/>
          <w:marRight w:val="0"/>
          <w:marTop w:val="0"/>
          <w:marBottom w:val="0"/>
          <w:divBdr>
            <w:top w:val="none" w:sz="0" w:space="0" w:color="auto"/>
            <w:left w:val="none" w:sz="0" w:space="0" w:color="auto"/>
            <w:bottom w:val="none" w:sz="0" w:space="0" w:color="auto"/>
            <w:right w:val="none" w:sz="0" w:space="0" w:color="auto"/>
          </w:divBdr>
        </w:div>
      </w:divsChild>
    </w:div>
    <w:div w:id="929584372">
      <w:bodyDiv w:val="1"/>
      <w:marLeft w:val="0"/>
      <w:marRight w:val="0"/>
      <w:marTop w:val="0"/>
      <w:marBottom w:val="0"/>
      <w:divBdr>
        <w:top w:val="none" w:sz="0" w:space="0" w:color="auto"/>
        <w:left w:val="none" w:sz="0" w:space="0" w:color="auto"/>
        <w:bottom w:val="none" w:sz="0" w:space="0" w:color="auto"/>
        <w:right w:val="none" w:sz="0" w:space="0" w:color="auto"/>
      </w:divBdr>
    </w:div>
    <w:div w:id="1115949054">
      <w:bodyDiv w:val="1"/>
      <w:marLeft w:val="0"/>
      <w:marRight w:val="0"/>
      <w:marTop w:val="0"/>
      <w:marBottom w:val="0"/>
      <w:divBdr>
        <w:top w:val="none" w:sz="0" w:space="0" w:color="auto"/>
        <w:left w:val="none" w:sz="0" w:space="0" w:color="auto"/>
        <w:bottom w:val="none" w:sz="0" w:space="0" w:color="auto"/>
        <w:right w:val="none" w:sz="0" w:space="0" w:color="auto"/>
      </w:divBdr>
      <w:divsChild>
        <w:div w:id="1658727696">
          <w:marLeft w:val="446"/>
          <w:marRight w:val="0"/>
          <w:marTop w:val="0"/>
          <w:marBottom w:val="0"/>
          <w:divBdr>
            <w:top w:val="none" w:sz="0" w:space="0" w:color="auto"/>
            <w:left w:val="none" w:sz="0" w:space="0" w:color="auto"/>
            <w:bottom w:val="none" w:sz="0" w:space="0" w:color="auto"/>
            <w:right w:val="none" w:sz="0" w:space="0" w:color="auto"/>
          </w:divBdr>
        </w:div>
        <w:div w:id="2097746109">
          <w:marLeft w:val="446"/>
          <w:marRight w:val="0"/>
          <w:marTop w:val="0"/>
          <w:marBottom w:val="0"/>
          <w:divBdr>
            <w:top w:val="none" w:sz="0" w:space="0" w:color="auto"/>
            <w:left w:val="none" w:sz="0" w:space="0" w:color="auto"/>
            <w:bottom w:val="none" w:sz="0" w:space="0" w:color="auto"/>
            <w:right w:val="none" w:sz="0" w:space="0" w:color="auto"/>
          </w:divBdr>
        </w:div>
      </w:divsChild>
    </w:div>
    <w:div w:id="1575553629">
      <w:bodyDiv w:val="1"/>
      <w:marLeft w:val="0"/>
      <w:marRight w:val="0"/>
      <w:marTop w:val="0"/>
      <w:marBottom w:val="0"/>
      <w:divBdr>
        <w:top w:val="none" w:sz="0" w:space="0" w:color="auto"/>
        <w:left w:val="none" w:sz="0" w:space="0" w:color="auto"/>
        <w:bottom w:val="none" w:sz="0" w:space="0" w:color="auto"/>
        <w:right w:val="none" w:sz="0" w:space="0" w:color="auto"/>
      </w:divBdr>
    </w:div>
    <w:div w:id="1643579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oxfordreference.com/view/10.1093/acref/9780192806871.001.0001/acref-9780192806871-e-3682?rskey=HaKuJS&amp;result=6"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770</Words>
  <Characters>4393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5153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Scott</dc:creator>
  <cp:keywords/>
  <dc:description/>
  <cp:lastModifiedBy>Alexander Scott</cp:lastModifiedBy>
  <cp:revision>2</cp:revision>
  <dcterms:created xsi:type="dcterms:W3CDTF">2018-03-20T16:03:00Z</dcterms:created>
  <dcterms:modified xsi:type="dcterms:W3CDTF">2018-03-20T16:03:00Z</dcterms:modified>
</cp:coreProperties>
</file>