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5A238" w14:textId="77777777" w:rsidR="00585A13" w:rsidRPr="006E5EEB" w:rsidRDefault="00585A13" w:rsidP="006E5EEB">
      <w:pPr>
        <w:spacing w:line="360" w:lineRule="auto"/>
        <w:jc w:val="center"/>
        <w:rPr>
          <w:rFonts w:ascii="Arial" w:hAnsi="Arial" w:cs="Arial"/>
          <w:b/>
          <w:bCs/>
          <w:lang w:eastAsia="en-GB"/>
        </w:rPr>
      </w:pPr>
    </w:p>
    <w:p w14:paraId="1F86ACB7" w14:textId="77777777" w:rsidR="00585A13" w:rsidRPr="006E5EEB" w:rsidRDefault="00585A13" w:rsidP="006E5EEB">
      <w:pPr>
        <w:spacing w:line="360" w:lineRule="auto"/>
        <w:jc w:val="center"/>
        <w:rPr>
          <w:rFonts w:ascii="Arial" w:hAnsi="Arial" w:cs="Arial"/>
          <w:b/>
          <w:bCs/>
          <w:lang w:eastAsia="en-GB"/>
        </w:rPr>
      </w:pPr>
    </w:p>
    <w:p w14:paraId="6FFAED75" w14:textId="77777777" w:rsidR="00585A13" w:rsidRPr="006E5EEB" w:rsidRDefault="00585A13" w:rsidP="006E5EEB">
      <w:pPr>
        <w:spacing w:line="360" w:lineRule="auto"/>
        <w:jc w:val="center"/>
        <w:rPr>
          <w:rFonts w:ascii="Arial" w:hAnsi="Arial" w:cs="Arial"/>
          <w:b/>
          <w:bCs/>
          <w:lang w:eastAsia="en-GB"/>
        </w:rPr>
      </w:pPr>
    </w:p>
    <w:p w14:paraId="7A8F6F67" w14:textId="77777777" w:rsidR="00585A13" w:rsidRDefault="00585A13" w:rsidP="006E5EEB">
      <w:pPr>
        <w:spacing w:line="360" w:lineRule="auto"/>
        <w:jc w:val="center"/>
        <w:rPr>
          <w:rFonts w:ascii="Arial" w:hAnsi="Arial" w:cs="Arial"/>
          <w:b/>
          <w:bCs/>
          <w:lang w:eastAsia="en-GB"/>
        </w:rPr>
      </w:pPr>
    </w:p>
    <w:p w14:paraId="296BFF73" w14:textId="77777777" w:rsidR="00064801" w:rsidRDefault="00064801" w:rsidP="006E5EEB">
      <w:pPr>
        <w:spacing w:line="360" w:lineRule="auto"/>
        <w:jc w:val="center"/>
        <w:rPr>
          <w:rFonts w:ascii="Arial" w:hAnsi="Arial" w:cs="Arial"/>
          <w:b/>
          <w:bCs/>
          <w:lang w:eastAsia="en-GB"/>
        </w:rPr>
      </w:pPr>
    </w:p>
    <w:p w14:paraId="68E614A1" w14:textId="77777777" w:rsidR="00064801" w:rsidRPr="006E5EEB" w:rsidRDefault="00064801" w:rsidP="006E5EEB">
      <w:pPr>
        <w:spacing w:line="360" w:lineRule="auto"/>
        <w:jc w:val="center"/>
        <w:rPr>
          <w:rFonts w:ascii="Arial" w:hAnsi="Arial" w:cs="Arial"/>
          <w:b/>
          <w:bCs/>
          <w:lang w:eastAsia="en-GB"/>
        </w:rPr>
      </w:pPr>
    </w:p>
    <w:p w14:paraId="19F4E895" w14:textId="77777777" w:rsidR="00585A13" w:rsidRPr="006E5EEB" w:rsidRDefault="00585A13" w:rsidP="006E5EEB">
      <w:pPr>
        <w:spacing w:line="360" w:lineRule="auto"/>
        <w:jc w:val="center"/>
        <w:rPr>
          <w:rFonts w:ascii="Arial" w:hAnsi="Arial" w:cs="Arial"/>
          <w:b/>
          <w:bCs/>
          <w:lang w:eastAsia="en-GB"/>
        </w:rPr>
      </w:pPr>
    </w:p>
    <w:p w14:paraId="74CFA414" w14:textId="77777777" w:rsidR="00585A13" w:rsidRPr="006E5EEB" w:rsidRDefault="00585A13" w:rsidP="006E5EEB">
      <w:pPr>
        <w:spacing w:line="360" w:lineRule="auto"/>
        <w:jc w:val="center"/>
        <w:rPr>
          <w:rFonts w:ascii="Arial" w:hAnsi="Arial" w:cs="Arial"/>
          <w:b/>
          <w:bCs/>
          <w:lang w:eastAsia="en-GB"/>
        </w:rPr>
      </w:pPr>
    </w:p>
    <w:p w14:paraId="48AEA02F" w14:textId="5CD685D4" w:rsidR="00585A13" w:rsidRPr="006E5EEB" w:rsidRDefault="00585A13" w:rsidP="006E5EEB">
      <w:pPr>
        <w:spacing w:line="360" w:lineRule="auto"/>
        <w:jc w:val="center"/>
        <w:rPr>
          <w:rFonts w:ascii="Arial" w:hAnsi="Arial" w:cs="Arial"/>
          <w:b/>
          <w:bCs/>
          <w:lang w:eastAsia="en-GB"/>
        </w:rPr>
      </w:pPr>
      <w:r w:rsidRPr="006E5EEB">
        <w:rPr>
          <w:rFonts w:ascii="Arial" w:hAnsi="Arial" w:cs="Arial"/>
          <w:b/>
          <w:bCs/>
          <w:lang w:eastAsia="en-GB"/>
        </w:rPr>
        <w:t>Changemakers: Building your Personal Brand for Sustainable Employment - Component 1: Online Portfolio Reflection</w:t>
      </w:r>
    </w:p>
    <w:p w14:paraId="09D8E0EC" w14:textId="2D38670A" w:rsidR="00585A13" w:rsidRPr="006E5EEB" w:rsidRDefault="00585A13" w:rsidP="006E5EEB">
      <w:pPr>
        <w:spacing w:line="360" w:lineRule="auto"/>
        <w:jc w:val="center"/>
        <w:rPr>
          <w:rFonts w:ascii="Arial" w:hAnsi="Arial" w:cs="Arial"/>
          <w:lang w:eastAsia="en-GB"/>
        </w:rPr>
      </w:pPr>
      <w:r w:rsidRPr="006E5EEB">
        <w:rPr>
          <w:rFonts w:ascii="Arial" w:hAnsi="Arial" w:cs="Arial"/>
          <w:lang w:eastAsia="en-GB"/>
        </w:rPr>
        <w:t xml:space="preserve">[Name of </w:t>
      </w:r>
      <w:r w:rsidR="004B4F63" w:rsidRPr="006E5EEB">
        <w:rPr>
          <w:rFonts w:ascii="Arial" w:hAnsi="Arial" w:cs="Arial"/>
          <w:lang w:eastAsia="en-GB"/>
        </w:rPr>
        <w:t>Student</w:t>
      </w:r>
      <w:r w:rsidR="004B4F63">
        <w:rPr>
          <w:rFonts w:ascii="Arial" w:hAnsi="Arial" w:cs="Arial"/>
          <w:lang w:eastAsia="en-GB"/>
        </w:rPr>
        <w:t>: Lauren Natasha Dillon</w:t>
      </w:r>
      <w:r w:rsidRPr="006E5EEB">
        <w:rPr>
          <w:rFonts w:ascii="Arial" w:hAnsi="Arial" w:cs="Arial"/>
          <w:lang w:eastAsia="en-GB"/>
        </w:rPr>
        <w:t>]</w:t>
      </w:r>
    </w:p>
    <w:p w14:paraId="7109D92E" w14:textId="3828FC81" w:rsidR="00585A13" w:rsidRPr="006E5EEB" w:rsidRDefault="00585A13" w:rsidP="006E5EEB">
      <w:pPr>
        <w:spacing w:line="360" w:lineRule="auto"/>
        <w:jc w:val="center"/>
        <w:rPr>
          <w:rFonts w:ascii="Arial" w:hAnsi="Arial" w:cs="Arial"/>
          <w:lang w:eastAsia="en-GB"/>
        </w:rPr>
      </w:pPr>
      <w:r w:rsidRPr="006E5EEB">
        <w:rPr>
          <w:rFonts w:ascii="Arial" w:hAnsi="Arial" w:cs="Arial"/>
          <w:lang w:eastAsia="en-GB"/>
        </w:rPr>
        <w:t>[Date</w:t>
      </w:r>
      <w:r w:rsidR="004B4F63">
        <w:rPr>
          <w:rFonts w:ascii="Arial" w:hAnsi="Arial" w:cs="Arial"/>
          <w:lang w:eastAsia="en-GB"/>
        </w:rPr>
        <w:t>:12/12/2025</w:t>
      </w:r>
      <w:r w:rsidRPr="006E5EEB">
        <w:rPr>
          <w:rFonts w:ascii="Arial" w:hAnsi="Arial" w:cs="Arial"/>
          <w:lang w:eastAsia="en-GB"/>
        </w:rPr>
        <w:t>]</w:t>
      </w:r>
    </w:p>
    <w:p w14:paraId="49F1A770" w14:textId="77777777" w:rsidR="00585A13" w:rsidRPr="006E5EEB" w:rsidRDefault="00585A13" w:rsidP="006E5EEB">
      <w:pPr>
        <w:spacing w:line="360" w:lineRule="auto"/>
        <w:rPr>
          <w:rFonts w:ascii="Arial" w:hAnsi="Arial" w:cs="Arial"/>
          <w:lang w:eastAsia="en-GB"/>
        </w:rPr>
      </w:pPr>
    </w:p>
    <w:p w14:paraId="5AEAC838" w14:textId="77777777" w:rsidR="00585A13" w:rsidRPr="006E5EEB" w:rsidRDefault="00585A13" w:rsidP="006E5EEB">
      <w:pPr>
        <w:spacing w:line="360" w:lineRule="auto"/>
        <w:rPr>
          <w:rFonts w:ascii="Arial" w:eastAsia="Times New Roman" w:hAnsi="Arial" w:cs="Arial"/>
          <w:b/>
          <w:bCs/>
          <w:color w:val="1F1F1F"/>
          <w:kern w:val="0"/>
          <w:lang w:eastAsia="en-GB"/>
          <w14:ligatures w14:val="none"/>
        </w:rPr>
      </w:pPr>
      <w:r w:rsidRPr="006E5EEB">
        <w:rPr>
          <w:rFonts w:ascii="Arial" w:eastAsia="Times New Roman" w:hAnsi="Arial" w:cs="Arial"/>
          <w:b/>
          <w:bCs/>
          <w:color w:val="1F1F1F"/>
          <w:kern w:val="0"/>
          <w:lang w:eastAsia="en-GB"/>
          <w14:ligatures w14:val="none"/>
        </w:rPr>
        <w:br w:type="page"/>
      </w:r>
    </w:p>
    <w:sdt>
      <w:sdtPr>
        <w:rPr>
          <w:rFonts w:asciiTheme="minorHAnsi" w:eastAsiaTheme="minorHAnsi" w:hAnsiTheme="minorHAnsi" w:cstheme="minorBidi"/>
          <w:color w:val="auto"/>
          <w:kern w:val="2"/>
          <w:sz w:val="24"/>
          <w:szCs w:val="24"/>
          <w:lang w:val="en-GB"/>
          <w14:ligatures w14:val="standardContextual"/>
        </w:rPr>
        <w:id w:val="1756082624"/>
        <w:docPartObj>
          <w:docPartGallery w:val="Table of Contents"/>
          <w:docPartUnique/>
        </w:docPartObj>
      </w:sdtPr>
      <w:sdtEndPr>
        <w:rPr>
          <w:b/>
          <w:bCs/>
          <w:noProof/>
        </w:rPr>
      </w:sdtEndPr>
      <w:sdtContent>
        <w:p w14:paraId="076C4BBA" w14:textId="55CCFEBF" w:rsidR="00585A13" w:rsidRPr="00966953" w:rsidRDefault="00585A13" w:rsidP="00966953">
          <w:pPr>
            <w:pStyle w:val="TOCHeading"/>
            <w:spacing w:line="360" w:lineRule="auto"/>
            <w:jc w:val="center"/>
            <w:rPr>
              <w:rFonts w:ascii="Arial" w:hAnsi="Arial" w:cs="Arial"/>
              <w:b/>
              <w:bCs/>
              <w:color w:val="auto"/>
              <w:sz w:val="24"/>
              <w:szCs w:val="24"/>
            </w:rPr>
          </w:pPr>
          <w:r w:rsidRPr="00966953">
            <w:rPr>
              <w:rFonts w:ascii="Arial" w:hAnsi="Arial" w:cs="Arial"/>
              <w:b/>
              <w:bCs/>
              <w:color w:val="auto"/>
              <w:sz w:val="24"/>
              <w:szCs w:val="24"/>
            </w:rPr>
            <w:t>Table of Contents</w:t>
          </w:r>
        </w:p>
        <w:p w14:paraId="7F9C1D7C" w14:textId="7451F442" w:rsidR="00966953" w:rsidRPr="00966953" w:rsidRDefault="00585A13" w:rsidP="00966953">
          <w:pPr>
            <w:pStyle w:val="TOC2"/>
            <w:tabs>
              <w:tab w:val="right" w:leader="dot" w:pos="9016"/>
            </w:tabs>
            <w:spacing w:line="360" w:lineRule="auto"/>
            <w:rPr>
              <w:rFonts w:ascii="Arial" w:eastAsiaTheme="minorEastAsia" w:hAnsi="Arial" w:cs="Arial"/>
              <w:noProof/>
              <w:lang w:eastAsia="en-GB"/>
            </w:rPr>
          </w:pPr>
          <w:r w:rsidRPr="00966953">
            <w:rPr>
              <w:rFonts w:ascii="Arial" w:hAnsi="Arial" w:cs="Arial"/>
            </w:rPr>
            <w:fldChar w:fldCharType="begin"/>
          </w:r>
          <w:r w:rsidRPr="00966953">
            <w:rPr>
              <w:rFonts w:ascii="Arial" w:hAnsi="Arial" w:cs="Arial"/>
            </w:rPr>
            <w:instrText xml:space="preserve"> TOC \o "1-3" \h \z \u </w:instrText>
          </w:r>
          <w:r w:rsidRPr="00966953">
            <w:rPr>
              <w:rFonts w:ascii="Arial" w:hAnsi="Arial" w:cs="Arial"/>
            </w:rPr>
            <w:fldChar w:fldCharType="separate"/>
          </w:r>
          <w:hyperlink w:anchor="_Toc216635206" w:history="1">
            <w:r w:rsidR="00966953" w:rsidRPr="00966953">
              <w:rPr>
                <w:rStyle w:val="Hyperlink"/>
                <w:rFonts w:ascii="Arial" w:eastAsia="Times New Roman" w:hAnsi="Arial" w:cs="Arial"/>
                <w:noProof/>
                <w:color w:val="auto"/>
                <w:kern w:val="0"/>
                <w:lang w:eastAsia="en-GB"/>
                <w14:ligatures w14:val="none"/>
              </w:rPr>
              <w:t>Introduction</w:t>
            </w:r>
            <w:r w:rsidR="00966953" w:rsidRPr="00966953">
              <w:rPr>
                <w:rFonts w:ascii="Arial" w:hAnsi="Arial" w:cs="Arial"/>
                <w:noProof/>
                <w:webHidden/>
              </w:rPr>
              <w:tab/>
            </w:r>
            <w:r w:rsidR="00966953" w:rsidRPr="00966953">
              <w:rPr>
                <w:rFonts w:ascii="Arial" w:hAnsi="Arial" w:cs="Arial"/>
                <w:noProof/>
                <w:webHidden/>
              </w:rPr>
              <w:fldChar w:fldCharType="begin"/>
            </w:r>
            <w:r w:rsidR="00966953" w:rsidRPr="00966953">
              <w:rPr>
                <w:rFonts w:ascii="Arial" w:hAnsi="Arial" w:cs="Arial"/>
                <w:noProof/>
                <w:webHidden/>
              </w:rPr>
              <w:instrText xml:space="preserve"> PAGEREF _Toc216635206 \h </w:instrText>
            </w:r>
            <w:r w:rsidR="00966953" w:rsidRPr="00966953">
              <w:rPr>
                <w:rFonts w:ascii="Arial" w:hAnsi="Arial" w:cs="Arial"/>
                <w:noProof/>
                <w:webHidden/>
              </w:rPr>
            </w:r>
            <w:r w:rsidR="00966953" w:rsidRPr="00966953">
              <w:rPr>
                <w:rFonts w:ascii="Arial" w:hAnsi="Arial" w:cs="Arial"/>
                <w:noProof/>
                <w:webHidden/>
              </w:rPr>
              <w:fldChar w:fldCharType="separate"/>
            </w:r>
            <w:r w:rsidR="00966953" w:rsidRPr="00966953">
              <w:rPr>
                <w:rFonts w:ascii="Arial" w:hAnsi="Arial" w:cs="Arial"/>
                <w:noProof/>
                <w:webHidden/>
              </w:rPr>
              <w:t>3</w:t>
            </w:r>
            <w:r w:rsidR="00966953" w:rsidRPr="00966953">
              <w:rPr>
                <w:rFonts w:ascii="Arial" w:hAnsi="Arial" w:cs="Arial"/>
                <w:noProof/>
                <w:webHidden/>
              </w:rPr>
              <w:fldChar w:fldCharType="end"/>
            </w:r>
          </w:hyperlink>
        </w:p>
        <w:p w14:paraId="2324151C" w14:textId="3A9394A1" w:rsidR="00966953" w:rsidRPr="00966953" w:rsidRDefault="00966953" w:rsidP="00966953">
          <w:pPr>
            <w:pStyle w:val="TOC2"/>
            <w:tabs>
              <w:tab w:val="right" w:leader="dot" w:pos="9016"/>
            </w:tabs>
            <w:spacing w:line="360" w:lineRule="auto"/>
            <w:rPr>
              <w:rFonts w:ascii="Arial" w:eastAsiaTheme="minorEastAsia" w:hAnsi="Arial" w:cs="Arial"/>
              <w:noProof/>
              <w:lang w:eastAsia="en-GB"/>
            </w:rPr>
          </w:pPr>
          <w:hyperlink w:anchor="_Toc216635207" w:history="1">
            <w:r w:rsidRPr="00966953">
              <w:rPr>
                <w:rStyle w:val="Hyperlink"/>
                <w:rFonts w:ascii="Arial" w:eastAsia="Times New Roman" w:hAnsi="Arial" w:cs="Arial"/>
                <w:noProof/>
                <w:color w:val="auto"/>
                <w:kern w:val="0"/>
                <w:lang w:eastAsia="en-GB"/>
                <w14:ligatures w14:val="none"/>
              </w:rPr>
              <w:t>Task 1 - Reflection on Unit 1: Brand You</w:t>
            </w:r>
            <w:r w:rsidRPr="00966953">
              <w:rPr>
                <w:rFonts w:ascii="Arial" w:hAnsi="Arial" w:cs="Arial"/>
                <w:noProof/>
                <w:webHidden/>
              </w:rPr>
              <w:tab/>
            </w:r>
            <w:r w:rsidRPr="00966953">
              <w:rPr>
                <w:rFonts w:ascii="Arial" w:hAnsi="Arial" w:cs="Arial"/>
                <w:noProof/>
                <w:webHidden/>
              </w:rPr>
              <w:fldChar w:fldCharType="begin"/>
            </w:r>
            <w:r w:rsidRPr="00966953">
              <w:rPr>
                <w:rFonts w:ascii="Arial" w:hAnsi="Arial" w:cs="Arial"/>
                <w:noProof/>
                <w:webHidden/>
              </w:rPr>
              <w:instrText xml:space="preserve"> PAGEREF _Toc216635207 \h </w:instrText>
            </w:r>
            <w:r w:rsidRPr="00966953">
              <w:rPr>
                <w:rFonts w:ascii="Arial" w:hAnsi="Arial" w:cs="Arial"/>
                <w:noProof/>
                <w:webHidden/>
              </w:rPr>
            </w:r>
            <w:r w:rsidRPr="00966953">
              <w:rPr>
                <w:rFonts w:ascii="Arial" w:hAnsi="Arial" w:cs="Arial"/>
                <w:noProof/>
                <w:webHidden/>
              </w:rPr>
              <w:fldChar w:fldCharType="separate"/>
            </w:r>
            <w:r w:rsidRPr="00966953">
              <w:rPr>
                <w:rFonts w:ascii="Arial" w:hAnsi="Arial" w:cs="Arial"/>
                <w:noProof/>
                <w:webHidden/>
              </w:rPr>
              <w:t>3</w:t>
            </w:r>
            <w:r w:rsidRPr="00966953">
              <w:rPr>
                <w:rFonts w:ascii="Arial" w:hAnsi="Arial" w:cs="Arial"/>
                <w:noProof/>
                <w:webHidden/>
              </w:rPr>
              <w:fldChar w:fldCharType="end"/>
            </w:r>
          </w:hyperlink>
        </w:p>
        <w:p w14:paraId="3A4A9EC6" w14:textId="52D00DCC" w:rsidR="00966953" w:rsidRPr="00966953" w:rsidRDefault="00966953" w:rsidP="00966953">
          <w:pPr>
            <w:pStyle w:val="TOC2"/>
            <w:tabs>
              <w:tab w:val="right" w:leader="dot" w:pos="9016"/>
            </w:tabs>
            <w:spacing w:line="360" w:lineRule="auto"/>
            <w:rPr>
              <w:rFonts w:ascii="Arial" w:eastAsiaTheme="minorEastAsia" w:hAnsi="Arial" w:cs="Arial"/>
              <w:noProof/>
              <w:lang w:eastAsia="en-GB"/>
            </w:rPr>
          </w:pPr>
          <w:hyperlink w:anchor="_Toc216635208" w:history="1">
            <w:r w:rsidRPr="00966953">
              <w:rPr>
                <w:rStyle w:val="Hyperlink"/>
                <w:rFonts w:ascii="Arial" w:eastAsia="Times New Roman" w:hAnsi="Arial" w:cs="Arial"/>
                <w:noProof/>
                <w:color w:val="auto"/>
                <w:kern w:val="0"/>
                <w:lang w:eastAsia="en-GB"/>
                <w14:ligatures w14:val="none"/>
              </w:rPr>
              <w:t>Task 2 - Reflection on Unit 2: It's a Small World</w:t>
            </w:r>
            <w:r w:rsidRPr="00966953">
              <w:rPr>
                <w:rFonts w:ascii="Arial" w:hAnsi="Arial" w:cs="Arial"/>
                <w:noProof/>
                <w:webHidden/>
              </w:rPr>
              <w:tab/>
            </w:r>
            <w:r w:rsidRPr="00966953">
              <w:rPr>
                <w:rFonts w:ascii="Arial" w:hAnsi="Arial" w:cs="Arial"/>
                <w:noProof/>
                <w:webHidden/>
              </w:rPr>
              <w:fldChar w:fldCharType="begin"/>
            </w:r>
            <w:r w:rsidRPr="00966953">
              <w:rPr>
                <w:rFonts w:ascii="Arial" w:hAnsi="Arial" w:cs="Arial"/>
                <w:noProof/>
                <w:webHidden/>
              </w:rPr>
              <w:instrText xml:space="preserve"> PAGEREF _Toc216635208 \h </w:instrText>
            </w:r>
            <w:r w:rsidRPr="00966953">
              <w:rPr>
                <w:rFonts w:ascii="Arial" w:hAnsi="Arial" w:cs="Arial"/>
                <w:noProof/>
                <w:webHidden/>
              </w:rPr>
            </w:r>
            <w:r w:rsidRPr="00966953">
              <w:rPr>
                <w:rFonts w:ascii="Arial" w:hAnsi="Arial" w:cs="Arial"/>
                <w:noProof/>
                <w:webHidden/>
              </w:rPr>
              <w:fldChar w:fldCharType="separate"/>
            </w:r>
            <w:r w:rsidRPr="00966953">
              <w:rPr>
                <w:rFonts w:ascii="Arial" w:hAnsi="Arial" w:cs="Arial"/>
                <w:noProof/>
                <w:webHidden/>
              </w:rPr>
              <w:t>4</w:t>
            </w:r>
            <w:r w:rsidRPr="00966953">
              <w:rPr>
                <w:rFonts w:ascii="Arial" w:hAnsi="Arial" w:cs="Arial"/>
                <w:noProof/>
                <w:webHidden/>
              </w:rPr>
              <w:fldChar w:fldCharType="end"/>
            </w:r>
          </w:hyperlink>
        </w:p>
        <w:p w14:paraId="5BB9F655" w14:textId="41A083D9" w:rsidR="00966953" w:rsidRPr="00966953" w:rsidRDefault="00966953" w:rsidP="00966953">
          <w:pPr>
            <w:pStyle w:val="TOC2"/>
            <w:tabs>
              <w:tab w:val="right" w:leader="dot" w:pos="9016"/>
            </w:tabs>
            <w:spacing w:line="360" w:lineRule="auto"/>
            <w:rPr>
              <w:rFonts w:ascii="Arial" w:eastAsiaTheme="minorEastAsia" w:hAnsi="Arial" w:cs="Arial"/>
              <w:noProof/>
              <w:lang w:eastAsia="en-GB"/>
            </w:rPr>
          </w:pPr>
          <w:hyperlink w:anchor="_Toc216635209" w:history="1">
            <w:r w:rsidRPr="00966953">
              <w:rPr>
                <w:rStyle w:val="Hyperlink"/>
                <w:rFonts w:ascii="Arial" w:eastAsia="Times New Roman" w:hAnsi="Arial" w:cs="Arial"/>
                <w:noProof/>
                <w:color w:val="auto"/>
                <w:kern w:val="0"/>
                <w:lang w:eastAsia="en-GB"/>
                <w14:ligatures w14:val="none"/>
              </w:rPr>
              <w:t>Task 3 - Reflection on Unit 3: Opportunity Knocks</w:t>
            </w:r>
            <w:r w:rsidRPr="00966953">
              <w:rPr>
                <w:rFonts w:ascii="Arial" w:hAnsi="Arial" w:cs="Arial"/>
                <w:noProof/>
                <w:webHidden/>
              </w:rPr>
              <w:tab/>
            </w:r>
            <w:r w:rsidRPr="00966953">
              <w:rPr>
                <w:rFonts w:ascii="Arial" w:hAnsi="Arial" w:cs="Arial"/>
                <w:noProof/>
                <w:webHidden/>
              </w:rPr>
              <w:fldChar w:fldCharType="begin"/>
            </w:r>
            <w:r w:rsidRPr="00966953">
              <w:rPr>
                <w:rFonts w:ascii="Arial" w:hAnsi="Arial" w:cs="Arial"/>
                <w:noProof/>
                <w:webHidden/>
              </w:rPr>
              <w:instrText xml:space="preserve"> PAGEREF _Toc216635209 \h </w:instrText>
            </w:r>
            <w:r w:rsidRPr="00966953">
              <w:rPr>
                <w:rFonts w:ascii="Arial" w:hAnsi="Arial" w:cs="Arial"/>
                <w:noProof/>
                <w:webHidden/>
              </w:rPr>
            </w:r>
            <w:r w:rsidRPr="00966953">
              <w:rPr>
                <w:rFonts w:ascii="Arial" w:hAnsi="Arial" w:cs="Arial"/>
                <w:noProof/>
                <w:webHidden/>
              </w:rPr>
              <w:fldChar w:fldCharType="separate"/>
            </w:r>
            <w:r w:rsidRPr="00966953">
              <w:rPr>
                <w:rFonts w:ascii="Arial" w:hAnsi="Arial" w:cs="Arial"/>
                <w:noProof/>
                <w:webHidden/>
              </w:rPr>
              <w:t>5</w:t>
            </w:r>
            <w:r w:rsidRPr="00966953">
              <w:rPr>
                <w:rFonts w:ascii="Arial" w:hAnsi="Arial" w:cs="Arial"/>
                <w:noProof/>
                <w:webHidden/>
              </w:rPr>
              <w:fldChar w:fldCharType="end"/>
            </w:r>
          </w:hyperlink>
        </w:p>
        <w:p w14:paraId="082C0402" w14:textId="7D61A17C" w:rsidR="00966953" w:rsidRPr="00966953" w:rsidRDefault="00966953" w:rsidP="00966953">
          <w:pPr>
            <w:pStyle w:val="TOC2"/>
            <w:tabs>
              <w:tab w:val="right" w:leader="dot" w:pos="9016"/>
            </w:tabs>
            <w:spacing w:line="360" w:lineRule="auto"/>
            <w:rPr>
              <w:rFonts w:ascii="Arial" w:eastAsiaTheme="minorEastAsia" w:hAnsi="Arial" w:cs="Arial"/>
              <w:noProof/>
              <w:lang w:eastAsia="en-GB"/>
            </w:rPr>
          </w:pPr>
          <w:hyperlink w:anchor="_Toc216635210" w:history="1">
            <w:r w:rsidRPr="00966953">
              <w:rPr>
                <w:rStyle w:val="Hyperlink"/>
                <w:rFonts w:ascii="Arial" w:eastAsia="Times New Roman" w:hAnsi="Arial" w:cs="Arial"/>
                <w:noProof/>
                <w:color w:val="auto"/>
                <w:kern w:val="0"/>
                <w:lang w:eastAsia="en-GB"/>
                <w14:ligatures w14:val="none"/>
              </w:rPr>
              <w:t>Task 4 - Reflection on Unit 4: The Pursuit of Happiness and Conclusion</w:t>
            </w:r>
            <w:r w:rsidRPr="00966953">
              <w:rPr>
                <w:rFonts w:ascii="Arial" w:hAnsi="Arial" w:cs="Arial"/>
                <w:noProof/>
                <w:webHidden/>
              </w:rPr>
              <w:tab/>
            </w:r>
            <w:r w:rsidRPr="00966953">
              <w:rPr>
                <w:rFonts w:ascii="Arial" w:hAnsi="Arial" w:cs="Arial"/>
                <w:noProof/>
                <w:webHidden/>
              </w:rPr>
              <w:fldChar w:fldCharType="begin"/>
            </w:r>
            <w:r w:rsidRPr="00966953">
              <w:rPr>
                <w:rFonts w:ascii="Arial" w:hAnsi="Arial" w:cs="Arial"/>
                <w:noProof/>
                <w:webHidden/>
              </w:rPr>
              <w:instrText xml:space="preserve"> PAGEREF _Toc216635210 \h </w:instrText>
            </w:r>
            <w:r w:rsidRPr="00966953">
              <w:rPr>
                <w:rFonts w:ascii="Arial" w:hAnsi="Arial" w:cs="Arial"/>
                <w:noProof/>
                <w:webHidden/>
              </w:rPr>
            </w:r>
            <w:r w:rsidRPr="00966953">
              <w:rPr>
                <w:rFonts w:ascii="Arial" w:hAnsi="Arial" w:cs="Arial"/>
                <w:noProof/>
                <w:webHidden/>
              </w:rPr>
              <w:fldChar w:fldCharType="separate"/>
            </w:r>
            <w:r w:rsidRPr="00966953">
              <w:rPr>
                <w:rFonts w:ascii="Arial" w:hAnsi="Arial" w:cs="Arial"/>
                <w:noProof/>
                <w:webHidden/>
              </w:rPr>
              <w:t>6</w:t>
            </w:r>
            <w:r w:rsidRPr="00966953">
              <w:rPr>
                <w:rFonts w:ascii="Arial" w:hAnsi="Arial" w:cs="Arial"/>
                <w:noProof/>
                <w:webHidden/>
              </w:rPr>
              <w:fldChar w:fldCharType="end"/>
            </w:r>
          </w:hyperlink>
        </w:p>
        <w:p w14:paraId="1BA26E23" w14:textId="4C17BD11" w:rsidR="00966953" w:rsidRPr="00966953" w:rsidRDefault="00966953" w:rsidP="00966953">
          <w:pPr>
            <w:pStyle w:val="TOC2"/>
            <w:tabs>
              <w:tab w:val="right" w:leader="dot" w:pos="9016"/>
            </w:tabs>
            <w:spacing w:line="360" w:lineRule="auto"/>
            <w:rPr>
              <w:rFonts w:ascii="Arial" w:eastAsiaTheme="minorEastAsia" w:hAnsi="Arial" w:cs="Arial"/>
              <w:noProof/>
              <w:lang w:eastAsia="en-GB"/>
            </w:rPr>
          </w:pPr>
          <w:hyperlink w:anchor="_Toc216635211" w:history="1">
            <w:r w:rsidRPr="00966953">
              <w:rPr>
                <w:rStyle w:val="Hyperlink"/>
                <w:rFonts w:ascii="Arial" w:eastAsia="Times New Roman" w:hAnsi="Arial" w:cs="Arial"/>
                <w:noProof/>
                <w:color w:val="auto"/>
                <w:kern w:val="0"/>
                <w:lang w:eastAsia="en-GB"/>
                <w14:ligatures w14:val="none"/>
              </w:rPr>
              <w:t>Conclusion</w:t>
            </w:r>
            <w:r w:rsidRPr="00966953">
              <w:rPr>
                <w:rFonts w:ascii="Arial" w:hAnsi="Arial" w:cs="Arial"/>
                <w:noProof/>
                <w:webHidden/>
              </w:rPr>
              <w:tab/>
            </w:r>
            <w:r w:rsidRPr="00966953">
              <w:rPr>
                <w:rFonts w:ascii="Arial" w:hAnsi="Arial" w:cs="Arial"/>
                <w:noProof/>
                <w:webHidden/>
              </w:rPr>
              <w:fldChar w:fldCharType="begin"/>
            </w:r>
            <w:r w:rsidRPr="00966953">
              <w:rPr>
                <w:rFonts w:ascii="Arial" w:hAnsi="Arial" w:cs="Arial"/>
                <w:noProof/>
                <w:webHidden/>
              </w:rPr>
              <w:instrText xml:space="preserve"> PAGEREF _Toc216635211 \h </w:instrText>
            </w:r>
            <w:r w:rsidRPr="00966953">
              <w:rPr>
                <w:rFonts w:ascii="Arial" w:hAnsi="Arial" w:cs="Arial"/>
                <w:noProof/>
                <w:webHidden/>
              </w:rPr>
            </w:r>
            <w:r w:rsidRPr="00966953">
              <w:rPr>
                <w:rFonts w:ascii="Arial" w:hAnsi="Arial" w:cs="Arial"/>
                <w:noProof/>
                <w:webHidden/>
              </w:rPr>
              <w:fldChar w:fldCharType="separate"/>
            </w:r>
            <w:r w:rsidRPr="00966953">
              <w:rPr>
                <w:rFonts w:ascii="Arial" w:hAnsi="Arial" w:cs="Arial"/>
                <w:noProof/>
                <w:webHidden/>
              </w:rPr>
              <w:t>7</w:t>
            </w:r>
            <w:r w:rsidRPr="00966953">
              <w:rPr>
                <w:rFonts w:ascii="Arial" w:hAnsi="Arial" w:cs="Arial"/>
                <w:noProof/>
                <w:webHidden/>
              </w:rPr>
              <w:fldChar w:fldCharType="end"/>
            </w:r>
          </w:hyperlink>
        </w:p>
        <w:p w14:paraId="4167EB0A" w14:textId="0001891F" w:rsidR="00966953" w:rsidRPr="00966953" w:rsidRDefault="00966953" w:rsidP="00966953">
          <w:pPr>
            <w:pStyle w:val="TOC2"/>
            <w:tabs>
              <w:tab w:val="right" w:leader="dot" w:pos="9016"/>
            </w:tabs>
            <w:spacing w:line="360" w:lineRule="auto"/>
            <w:rPr>
              <w:rFonts w:ascii="Arial" w:eastAsiaTheme="minorEastAsia" w:hAnsi="Arial" w:cs="Arial"/>
              <w:noProof/>
              <w:lang w:eastAsia="en-GB"/>
            </w:rPr>
          </w:pPr>
          <w:hyperlink w:anchor="_Toc216635212" w:history="1">
            <w:r w:rsidRPr="00966953">
              <w:rPr>
                <w:rStyle w:val="Hyperlink"/>
                <w:rFonts w:ascii="Arial" w:eastAsia="Times New Roman" w:hAnsi="Arial" w:cs="Arial"/>
                <w:noProof/>
                <w:color w:val="auto"/>
                <w:kern w:val="0"/>
                <w:lang w:eastAsia="en-GB"/>
                <w14:ligatures w14:val="none"/>
              </w:rPr>
              <w:t>References</w:t>
            </w:r>
            <w:r w:rsidRPr="00966953">
              <w:rPr>
                <w:rFonts w:ascii="Arial" w:hAnsi="Arial" w:cs="Arial"/>
                <w:noProof/>
                <w:webHidden/>
              </w:rPr>
              <w:tab/>
            </w:r>
            <w:r w:rsidRPr="00966953">
              <w:rPr>
                <w:rFonts w:ascii="Arial" w:hAnsi="Arial" w:cs="Arial"/>
                <w:noProof/>
                <w:webHidden/>
              </w:rPr>
              <w:fldChar w:fldCharType="begin"/>
            </w:r>
            <w:r w:rsidRPr="00966953">
              <w:rPr>
                <w:rFonts w:ascii="Arial" w:hAnsi="Arial" w:cs="Arial"/>
                <w:noProof/>
                <w:webHidden/>
              </w:rPr>
              <w:instrText xml:space="preserve"> PAGEREF _Toc216635212 \h </w:instrText>
            </w:r>
            <w:r w:rsidRPr="00966953">
              <w:rPr>
                <w:rFonts w:ascii="Arial" w:hAnsi="Arial" w:cs="Arial"/>
                <w:noProof/>
                <w:webHidden/>
              </w:rPr>
            </w:r>
            <w:r w:rsidRPr="00966953">
              <w:rPr>
                <w:rFonts w:ascii="Arial" w:hAnsi="Arial" w:cs="Arial"/>
                <w:noProof/>
                <w:webHidden/>
              </w:rPr>
              <w:fldChar w:fldCharType="separate"/>
            </w:r>
            <w:r w:rsidRPr="00966953">
              <w:rPr>
                <w:rFonts w:ascii="Arial" w:hAnsi="Arial" w:cs="Arial"/>
                <w:noProof/>
                <w:webHidden/>
              </w:rPr>
              <w:t>9</w:t>
            </w:r>
            <w:r w:rsidRPr="00966953">
              <w:rPr>
                <w:rFonts w:ascii="Arial" w:hAnsi="Arial" w:cs="Arial"/>
                <w:noProof/>
                <w:webHidden/>
              </w:rPr>
              <w:fldChar w:fldCharType="end"/>
            </w:r>
          </w:hyperlink>
        </w:p>
        <w:p w14:paraId="60A1C5E8" w14:textId="4AB0AC8F" w:rsidR="00585A13" w:rsidRPr="006E5EEB" w:rsidRDefault="00585A13" w:rsidP="00966953">
          <w:pPr>
            <w:spacing w:line="360" w:lineRule="auto"/>
          </w:pPr>
          <w:r w:rsidRPr="00966953">
            <w:rPr>
              <w:rFonts w:ascii="Arial" w:hAnsi="Arial" w:cs="Arial"/>
              <w:noProof/>
            </w:rPr>
            <w:fldChar w:fldCharType="end"/>
          </w:r>
        </w:p>
      </w:sdtContent>
    </w:sdt>
    <w:p w14:paraId="7D964F84" w14:textId="77777777" w:rsidR="00585A13" w:rsidRPr="006E5EEB" w:rsidRDefault="00585A13" w:rsidP="006E5EEB">
      <w:pPr>
        <w:spacing w:line="360" w:lineRule="auto"/>
        <w:rPr>
          <w:rFonts w:ascii="Arial" w:eastAsia="Times New Roman" w:hAnsi="Arial" w:cs="Arial"/>
          <w:b/>
          <w:bCs/>
          <w:color w:val="1F1F1F"/>
          <w:kern w:val="0"/>
          <w:lang w:eastAsia="en-GB"/>
          <w14:ligatures w14:val="none"/>
        </w:rPr>
      </w:pPr>
      <w:r w:rsidRPr="006E5EEB">
        <w:rPr>
          <w:rFonts w:ascii="Arial" w:eastAsia="Times New Roman" w:hAnsi="Arial" w:cs="Arial"/>
          <w:b/>
          <w:bCs/>
          <w:color w:val="1F1F1F"/>
          <w:kern w:val="0"/>
          <w:lang w:eastAsia="en-GB"/>
          <w14:ligatures w14:val="none"/>
        </w:rPr>
        <w:br w:type="page"/>
      </w:r>
    </w:p>
    <w:p w14:paraId="6E43F57A" w14:textId="5CBA9942"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0" w:name="_Toc216635206"/>
      <w:r w:rsidRPr="00585A13">
        <w:rPr>
          <w:rFonts w:ascii="Arial" w:eastAsia="Times New Roman" w:hAnsi="Arial" w:cs="Arial"/>
          <w:b/>
          <w:bCs/>
          <w:color w:val="1F1F1F"/>
          <w:kern w:val="0"/>
          <w:lang w:eastAsia="en-GB"/>
          <w14:ligatures w14:val="none"/>
        </w:rPr>
        <w:lastRenderedPageBreak/>
        <w:t>Introduction</w:t>
      </w:r>
      <w:bookmarkEnd w:id="0"/>
    </w:p>
    <w:p w14:paraId="402D3152" w14:textId="1DDBD4A2" w:rsidR="00585A13" w:rsidRPr="006E5EEB" w:rsidRDefault="006E5EEB" w:rsidP="006E5EEB">
      <w:pPr>
        <w:spacing w:after="24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 xml:space="preserve">The current environment of health and social care is defined by being dynamic in all aspects, requiring people possessing not only technical competency but flexibility, strength, and professional understanding of their identity (Entwistle, et al., 2018). This assignment is a reflection of the learning experience that I have had in terms of the module, Changemakers: Building your Personal Brand to Sustainable Employment that was intended to help me develop the required skills and competencies to become career resilient in the context of future employment. The essence of this reflection is to critically review the major concepts that have been covered in the four units; Brand You, </w:t>
      </w:r>
      <w:proofErr w:type="gramStart"/>
      <w:r w:rsidRPr="006E5EEB">
        <w:rPr>
          <w:rFonts w:ascii="Arial" w:eastAsia="Times New Roman" w:hAnsi="Arial" w:cs="Arial"/>
          <w:color w:val="1F1F1F"/>
          <w:kern w:val="0"/>
          <w:lang w:eastAsia="en-GB"/>
          <w14:ligatures w14:val="none"/>
        </w:rPr>
        <w:t>It’s</w:t>
      </w:r>
      <w:proofErr w:type="gramEnd"/>
      <w:r w:rsidRPr="006E5EEB">
        <w:rPr>
          <w:rFonts w:ascii="Arial" w:eastAsia="Times New Roman" w:hAnsi="Arial" w:cs="Arial"/>
          <w:color w:val="1F1F1F"/>
          <w:kern w:val="0"/>
          <w:lang w:eastAsia="en-GB"/>
          <w14:ligatures w14:val="none"/>
        </w:rPr>
        <w:t xml:space="preserve"> a Small World, Opportunity Knocks and The Pursuit of Happiness, and explain how all those have contributed to my personal image of professional growth and strategic building of my personal brand</w:t>
      </w:r>
      <w:r w:rsidR="00585A13" w:rsidRPr="00585A13">
        <w:rPr>
          <w:rFonts w:ascii="Arial" w:eastAsia="Times New Roman" w:hAnsi="Arial" w:cs="Arial"/>
          <w:color w:val="1F1F1F"/>
          <w:kern w:val="0"/>
          <w:lang w:eastAsia="en-GB"/>
          <w14:ligatures w14:val="none"/>
        </w:rPr>
        <w:t xml:space="preserve">. </w:t>
      </w:r>
    </w:p>
    <w:p w14:paraId="03CD6D02" w14:textId="77777777" w:rsidR="00585A13" w:rsidRPr="00585A13" w:rsidRDefault="00585A13" w:rsidP="006E5EEB">
      <w:pPr>
        <w:spacing w:after="240" w:line="360" w:lineRule="auto"/>
        <w:jc w:val="both"/>
        <w:rPr>
          <w:rFonts w:ascii="Arial" w:eastAsia="Times New Roman" w:hAnsi="Arial" w:cs="Arial"/>
          <w:color w:val="1F1F1F"/>
          <w:kern w:val="0"/>
          <w:lang w:eastAsia="en-GB"/>
          <w14:ligatures w14:val="none"/>
        </w:rPr>
      </w:pPr>
    </w:p>
    <w:p w14:paraId="20C9F520" w14:textId="39449455"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1" w:name="_Toc216635207"/>
      <w:r w:rsidRPr="00585A13">
        <w:rPr>
          <w:rFonts w:ascii="Arial" w:eastAsia="Times New Roman" w:hAnsi="Arial" w:cs="Arial"/>
          <w:b/>
          <w:bCs/>
          <w:color w:val="1F1F1F"/>
          <w:kern w:val="0"/>
          <w:lang w:eastAsia="en-GB"/>
          <w14:ligatures w14:val="none"/>
        </w:rPr>
        <w:t>Task 1 - Reflection on Unit 1: Brand You</w:t>
      </w:r>
      <w:bookmarkEnd w:id="1"/>
      <w:r w:rsidRPr="00585A13">
        <w:rPr>
          <w:rFonts w:ascii="Arial" w:eastAsia="Times New Roman" w:hAnsi="Arial" w:cs="Arial"/>
          <w:b/>
          <w:bCs/>
          <w:color w:val="1F1F1F"/>
          <w:kern w:val="0"/>
          <w:lang w:eastAsia="en-GB"/>
          <w14:ligatures w14:val="none"/>
        </w:rPr>
        <w:t xml:space="preserve"> </w:t>
      </w:r>
    </w:p>
    <w:p w14:paraId="1489F85B"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Unit 1 (Brand You) was critical in creating a basic knowledge of personal branding as a strategic necessity to the health and social care professional. The main issues discussed during the lectures were career resilience, self-awareness, emotional intelligence (EQ) and soft skills and hard skills (Week 1; Week 2). The discussions have significantly changed my understanding of a personal brand and turned my superficial notion of it into a comprehensive account of what professional value proposition represents in the person, a skill set, personality, and a reputation (Gibson, Hardy, and Buckley, 2014).</w:t>
      </w:r>
    </w:p>
    <w:p w14:paraId="0C097402" w14:textId="69F25E84"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 xml:space="preserve">The three main concepts that were presented in this unit have formed my basic understanding of personal branding. On the one hand, the theory of Emotional Intelligence (EQ) appeared as the </w:t>
      </w:r>
      <w:r w:rsidR="009D4C4F" w:rsidRPr="006E5EEB">
        <w:rPr>
          <w:rFonts w:ascii="Arial" w:eastAsia="Times New Roman" w:hAnsi="Arial" w:cs="Arial"/>
          <w:color w:val="1F1F1F"/>
          <w:kern w:val="0"/>
          <w:lang w:eastAsia="en-GB"/>
          <w14:ligatures w14:val="none"/>
        </w:rPr>
        <w:t>centre</w:t>
      </w:r>
      <w:r w:rsidRPr="006E5EEB">
        <w:rPr>
          <w:rFonts w:ascii="Arial" w:eastAsia="Times New Roman" w:hAnsi="Arial" w:cs="Arial"/>
          <w:color w:val="1F1F1F"/>
          <w:kern w:val="0"/>
          <w:lang w:eastAsia="en-GB"/>
          <w14:ligatures w14:val="none"/>
        </w:rPr>
        <w:t xml:space="preserve"> point. During lectures, it was emphasized that EQ, or the skill to comprehend and regulate one own </w:t>
      </w:r>
      <w:r w:rsidR="009D4C4F" w:rsidRPr="006E5EEB">
        <w:rPr>
          <w:rFonts w:ascii="Arial" w:eastAsia="Times New Roman" w:hAnsi="Arial" w:cs="Arial"/>
          <w:color w:val="1F1F1F"/>
          <w:kern w:val="0"/>
          <w:lang w:eastAsia="en-GB"/>
          <w14:ligatures w14:val="none"/>
        </w:rPr>
        <w:t>feeling</w:t>
      </w:r>
      <w:r w:rsidRPr="006E5EEB">
        <w:rPr>
          <w:rFonts w:ascii="Arial" w:eastAsia="Times New Roman" w:hAnsi="Arial" w:cs="Arial"/>
          <w:color w:val="1F1F1F"/>
          <w:kern w:val="0"/>
          <w:lang w:eastAsia="en-GB"/>
          <w14:ligatures w14:val="none"/>
        </w:rPr>
        <w:t xml:space="preserve"> and to comprehend and control the feelings of other people, is essential in the context of the effective communication among people in the sphere of care (Week 2). According to Goleman (1998), EQ can become one of the most significant predictors of professional success compared with more technical skills especially in those jobs that may demand empathy and relationship-building skills. This has prompted me to identify my personal self-</w:t>
      </w:r>
      <w:r w:rsidRPr="006E5EEB">
        <w:rPr>
          <w:rFonts w:ascii="Arial" w:eastAsia="Times New Roman" w:hAnsi="Arial" w:cs="Arial"/>
          <w:color w:val="1F1F1F"/>
          <w:kern w:val="0"/>
          <w:lang w:eastAsia="en-GB"/>
          <w14:ligatures w14:val="none"/>
        </w:rPr>
        <w:lastRenderedPageBreak/>
        <w:t>awareness as a part of EQ as a key aspect of my professional brand that dictates my reaction to stress and my interactions with the service users and my colleagues.</w:t>
      </w:r>
    </w:p>
    <w:p w14:paraId="61B42600"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Secondly, the Career Resilience exploration presented a powerful model of professional planning on a long-term basis. Career resilience entails being able to change according to unfortunate events and being able to stay healthy when career is threatened (Week 1). In an ever-changing industry, the lectures highlighted the importance of resilience not being a coping process, but actively establishing mechanisms of surviving in an uncertain situation.</w:t>
      </w:r>
    </w:p>
    <w:p w14:paraId="2F57E327" w14:textId="68654B13" w:rsidR="00585A13"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Lastly, the emphasis on Self-Awareness was necessary to determine what my brand will consist of. The exercises that prompted the assessment of the current soft and hard skills were essential (Week 2). The most vital starting point of personal branding according to Armstrong (2012) is self-awareness, a process one cannot sell a value that he does not even know. When I actively discovered my existing strengths (i.e., communication and critical thinking (soft skills)) and the one I am in the process of developing (i.e., clinical knowledge (hard skills)), I was able to understand what it takes to describe my coherent and natural professional image that will help me work within the health and social care sector</w:t>
      </w:r>
      <w:r w:rsidR="00585A13" w:rsidRPr="00585A13">
        <w:rPr>
          <w:rFonts w:ascii="Arial" w:eastAsia="Times New Roman" w:hAnsi="Arial" w:cs="Arial"/>
          <w:color w:val="1F1F1F"/>
          <w:kern w:val="0"/>
          <w:lang w:eastAsia="en-GB"/>
          <w14:ligatures w14:val="none"/>
        </w:rPr>
        <w:t xml:space="preserve">. </w:t>
      </w:r>
    </w:p>
    <w:p w14:paraId="56FB6144" w14:textId="77777777" w:rsidR="00585A13" w:rsidRPr="00585A13" w:rsidRDefault="00585A13" w:rsidP="006E5EEB">
      <w:pPr>
        <w:spacing w:after="0" w:line="360" w:lineRule="auto"/>
        <w:jc w:val="both"/>
        <w:rPr>
          <w:rFonts w:ascii="Arial" w:eastAsia="Times New Roman" w:hAnsi="Arial" w:cs="Arial"/>
          <w:color w:val="1F1F1F"/>
          <w:kern w:val="0"/>
          <w:lang w:eastAsia="en-GB"/>
          <w14:ligatures w14:val="none"/>
        </w:rPr>
      </w:pPr>
    </w:p>
    <w:p w14:paraId="59B20E55" w14:textId="4CF6DE1D"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2" w:name="_Toc216635208"/>
      <w:r w:rsidRPr="00585A13">
        <w:rPr>
          <w:rFonts w:ascii="Arial" w:eastAsia="Times New Roman" w:hAnsi="Arial" w:cs="Arial"/>
          <w:b/>
          <w:bCs/>
          <w:color w:val="1F1F1F"/>
          <w:kern w:val="0"/>
          <w:lang w:eastAsia="en-GB"/>
          <w14:ligatures w14:val="none"/>
        </w:rPr>
        <w:t>Task 2 - Reflection on Unit 2: It's a Small World</w:t>
      </w:r>
      <w:bookmarkEnd w:id="2"/>
      <w:r w:rsidRPr="00585A13">
        <w:rPr>
          <w:rFonts w:ascii="Arial" w:eastAsia="Times New Roman" w:hAnsi="Arial" w:cs="Arial"/>
          <w:b/>
          <w:bCs/>
          <w:color w:val="1F1F1F"/>
          <w:kern w:val="0"/>
          <w:lang w:eastAsia="en-GB"/>
          <w14:ligatures w14:val="none"/>
        </w:rPr>
        <w:t xml:space="preserve"> </w:t>
      </w:r>
    </w:p>
    <w:p w14:paraId="26676B10"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Unit 2, It is a small world, posed a challenge to go beyond the local scope of my professional vision and critically turn my attention to the global relations and complex systems that comprise contemporary health and social care. The issues discussed primarily were the legislative and political background of care, including the Health and Care Act 2022 (Week 3), the vital role of multi-agency and collaboration in working, and duality of networks and hierarchies in the professional organization (Week 4). These subjects played a crucial role in informing me of the role of macro-level policies and micro-level interaction among professionals in the context of delivering the service.</w:t>
      </w:r>
    </w:p>
    <w:p w14:paraId="6882FFC7"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 xml:space="preserve">I cogitate the fact that the study of the policy and frameworks of collaboration was a great influence on my perception of the global world. The literature presented during the lectures revealed that global healthcare issues, including pandemics and resource distribution are topics of global concern and that ought to be addressed locally but with a globally culture awareness (Week 3). This insight demonstrated the </w:t>
      </w:r>
      <w:r w:rsidRPr="006E5EEB">
        <w:rPr>
          <w:rFonts w:ascii="Arial" w:eastAsia="Times New Roman" w:hAnsi="Arial" w:cs="Arial"/>
          <w:color w:val="1F1F1F"/>
          <w:kern w:val="0"/>
          <w:lang w:eastAsia="en-GB"/>
          <w14:ligatures w14:val="none"/>
        </w:rPr>
        <w:lastRenderedPageBreak/>
        <w:t>need placed on integrated working which is frequently a requirement in legislation and where health and social care practitioners are required to work across organisational boundaries. This understanding has narrowed down my professional brand by specializing in the competencies that lead to successful collaboration, including negotiation and knowledge about statutory guidance (NHS England, 2023).</w:t>
      </w:r>
    </w:p>
    <w:p w14:paraId="15381075" w14:textId="5A3AEA03" w:rsidR="00585A13"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Moreover, it is that the unit had gone deep into the Network Society and Professional Networking which exposed me to the interconnectedness of the field (Week 4). I proactively digested the meaning of networking as the activity of communicating with people and sharing information and building professional contacts (Gibson, Hardy, and Buckley, 2014). Active voice, I understand that I have to actively develop my professional network not just to find a job but to constantly share knowledge and conduct an ethical discussion. Bureaucracy and the hierarchy that characterises most of the large health organisations were compared with flexibility and responsiveness of professional networks</w:t>
      </w:r>
      <w:r w:rsidR="00585A13" w:rsidRPr="00585A13">
        <w:rPr>
          <w:rFonts w:ascii="Arial" w:eastAsia="Times New Roman" w:hAnsi="Arial" w:cs="Arial"/>
          <w:color w:val="1F1F1F"/>
          <w:kern w:val="0"/>
          <w:lang w:eastAsia="en-GB"/>
          <w14:ligatures w14:val="none"/>
        </w:rPr>
        <w:t>.</w:t>
      </w:r>
    </w:p>
    <w:p w14:paraId="416C5858" w14:textId="77777777" w:rsidR="00585A13" w:rsidRPr="00585A13" w:rsidRDefault="00585A13" w:rsidP="006E5EEB">
      <w:pPr>
        <w:spacing w:after="0" w:line="360" w:lineRule="auto"/>
        <w:jc w:val="both"/>
        <w:rPr>
          <w:rFonts w:ascii="Arial" w:eastAsia="Times New Roman" w:hAnsi="Arial" w:cs="Arial"/>
          <w:color w:val="1F1F1F"/>
          <w:kern w:val="0"/>
          <w:lang w:eastAsia="en-GB"/>
          <w14:ligatures w14:val="none"/>
        </w:rPr>
      </w:pPr>
    </w:p>
    <w:p w14:paraId="22DC17F8" w14:textId="16FB6177"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3" w:name="_Toc216635209"/>
      <w:r w:rsidRPr="00585A13">
        <w:rPr>
          <w:rFonts w:ascii="Arial" w:eastAsia="Times New Roman" w:hAnsi="Arial" w:cs="Arial"/>
          <w:b/>
          <w:bCs/>
          <w:color w:val="1F1F1F"/>
          <w:kern w:val="0"/>
          <w:lang w:eastAsia="en-GB"/>
          <w14:ligatures w14:val="none"/>
        </w:rPr>
        <w:t>Task 3 - Reflection on Unit 3: Opportunity Knocks</w:t>
      </w:r>
      <w:bookmarkEnd w:id="3"/>
      <w:r w:rsidRPr="00585A13">
        <w:rPr>
          <w:rFonts w:ascii="Arial" w:eastAsia="Times New Roman" w:hAnsi="Arial" w:cs="Arial"/>
          <w:b/>
          <w:bCs/>
          <w:color w:val="1F1F1F"/>
          <w:kern w:val="0"/>
          <w:lang w:eastAsia="en-GB"/>
          <w14:ligatures w14:val="none"/>
        </w:rPr>
        <w:t xml:space="preserve"> </w:t>
      </w:r>
    </w:p>
    <w:p w14:paraId="162D54E3"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Unit 3, Opportunity Knocks, offered an essential reconsideration of the way professionals perceive, search and exploit developmental opportunities. The discussions within the unit were based on the mindset with such notions as the serendipity mindset, the necessity to provide professional work values, and how a professional online presence can be established strategically, including blogging (Week 5; Week 6). Such issues directly assisted me to identify and leverage the opportunities applicable to my personal and professional growth because I no longer viewed things passively, expecting to find opportunities but instead created them literally.</w:t>
      </w:r>
    </w:p>
    <w:p w14:paraId="641E4D66"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One of them, which helped me change my mind about this subject, was the Serendipity Mindset. According to the lectures, serendipity was not pure luck, but the art of accidental discoveries, which performed well (</w:t>
      </w:r>
      <w:proofErr w:type="spellStart"/>
      <w:r w:rsidRPr="006E5EEB">
        <w:rPr>
          <w:rFonts w:ascii="Arial" w:eastAsia="Times New Roman" w:hAnsi="Arial" w:cs="Arial"/>
          <w:color w:val="1F1F1F"/>
          <w:kern w:val="0"/>
          <w:lang w:eastAsia="en-GB"/>
          <w14:ligatures w14:val="none"/>
        </w:rPr>
        <w:t>Heinstrom</w:t>
      </w:r>
      <w:proofErr w:type="spellEnd"/>
      <w:r w:rsidRPr="006E5EEB">
        <w:rPr>
          <w:rFonts w:ascii="Arial" w:eastAsia="Times New Roman" w:hAnsi="Arial" w:cs="Arial"/>
          <w:color w:val="1F1F1F"/>
          <w:kern w:val="0"/>
          <w:lang w:eastAsia="en-GB"/>
          <w14:ligatures w14:val="none"/>
        </w:rPr>
        <w:t xml:space="preserve"> and Sormunen, 2020). This attitude will motivate practitioners to be open, curious, and well-networked to the extent that any time unforeseen opportunities arise, then they are prepared to see it and use it to their benefit (Week 5). I also discovered that the key to a good career can be gained in the care industry through a chance encounter or a research article that is off topic. This has enabled me to be proactive in pursuing diverse experiences and to </w:t>
      </w:r>
      <w:r w:rsidRPr="006E5EEB">
        <w:rPr>
          <w:rFonts w:ascii="Arial" w:eastAsia="Times New Roman" w:hAnsi="Arial" w:cs="Arial"/>
          <w:color w:val="1F1F1F"/>
          <w:kern w:val="0"/>
          <w:lang w:eastAsia="en-GB"/>
          <w14:ligatures w14:val="none"/>
        </w:rPr>
        <w:lastRenderedPageBreak/>
        <w:t>have a state of preparedness and consider any professional engagement as a gateway of opportunity.</w:t>
      </w:r>
    </w:p>
    <w:p w14:paraId="798C2016"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To this was the topic on the Work Values, namely, intrinsic, extrinsic and lifestyle values (Week 5). Through critical self-examination of what actually drives me, whether it is a sort of satisfaction inherent in serving others, or a disposition like earning money or sustaining a certain lifestyle, I was able to get a better picture of what to evaluate in a career choice. The necessity of the given self-assessment is that the ability to match the professional opportunities to personal values, as Pina e Cunha et al. (2017) concur, is a precondition of long-term job satisfaction and sustainability of careers. This will enable me to comfortably make decisions that will serve more than just the purpose of enhancing my skills, but also meet my more significant personal and professional desires.</w:t>
      </w:r>
    </w:p>
    <w:p w14:paraId="48358E9A" w14:textId="1DB0AEB4" w:rsidR="00585A13"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Lastly, the practice on Creating a Professional Online Presence and Blogging was a lesson of professional development that was not only actionable but also useful on weekly level (Week 6). The realization that good online presence grants access to new opportunities, such as employment due to display of professionalism and knowledge base (Jones, 2015) served as a compelling driving force. I now understand that the LinkedIn and professional blogging tools are more than social resources, but are indeed impacting tools that can enable me to add to professional discussed issues, seek opportunities, and exhibit my interest in evidence-based practice (Aveyard and Sharp, 2017). This has facilitated me to effectively incorporate the use of my online practices in the strategic market of my professional identity and professional competency in the health and social care profession</w:t>
      </w:r>
      <w:r w:rsidR="00585A13" w:rsidRPr="00585A13">
        <w:rPr>
          <w:rFonts w:ascii="Arial" w:eastAsia="Times New Roman" w:hAnsi="Arial" w:cs="Arial"/>
          <w:color w:val="1F1F1F"/>
          <w:kern w:val="0"/>
          <w:lang w:eastAsia="en-GB"/>
          <w14:ligatures w14:val="none"/>
        </w:rPr>
        <w:t>.</w:t>
      </w:r>
    </w:p>
    <w:p w14:paraId="60AC9D29" w14:textId="77777777" w:rsidR="00585A13" w:rsidRPr="00585A13" w:rsidRDefault="00585A13" w:rsidP="006E5EEB">
      <w:pPr>
        <w:spacing w:after="0" w:line="360" w:lineRule="auto"/>
        <w:jc w:val="both"/>
        <w:rPr>
          <w:rFonts w:ascii="Arial" w:eastAsia="Times New Roman" w:hAnsi="Arial" w:cs="Arial"/>
          <w:color w:val="1F1F1F"/>
          <w:kern w:val="0"/>
          <w:lang w:eastAsia="en-GB"/>
          <w14:ligatures w14:val="none"/>
        </w:rPr>
      </w:pPr>
    </w:p>
    <w:p w14:paraId="49AC7B2B" w14:textId="44D6CAE0"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4" w:name="_Toc216635210"/>
      <w:r w:rsidRPr="00585A13">
        <w:rPr>
          <w:rFonts w:ascii="Arial" w:eastAsia="Times New Roman" w:hAnsi="Arial" w:cs="Arial"/>
          <w:b/>
          <w:bCs/>
          <w:color w:val="1F1F1F"/>
          <w:kern w:val="0"/>
          <w:lang w:eastAsia="en-GB"/>
          <w14:ligatures w14:val="none"/>
        </w:rPr>
        <w:t>Task 4 - Reflection on Unit 4: The Pursuit of Happiness and Conclusion</w:t>
      </w:r>
      <w:bookmarkEnd w:id="4"/>
      <w:r w:rsidRPr="00585A13">
        <w:rPr>
          <w:rFonts w:ascii="Arial" w:eastAsia="Times New Roman" w:hAnsi="Arial" w:cs="Arial"/>
          <w:b/>
          <w:bCs/>
          <w:color w:val="1F1F1F"/>
          <w:kern w:val="0"/>
          <w:lang w:eastAsia="en-GB"/>
          <w14:ligatures w14:val="none"/>
        </w:rPr>
        <w:t xml:space="preserve"> </w:t>
      </w:r>
    </w:p>
    <w:p w14:paraId="5AE2DB82"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Unit 4, The Pursuit of Happiness, provided invaluable information on how to maintain professional momentum, flexibility and resilience in a constantly evolving industry. The psychological concepts that were discussed at the unit included overcoming limiting beliefs and building grit, as well as adjusting to the radical effect of technology and its resulting precariousness (Week 7; Week 8). The knowledge I gained throughout this unit resulted in the fact that I understood the importance of sustaining my career by focusing on the mindset and constant adaptation as the fundamental needs of the profession in the long term.</w:t>
      </w:r>
    </w:p>
    <w:p w14:paraId="4C0BDF32" w14:textId="77777777" w:rsidR="006E5EEB" w:rsidRPr="006E5EEB"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lastRenderedPageBreak/>
        <w:t>One of the main strengths required to achieve through this unit was the detailed study on Grit, which was discussed as the persistence and interest in achieving a long-term goal (Duckworth et al., 2007). There was a series of lectures about how success in the profession, particularly in a high-stress profession such as health and social care can be more about sheer ability and less about hard work and indomitable dedication (in other words, grit) (Week 7). This understanding has now been the backbone of my performance when it comes to addressing the failure. Rather than regarding failures to be final, I now regard them as feedback loops, and that new zeal and strategic perseverance is needed as a way of meeting stretch goals. The concern of identifying and transcending Limiting Beliefs, subconscious thoughts that restrict potential (Meadows, 2015) was what served as the set of psychological tools to help develop this gritty thinking and fortify the positive self-talk and resilience (Week 7).</w:t>
      </w:r>
    </w:p>
    <w:p w14:paraId="1CE3CF5C" w14:textId="50594854" w:rsidR="00585A13" w:rsidRPr="00585A13" w:rsidRDefault="006E5EEB" w:rsidP="006E5EEB">
      <w:pPr>
        <w:spacing w:after="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The other aspect that needed to be approached with critical need and urgency was that of the Impact of Technological Change and Antifragility (Week 8). The module indicated that, although technology is changing care, it has its own potential threats, including digital illiteracy, as well as patient disenfranchisement (Sheikh et al., 2021). Treading the topic of antifragile thinking the idea of benefitting and prospering through disorder was a strong initial step towards professional longevity (Larsson and Tacking, 2023). Rather than just being the resilient (stable with shock), I have learned to actively place myself in a position to take advantage of technological turbulence by adopting new training, growing digital capabilities, and finding mentors to help me through the twists and turns of a system upgrade (Klinge, 2015). Such a proactive attitude to technological change has become the core part of my future work support</w:t>
      </w:r>
      <w:r w:rsidR="00585A13" w:rsidRPr="00585A13">
        <w:rPr>
          <w:rFonts w:ascii="Arial" w:eastAsia="Times New Roman" w:hAnsi="Arial" w:cs="Arial"/>
          <w:color w:val="1F1F1F"/>
          <w:kern w:val="0"/>
          <w:lang w:eastAsia="en-GB"/>
          <w14:ligatures w14:val="none"/>
        </w:rPr>
        <w:t>.</w:t>
      </w:r>
    </w:p>
    <w:p w14:paraId="44B9A6F8" w14:textId="77777777" w:rsidR="00585A13" w:rsidRPr="00585A13" w:rsidRDefault="00585A13" w:rsidP="006E5EEB">
      <w:pPr>
        <w:spacing w:after="0" w:line="360" w:lineRule="auto"/>
        <w:jc w:val="both"/>
        <w:rPr>
          <w:rFonts w:ascii="Arial" w:eastAsia="Times New Roman" w:hAnsi="Arial" w:cs="Arial"/>
          <w:color w:val="1F1F1F"/>
          <w:kern w:val="0"/>
          <w:lang w:eastAsia="en-GB"/>
          <w14:ligatures w14:val="none"/>
        </w:rPr>
      </w:pPr>
    </w:p>
    <w:p w14:paraId="351457A1" w14:textId="4C951E47"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5" w:name="_Toc216635211"/>
      <w:r w:rsidRPr="00585A13">
        <w:rPr>
          <w:rFonts w:ascii="Arial" w:eastAsia="Times New Roman" w:hAnsi="Arial" w:cs="Arial"/>
          <w:b/>
          <w:bCs/>
          <w:color w:val="1F1F1F"/>
          <w:kern w:val="0"/>
          <w:lang w:eastAsia="en-GB"/>
          <w14:ligatures w14:val="none"/>
        </w:rPr>
        <w:t>Conclusion</w:t>
      </w:r>
      <w:bookmarkEnd w:id="5"/>
    </w:p>
    <w:p w14:paraId="3B2FBF76" w14:textId="77777777" w:rsidR="006E5EEB" w:rsidRPr="006E5EEB" w:rsidRDefault="006E5EEB" w:rsidP="006E5EEB">
      <w:pPr>
        <w:spacing w:after="24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 xml:space="preserve">Altogether, the module on changemakers has been an invaluable asset with regard to helping me convert my concept of career development into a responsive process into a strategic enterprise. This trip started with the most important inward focus of Unit 1 when such concepts as Emotional Intelligence and Self-Awareness determined the genuine essence of my personal brand. In Unit 2, this started to be built upon, and this gave me the essential contextual background of global interconnectedness and professional networking to make my way through the policy-based environment in health and social care. The following education of Unit 3 offered </w:t>
      </w:r>
      <w:r w:rsidRPr="006E5EEB">
        <w:rPr>
          <w:rFonts w:ascii="Arial" w:eastAsia="Times New Roman" w:hAnsi="Arial" w:cs="Arial"/>
          <w:color w:val="1F1F1F"/>
          <w:kern w:val="0"/>
          <w:lang w:eastAsia="en-GB"/>
          <w14:ligatures w14:val="none"/>
        </w:rPr>
        <w:lastRenderedPageBreak/>
        <w:t xml:space="preserve">the tools of active opportunity creation and regardless importance on the strategic strength of a Serendipity Mindset and a properly defined professional online presence. </w:t>
      </w:r>
    </w:p>
    <w:p w14:paraId="68728584" w14:textId="1ADA13A1" w:rsidR="00585A13" w:rsidRPr="00585A13" w:rsidRDefault="006E5EEB" w:rsidP="006E5EEB">
      <w:pPr>
        <w:spacing w:after="240" w:line="360" w:lineRule="auto"/>
        <w:ind w:firstLine="720"/>
        <w:jc w:val="both"/>
        <w:rPr>
          <w:rFonts w:ascii="Arial" w:eastAsia="Times New Roman" w:hAnsi="Arial" w:cs="Arial"/>
          <w:color w:val="1F1F1F"/>
          <w:kern w:val="0"/>
          <w:lang w:eastAsia="en-GB"/>
          <w14:ligatures w14:val="none"/>
        </w:rPr>
      </w:pPr>
      <w:r w:rsidRPr="006E5EEB">
        <w:rPr>
          <w:rFonts w:ascii="Arial" w:eastAsia="Times New Roman" w:hAnsi="Arial" w:cs="Arial"/>
          <w:color w:val="1F1F1F"/>
          <w:kern w:val="0"/>
          <w:lang w:eastAsia="en-GB"/>
          <w14:ligatures w14:val="none"/>
        </w:rPr>
        <w:t>Lastly, Unit 4 taught me the psychological toughness needed to be sustainable, emphasizing the value of Grit, getting past constraining beliefs, and adopting Antifragility when I faced the challenge of a fast-changing technological environment. This acquired knowledge and fine-tuned abilities of thinking and behaving as gained during these units that include critical self-reflection to strategic networking and adaptability will be an efficient platform since it will warrant my constant professional development and guarantees that I will remain relevant and gainable in the ever-changing and challenging arena of health and social care</w:t>
      </w:r>
      <w:r w:rsidR="00585A13" w:rsidRPr="00585A13">
        <w:rPr>
          <w:rFonts w:ascii="Arial" w:eastAsia="Times New Roman" w:hAnsi="Arial" w:cs="Arial"/>
          <w:color w:val="1F1F1F"/>
          <w:kern w:val="0"/>
          <w:lang w:eastAsia="en-GB"/>
          <w14:ligatures w14:val="none"/>
        </w:rPr>
        <w:t>.</w:t>
      </w:r>
    </w:p>
    <w:p w14:paraId="028B2400" w14:textId="77777777" w:rsidR="00585A13" w:rsidRPr="006E5EEB" w:rsidRDefault="00585A13" w:rsidP="006E5EEB">
      <w:pPr>
        <w:spacing w:line="360" w:lineRule="auto"/>
        <w:rPr>
          <w:rFonts w:ascii="Arial" w:eastAsia="Times New Roman" w:hAnsi="Arial" w:cs="Arial"/>
          <w:b/>
          <w:bCs/>
          <w:color w:val="1F1F1F"/>
          <w:kern w:val="0"/>
          <w:lang w:eastAsia="en-GB"/>
          <w14:ligatures w14:val="none"/>
        </w:rPr>
      </w:pPr>
      <w:r w:rsidRPr="006E5EEB">
        <w:rPr>
          <w:rFonts w:ascii="Arial" w:eastAsia="Times New Roman" w:hAnsi="Arial" w:cs="Arial"/>
          <w:b/>
          <w:bCs/>
          <w:color w:val="1F1F1F"/>
          <w:kern w:val="0"/>
          <w:lang w:eastAsia="en-GB"/>
          <w14:ligatures w14:val="none"/>
        </w:rPr>
        <w:br w:type="page"/>
      </w:r>
    </w:p>
    <w:p w14:paraId="0C79047B" w14:textId="4C01F7C5" w:rsidR="00585A13" w:rsidRPr="00585A13" w:rsidRDefault="00585A13" w:rsidP="006E5EEB">
      <w:pPr>
        <w:spacing w:after="120" w:line="360" w:lineRule="auto"/>
        <w:jc w:val="both"/>
        <w:outlineLvl w:val="1"/>
        <w:rPr>
          <w:rFonts w:ascii="Arial" w:eastAsia="Times New Roman" w:hAnsi="Arial" w:cs="Arial"/>
          <w:b/>
          <w:bCs/>
          <w:color w:val="1F1F1F"/>
          <w:kern w:val="0"/>
          <w:lang w:eastAsia="en-GB"/>
          <w14:ligatures w14:val="none"/>
        </w:rPr>
      </w:pPr>
      <w:bookmarkStart w:id="6" w:name="_Toc216635212"/>
      <w:r w:rsidRPr="00585A13">
        <w:rPr>
          <w:rFonts w:ascii="Arial" w:eastAsia="Times New Roman" w:hAnsi="Arial" w:cs="Arial"/>
          <w:b/>
          <w:bCs/>
          <w:color w:val="1F1F1F"/>
          <w:kern w:val="0"/>
          <w:lang w:eastAsia="en-GB"/>
          <w14:ligatures w14:val="none"/>
        </w:rPr>
        <w:lastRenderedPageBreak/>
        <w:t>References</w:t>
      </w:r>
      <w:bookmarkEnd w:id="6"/>
    </w:p>
    <w:p w14:paraId="3CD15EA8"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Armstrong, C. (2012). The Self-Aware Leader: A Guide to Recognizing Your Own Strengths and Weaknesses and Building on the Good. Routledge.</w:t>
      </w:r>
    </w:p>
    <w:p w14:paraId="472929CC"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Aveyard, H. and Sharp, P. (2017). EBOOK: A Beginners Guide to Evidence Based Practice in Health and Social Care. McGraw-Hill Education (UK).</w:t>
      </w:r>
    </w:p>
    <w:p w14:paraId="11355DFD"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Duckworth, A.L., Peterson, C., Matthews, M.D. and Kelly, D.R. (2007). Grit: perseverance and passion for long-term goals. Journal of personality and social psychology, 92(6), pp.1087-1101.</w:t>
      </w:r>
    </w:p>
    <w:p w14:paraId="47637572"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Entwistle, V.A., Cribb, A. and Owens, J. (2018) Why health and social care support for people with long-term conditions should be oriented towards enabling them to live well. Health care analysis, 26, pp.48-65.</w:t>
      </w:r>
    </w:p>
    <w:p w14:paraId="4D9D7BA4"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Gibson, C., Hardy III, J. and Ronald Buckley, M. (2014). Understanding the role of networking in organizations. Career Development International, 19(2), pp.146-161.</w:t>
      </w:r>
    </w:p>
    <w:p w14:paraId="2D9D2BA1"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Goleman, D. (1998). Working with Emotional Intelligence. Bantam Books.</w:t>
      </w:r>
    </w:p>
    <w:p w14:paraId="019F8C4B" w14:textId="77777777" w:rsidR="00585A13" w:rsidRPr="006E5EEB" w:rsidRDefault="00585A13" w:rsidP="006E5EEB">
      <w:pPr>
        <w:spacing w:line="360" w:lineRule="auto"/>
        <w:ind w:left="720" w:hanging="720"/>
        <w:jc w:val="both"/>
        <w:rPr>
          <w:rFonts w:ascii="Arial" w:hAnsi="Arial" w:cs="Arial"/>
        </w:rPr>
      </w:pPr>
      <w:proofErr w:type="spellStart"/>
      <w:r w:rsidRPr="006E5EEB">
        <w:rPr>
          <w:rFonts w:ascii="Arial" w:hAnsi="Arial" w:cs="Arial"/>
        </w:rPr>
        <w:t>Heinström</w:t>
      </w:r>
      <w:proofErr w:type="spellEnd"/>
      <w:r w:rsidRPr="006E5EEB">
        <w:rPr>
          <w:rFonts w:ascii="Arial" w:hAnsi="Arial" w:cs="Arial"/>
        </w:rPr>
        <w:t>, J. and Sormunen, E. (2020). Serendipity as chaos or discovery-exploring the role of personality and sense of coherence. Journal of Documentation.</w:t>
      </w:r>
    </w:p>
    <w:p w14:paraId="60D5D3B0"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Jones, J.M. (2015). Blog. Screen.</w:t>
      </w:r>
    </w:p>
    <w:p w14:paraId="0626FADB"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Klinge, C.M. (2015). A conceptual framework for mentoring in a learning organization. Adult learning, 26(4), pp.160-166.</w:t>
      </w:r>
    </w:p>
    <w:p w14:paraId="2072626D"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Larsson, J. and Tacking, N. (2023). Antifragility in Small Industry Companies: An Exploration of Resilience and Adaption.</w:t>
      </w:r>
    </w:p>
    <w:p w14:paraId="5F36B248"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Meadows, M. (2015). Confidence: How to overcome your limiting beliefs and achieve your goals. Meadows Publishing.</w:t>
      </w:r>
    </w:p>
    <w:p w14:paraId="50626752" w14:textId="31D0DFA5" w:rsidR="00585A13" w:rsidRPr="006E5EEB" w:rsidRDefault="00585A13" w:rsidP="006E5EEB">
      <w:pPr>
        <w:spacing w:line="360" w:lineRule="auto"/>
        <w:ind w:left="720" w:hanging="720"/>
        <w:jc w:val="both"/>
        <w:rPr>
          <w:rFonts w:ascii="Arial" w:hAnsi="Arial" w:cs="Arial"/>
        </w:rPr>
      </w:pPr>
      <w:r w:rsidRPr="006E5EEB">
        <w:rPr>
          <w:rFonts w:ascii="Arial" w:hAnsi="Arial" w:cs="Arial"/>
        </w:rPr>
        <w:t>NHS England (2023). Working in partnership with people and communities: statutory guidance. Available at: https://www.england.nhs.uk/long-read/working-in-partnership-with-people-and-communities-statutory-guidance/</w:t>
      </w:r>
    </w:p>
    <w:p w14:paraId="6A229598"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t>Pina e Cunha, M., Giustiniano, L., Rego, A. and Clegg, S. (2017). Strategy as a political and social process. Taylor &amp; Francis.</w:t>
      </w:r>
    </w:p>
    <w:p w14:paraId="4BD1DC22" w14:textId="77777777" w:rsidR="00585A13" w:rsidRPr="006E5EEB" w:rsidRDefault="00585A13" w:rsidP="006E5EEB">
      <w:pPr>
        <w:spacing w:line="360" w:lineRule="auto"/>
        <w:ind w:left="720" w:hanging="720"/>
        <w:jc w:val="both"/>
        <w:rPr>
          <w:rFonts w:ascii="Arial" w:hAnsi="Arial" w:cs="Arial"/>
        </w:rPr>
      </w:pPr>
      <w:r w:rsidRPr="006E5EEB">
        <w:rPr>
          <w:rFonts w:ascii="Arial" w:hAnsi="Arial" w:cs="Arial"/>
        </w:rPr>
        <w:lastRenderedPageBreak/>
        <w:t xml:space="preserve">Sheikh, A., Anderson, M., Albala, S., Casadei, B., Franklin, B.D., Richards, M., Taylor, D., Tibble, H. and </w:t>
      </w:r>
      <w:proofErr w:type="spellStart"/>
      <w:r w:rsidRPr="006E5EEB">
        <w:rPr>
          <w:rFonts w:ascii="Arial" w:hAnsi="Arial" w:cs="Arial"/>
        </w:rPr>
        <w:t>Mossialos</w:t>
      </w:r>
      <w:proofErr w:type="spellEnd"/>
      <w:r w:rsidRPr="006E5EEB">
        <w:rPr>
          <w:rFonts w:ascii="Arial" w:hAnsi="Arial" w:cs="Arial"/>
        </w:rPr>
        <w:t>, E. (2021). Health information technology and digital innovation for national learning health and care systems. The Lancet Digital Health, 3(6), pp.e391-e400.</w:t>
      </w:r>
    </w:p>
    <w:p w14:paraId="0213A1DB" w14:textId="790C691C" w:rsidR="000A396F" w:rsidRPr="006E5EEB" w:rsidRDefault="000A396F" w:rsidP="006E5EEB">
      <w:pPr>
        <w:spacing w:line="360" w:lineRule="auto"/>
        <w:jc w:val="both"/>
        <w:rPr>
          <w:rFonts w:ascii="Arial" w:hAnsi="Arial" w:cs="Arial"/>
        </w:rPr>
      </w:pPr>
    </w:p>
    <w:sectPr w:rsidR="000A396F" w:rsidRPr="006E5EEB" w:rsidSect="006E5EEB">
      <w:headerReference w:type="default" r:id="rId7"/>
      <w:pgSz w:w="11906" w:h="16838"/>
      <w:pgMar w:top="1440" w:right="1440" w:bottom="1440" w:left="1440" w:header="708" w:footer="708" w:gutter="0"/>
      <w:pgBorders w:display="firstPage" w:offsetFrom="page">
        <w:top w:val="threeDEmboss" w:sz="24" w:space="24" w:color="auto"/>
        <w:left w:val="threeDEmboss" w:sz="24" w:space="24" w:color="auto"/>
        <w:bottom w:val="threeDEngrave" w:sz="24" w:space="24" w:color="auto"/>
        <w:right w:val="threeDEngrave"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3EEE1" w14:textId="77777777" w:rsidR="008057C9" w:rsidRDefault="008057C9" w:rsidP="006E5EEB">
      <w:pPr>
        <w:spacing w:after="0" w:line="240" w:lineRule="auto"/>
      </w:pPr>
      <w:r>
        <w:separator/>
      </w:r>
    </w:p>
  </w:endnote>
  <w:endnote w:type="continuationSeparator" w:id="0">
    <w:p w14:paraId="5A0F0E0F" w14:textId="77777777" w:rsidR="008057C9" w:rsidRDefault="008057C9" w:rsidP="006E5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5BB34" w14:textId="77777777" w:rsidR="008057C9" w:rsidRDefault="008057C9" w:rsidP="006E5EEB">
      <w:pPr>
        <w:spacing w:after="0" w:line="240" w:lineRule="auto"/>
      </w:pPr>
      <w:r>
        <w:separator/>
      </w:r>
    </w:p>
  </w:footnote>
  <w:footnote w:type="continuationSeparator" w:id="0">
    <w:p w14:paraId="4D3B6C21" w14:textId="77777777" w:rsidR="008057C9" w:rsidRDefault="008057C9" w:rsidP="006E5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871445114"/>
      <w:docPartObj>
        <w:docPartGallery w:val="Page Numbers (Top of Page)"/>
        <w:docPartUnique/>
      </w:docPartObj>
    </w:sdtPr>
    <w:sdtEndPr>
      <w:rPr>
        <w:noProof/>
      </w:rPr>
    </w:sdtEndPr>
    <w:sdtContent>
      <w:p w14:paraId="61882C12" w14:textId="3325B26A" w:rsidR="006E5EEB" w:rsidRPr="006E5EEB" w:rsidRDefault="006E5EEB">
        <w:pPr>
          <w:pStyle w:val="Header"/>
          <w:jc w:val="right"/>
          <w:rPr>
            <w:rFonts w:ascii="Arial" w:hAnsi="Arial" w:cs="Arial"/>
          </w:rPr>
        </w:pPr>
        <w:r w:rsidRPr="006E5EEB">
          <w:rPr>
            <w:rFonts w:ascii="Arial" w:hAnsi="Arial" w:cs="Arial"/>
          </w:rPr>
          <w:fldChar w:fldCharType="begin"/>
        </w:r>
        <w:r w:rsidRPr="006E5EEB">
          <w:rPr>
            <w:rFonts w:ascii="Arial" w:hAnsi="Arial" w:cs="Arial"/>
          </w:rPr>
          <w:instrText xml:space="preserve"> PAGE   \* MERGEFORMAT </w:instrText>
        </w:r>
        <w:r w:rsidRPr="006E5EEB">
          <w:rPr>
            <w:rFonts w:ascii="Arial" w:hAnsi="Arial" w:cs="Arial"/>
          </w:rPr>
          <w:fldChar w:fldCharType="separate"/>
        </w:r>
        <w:r w:rsidRPr="006E5EEB">
          <w:rPr>
            <w:rFonts w:ascii="Arial" w:hAnsi="Arial" w:cs="Arial"/>
            <w:noProof/>
          </w:rPr>
          <w:t>2</w:t>
        </w:r>
        <w:r w:rsidRPr="006E5EEB">
          <w:rPr>
            <w:rFonts w:ascii="Arial" w:hAnsi="Arial" w:cs="Arial"/>
            <w:noProof/>
          </w:rPr>
          <w:fldChar w:fldCharType="end"/>
        </w:r>
      </w:p>
    </w:sdtContent>
  </w:sdt>
  <w:p w14:paraId="0DB1E3F7" w14:textId="77777777" w:rsidR="006E5EEB" w:rsidRPr="006E5EEB" w:rsidRDefault="006E5EEB">
    <w:pPr>
      <w:pStyle w:val="Header"/>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96F"/>
    <w:rsid w:val="00064801"/>
    <w:rsid w:val="000A396F"/>
    <w:rsid w:val="00375488"/>
    <w:rsid w:val="004B4F63"/>
    <w:rsid w:val="00585A13"/>
    <w:rsid w:val="006E5EEB"/>
    <w:rsid w:val="008057C9"/>
    <w:rsid w:val="00966953"/>
    <w:rsid w:val="009D4C4F"/>
    <w:rsid w:val="00B52240"/>
    <w:rsid w:val="00D76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4149"/>
  <w15:chartTrackingRefBased/>
  <w15:docId w15:val="{DBF2D6B4-C804-49C6-ABF8-2B1C46F6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9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A39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A39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A39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39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39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39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39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39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9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A39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A39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A39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39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3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3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3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396F"/>
    <w:rPr>
      <w:rFonts w:eastAsiaTheme="majorEastAsia" w:cstheme="majorBidi"/>
      <w:color w:val="272727" w:themeColor="text1" w:themeTint="D8"/>
    </w:rPr>
  </w:style>
  <w:style w:type="paragraph" w:styleId="Title">
    <w:name w:val="Title"/>
    <w:basedOn w:val="Normal"/>
    <w:next w:val="Normal"/>
    <w:link w:val="TitleChar"/>
    <w:uiPriority w:val="10"/>
    <w:qFormat/>
    <w:rsid w:val="000A3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3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3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3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396F"/>
    <w:pPr>
      <w:spacing w:before="160"/>
      <w:jc w:val="center"/>
    </w:pPr>
    <w:rPr>
      <w:i/>
      <w:iCs/>
      <w:color w:val="404040" w:themeColor="text1" w:themeTint="BF"/>
    </w:rPr>
  </w:style>
  <w:style w:type="character" w:customStyle="1" w:styleId="QuoteChar">
    <w:name w:val="Quote Char"/>
    <w:basedOn w:val="DefaultParagraphFont"/>
    <w:link w:val="Quote"/>
    <w:uiPriority w:val="29"/>
    <w:rsid w:val="000A396F"/>
    <w:rPr>
      <w:i/>
      <w:iCs/>
      <w:color w:val="404040" w:themeColor="text1" w:themeTint="BF"/>
    </w:rPr>
  </w:style>
  <w:style w:type="paragraph" w:styleId="ListParagraph">
    <w:name w:val="List Paragraph"/>
    <w:basedOn w:val="Normal"/>
    <w:uiPriority w:val="34"/>
    <w:qFormat/>
    <w:rsid w:val="000A396F"/>
    <w:pPr>
      <w:ind w:left="720"/>
      <w:contextualSpacing/>
    </w:pPr>
  </w:style>
  <w:style w:type="character" w:styleId="IntenseEmphasis">
    <w:name w:val="Intense Emphasis"/>
    <w:basedOn w:val="DefaultParagraphFont"/>
    <w:uiPriority w:val="21"/>
    <w:qFormat/>
    <w:rsid w:val="000A396F"/>
    <w:rPr>
      <w:i/>
      <w:iCs/>
      <w:color w:val="2F5496" w:themeColor="accent1" w:themeShade="BF"/>
    </w:rPr>
  </w:style>
  <w:style w:type="paragraph" w:styleId="IntenseQuote">
    <w:name w:val="Intense Quote"/>
    <w:basedOn w:val="Normal"/>
    <w:next w:val="Normal"/>
    <w:link w:val="IntenseQuoteChar"/>
    <w:uiPriority w:val="30"/>
    <w:qFormat/>
    <w:rsid w:val="000A39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396F"/>
    <w:rPr>
      <w:i/>
      <w:iCs/>
      <w:color w:val="2F5496" w:themeColor="accent1" w:themeShade="BF"/>
    </w:rPr>
  </w:style>
  <w:style w:type="character" w:styleId="IntenseReference">
    <w:name w:val="Intense Reference"/>
    <w:basedOn w:val="DefaultParagraphFont"/>
    <w:uiPriority w:val="32"/>
    <w:qFormat/>
    <w:rsid w:val="000A396F"/>
    <w:rPr>
      <w:b/>
      <w:bCs/>
      <w:smallCaps/>
      <w:color w:val="2F5496" w:themeColor="accent1" w:themeShade="BF"/>
      <w:spacing w:val="5"/>
    </w:rPr>
  </w:style>
  <w:style w:type="character" w:styleId="Hyperlink">
    <w:name w:val="Hyperlink"/>
    <w:basedOn w:val="DefaultParagraphFont"/>
    <w:uiPriority w:val="99"/>
    <w:unhideWhenUsed/>
    <w:rsid w:val="000A396F"/>
    <w:rPr>
      <w:color w:val="0563C1" w:themeColor="hyperlink"/>
      <w:u w:val="single"/>
    </w:rPr>
  </w:style>
  <w:style w:type="character" w:styleId="UnresolvedMention">
    <w:name w:val="Unresolved Mention"/>
    <w:basedOn w:val="DefaultParagraphFont"/>
    <w:uiPriority w:val="99"/>
    <w:semiHidden/>
    <w:unhideWhenUsed/>
    <w:rsid w:val="000A396F"/>
    <w:rPr>
      <w:color w:val="605E5C"/>
      <w:shd w:val="clear" w:color="auto" w:fill="E1DFDD"/>
    </w:rPr>
  </w:style>
  <w:style w:type="paragraph" w:styleId="TOCHeading">
    <w:name w:val="TOC Heading"/>
    <w:basedOn w:val="Heading1"/>
    <w:next w:val="Normal"/>
    <w:uiPriority w:val="39"/>
    <w:unhideWhenUsed/>
    <w:qFormat/>
    <w:rsid w:val="00585A13"/>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85A13"/>
    <w:pPr>
      <w:spacing w:after="100"/>
      <w:ind w:left="240"/>
    </w:pPr>
  </w:style>
  <w:style w:type="paragraph" w:styleId="Header">
    <w:name w:val="header"/>
    <w:basedOn w:val="Normal"/>
    <w:link w:val="HeaderChar"/>
    <w:uiPriority w:val="99"/>
    <w:unhideWhenUsed/>
    <w:rsid w:val="006E5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EEB"/>
  </w:style>
  <w:style w:type="paragraph" w:styleId="Footer">
    <w:name w:val="footer"/>
    <w:basedOn w:val="Normal"/>
    <w:link w:val="FooterChar"/>
    <w:uiPriority w:val="99"/>
    <w:unhideWhenUsed/>
    <w:rsid w:val="006E5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B87BC-2DFE-4BAE-8AE6-48C76A9C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2416</Words>
  <Characters>13776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Lauren Dillon</cp:lastModifiedBy>
  <cp:revision>2</cp:revision>
  <dcterms:created xsi:type="dcterms:W3CDTF">2025-12-15T07:15:00Z</dcterms:created>
  <dcterms:modified xsi:type="dcterms:W3CDTF">2025-12-15T07:15:00Z</dcterms:modified>
</cp:coreProperties>
</file>