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00DCD" w14:textId="05EDB816" w:rsidR="00B149E8" w:rsidRDefault="00365132" w:rsidP="00B149E8">
      <w:r w:rsidRPr="00922363">
        <w:rPr>
          <w:rFonts w:ascii="Arial" w:hAnsi="Arial" w:cs="Arial"/>
          <w:noProof/>
        </w:rPr>
        <w:drawing>
          <wp:anchor distT="0" distB="0" distL="114300" distR="114300" simplePos="0" relativeHeight="251660288" behindDoc="1" locked="0" layoutInCell="1" allowOverlap="1" wp14:anchorId="3D077853" wp14:editId="6C6933A2">
            <wp:simplePos x="0" y="0"/>
            <wp:positionH relativeFrom="column">
              <wp:posOffset>1657350</wp:posOffset>
            </wp:positionH>
            <wp:positionV relativeFrom="paragraph">
              <wp:posOffset>0</wp:posOffset>
            </wp:positionV>
            <wp:extent cx="2867025" cy="1590675"/>
            <wp:effectExtent l="0" t="0" r="9525" b="9525"/>
            <wp:wrapTight wrapText="bothSides">
              <wp:wrapPolygon edited="0">
                <wp:start x="0" y="0"/>
                <wp:lineTo x="0" y="21471"/>
                <wp:lineTo x="21528" y="21471"/>
                <wp:lineTo x="215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anchor>
        </w:drawing>
      </w:r>
    </w:p>
    <w:p w14:paraId="087D6A27" w14:textId="6DCA5362" w:rsidR="005645FC" w:rsidRDefault="005645FC" w:rsidP="00B149E8">
      <w:pPr>
        <w:jc w:val="center"/>
      </w:pPr>
    </w:p>
    <w:p w14:paraId="42179351" w14:textId="77777777" w:rsidR="00365132" w:rsidRDefault="00365132" w:rsidP="00B149E8">
      <w:pPr>
        <w:spacing w:line="360" w:lineRule="auto"/>
        <w:jc w:val="center"/>
        <w:rPr>
          <w:rFonts w:ascii="Arial" w:hAnsi="Arial" w:cs="Arial"/>
          <w:sz w:val="28"/>
          <w:szCs w:val="28"/>
        </w:rPr>
      </w:pPr>
    </w:p>
    <w:p w14:paraId="1F60F1CB" w14:textId="77777777" w:rsidR="00365132" w:rsidRDefault="00365132" w:rsidP="00B149E8">
      <w:pPr>
        <w:spacing w:line="360" w:lineRule="auto"/>
        <w:jc w:val="center"/>
        <w:rPr>
          <w:rFonts w:ascii="Arial" w:hAnsi="Arial" w:cs="Arial"/>
          <w:sz w:val="28"/>
          <w:szCs w:val="28"/>
        </w:rPr>
      </w:pPr>
    </w:p>
    <w:p w14:paraId="68C4E5F1" w14:textId="77777777" w:rsidR="00365132" w:rsidRDefault="00365132" w:rsidP="00B149E8">
      <w:pPr>
        <w:spacing w:line="360" w:lineRule="auto"/>
        <w:jc w:val="center"/>
        <w:rPr>
          <w:rFonts w:ascii="Arial" w:hAnsi="Arial" w:cs="Arial"/>
          <w:sz w:val="28"/>
          <w:szCs w:val="28"/>
        </w:rPr>
      </w:pPr>
    </w:p>
    <w:p w14:paraId="6751E65F" w14:textId="64B62BFC" w:rsidR="00B149E8" w:rsidRPr="00B149E8" w:rsidRDefault="00B149E8" w:rsidP="00B149E8">
      <w:pPr>
        <w:spacing w:line="360" w:lineRule="auto"/>
        <w:jc w:val="center"/>
        <w:rPr>
          <w:rFonts w:ascii="Arial" w:hAnsi="Arial" w:cs="Arial"/>
          <w:sz w:val="28"/>
          <w:szCs w:val="28"/>
        </w:rPr>
      </w:pPr>
      <w:proofErr w:type="spellStart"/>
      <w:r w:rsidRPr="00B149E8">
        <w:rPr>
          <w:rFonts w:ascii="Arial" w:hAnsi="Arial" w:cs="Arial"/>
          <w:sz w:val="28"/>
          <w:szCs w:val="28"/>
        </w:rPr>
        <w:t>Program</w:t>
      </w:r>
      <w:r>
        <w:rPr>
          <w:rFonts w:ascii="Arial" w:hAnsi="Arial" w:cs="Arial"/>
          <w:sz w:val="28"/>
          <w:szCs w:val="28"/>
        </w:rPr>
        <w:t>me</w:t>
      </w:r>
      <w:proofErr w:type="spellEnd"/>
      <w:r w:rsidRPr="00B149E8">
        <w:rPr>
          <w:rFonts w:ascii="Arial" w:hAnsi="Arial" w:cs="Arial"/>
          <w:sz w:val="28"/>
          <w:szCs w:val="28"/>
        </w:rPr>
        <w:t xml:space="preserve">: Master of Business Administration </w:t>
      </w:r>
    </w:p>
    <w:p w14:paraId="4BFFB762" w14:textId="77777777"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 xml:space="preserve">Module: Financial Management </w:t>
      </w:r>
    </w:p>
    <w:p w14:paraId="2C2B0185" w14:textId="77777777"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 xml:space="preserve">Module code: LCMB7002 </w:t>
      </w:r>
    </w:p>
    <w:p w14:paraId="08E619C5" w14:textId="77777777" w:rsidR="00B149E8" w:rsidRPr="00B149E8" w:rsidRDefault="00B149E8" w:rsidP="00B149E8">
      <w:pPr>
        <w:spacing w:line="360" w:lineRule="auto"/>
        <w:jc w:val="center"/>
        <w:rPr>
          <w:rFonts w:ascii="Arial" w:hAnsi="Arial" w:cs="Arial"/>
          <w:sz w:val="28"/>
          <w:szCs w:val="28"/>
        </w:rPr>
      </w:pPr>
    </w:p>
    <w:p w14:paraId="7E7754DB" w14:textId="77777777"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Assignment Title: Financial Analysis of General Electronics</w:t>
      </w:r>
    </w:p>
    <w:p w14:paraId="42FF61E6" w14:textId="77777777" w:rsidR="00B149E8" w:rsidRPr="00B149E8" w:rsidRDefault="00B149E8" w:rsidP="00B149E8">
      <w:pPr>
        <w:spacing w:line="360" w:lineRule="auto"/>
        <w:jc w:val="center"/>
        <w:rPr>
          <w:rFonts w:ascii="Arial" w:hAnsi="Arial" w:cs="Arial"/>
          <w:sz w:val="28"/>
          <w:szCs w:val="28"/>
        </w:rPr>
      </w:pPr>
    </w:p>
    <w:p w14:paraId="5A5B96A2" w14:textId="389061F7"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 xml:space="preserve">Student Name: </w:t>
      </w:r>
      <w:r w:rsidR="00BC15DF" w:rsidRPr="00BC15DF">
        <w:rPr>
          <w:rFonts w:ascii="Arial" w:hAnsi="Arial" w:cs="Arial"/>
          <w:sz w:val="28"/>
          <w:szCs w:val="28"/>
        </w:rPr>
        <w:t>Nurul Hasan</w:t>
      </w:r>
    </w:p>
    <w:p w14:paraId="06AEBC24" w14:textId="77777777" w:rsidR="00B149E8" w:rsidRPr="00B149E8" w:rsidRDefault="00B149E8" w:rsidP="00B149E8">
      <w:pPr>
        <w:spacing w:line="360" w:lineRule="auto"/>
        <w:jc w:val="center"/>
        <w:rPr>
          <w:rFonts w:ascii="Arial" w:hAnsi="Arial" w:cs="Arial"/>
          <w:sz w:val="28"/>
          <w:szCs w:val="28"/>
        </w:rPr>
      </w:pPr>
    </w:p>
    <w:p w14:paraId="78746B25" w14:textId="5D2D3794"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 xml:space="preserve">Student ID: </w:t>
      </w:r>
      <w:r w:rsidR="00BC15DF" w:rsidRPr="00BC15DF">
        <w:rPr>
          <w:rFonts w:ascii="Arial" w:hAnsi="Arial" w:cs="Arial"/>
          <w:sz w:val="28"/>
          <w:szCs w:val="28"/>
        </w:rPr>
        <w:t>2509169</w:t>
      </w:r>
    </w:p>
    <w:p w14:paraId="253F61E1" w14:textId="77777777" w:rsidR="00B149E8" w:rsidRPr="00B149E8" w:rsidRDefault="00B149E8" w:rsidP="00B149E8">
      <w:pPr>
        <w:spacing w:line="360" w:lineRule="auto"/>
        <w:jc w:val="center"/>
        <w:rPr>
          <w:rFonts w:ascii="Arial" w:hAnsi="Arial" w:cs="Arial"/>
          <w:sz w:val="28"/>
          <w:szCs w:val="28"/>
        </w:rPr>
      </w:pPr>
    </w:p>
    <w:p w14:paraId="0B9ABCE6" w14:textId="7EAF920B"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 xml:space="preserve">Lecturer: </w:t>
      </w:r>
      <w:proofErr w:type="spellStart"/>
      <w:r w:rsidR="00BC15DF" w:rsidRPr="00BC15DF">
        <w:rPr>
          <w:rFonts w:ascii="Arial" w:hAnsi="Arial" w:cs="Arial"/>
          <w:sz w:val="28"/>
          <w:szCs w:val="28"/>
        </w:rPr>
        <w:t>Shengfeng</w:t>
      </w:r>
      <w:proofErr w:type="spellEnd"/>
      <w:r w:rsidR="00BC15DF" w:rsidRPr="00BC15DF">
        <w:rPr>
          <w:rFonts w:ascii="Arial" w:hAnsi="Arial" w:cs="Arial"/>
          <w:sz w:val="28"/>
          <w:szCs w:val="28"/>
        </w:rPr>
        <w:t xml:space="preserve"> Mei</w:t>
      </w:r>
    </w:p>
    <w:p w14:paraId="4A4D73F5" w14:textId="77777777" w:rsidR="00B149E8" w:rsidRPr="00B149E8" w:rsidRDefault="00B149E8" w:rsidP="00B149E8">
      <w:pPr>
        <w:spacing w:line="360" w:lineRule="auto"/>
        <w:jc w:val="center"/>
        <w:rPr>
          <w:rFonts w:ascii="Arial" w:hAnsi="Arial" w:cs="Arial"/>
          <w:sz w:val="28"/>
          <w:szCs w:val="28"/>
        </w:rPr>
      </w:pPr>
    </w:p>
    <w:p w14:paraId="186664E2" w14:textId="38655C59" w:rsidR="00B149E8" w:rsidRPr="00B149E8" w:rsidRDefault="00B149E8" w:rsidP="00B149E8">
      <w:pPr>
        <w:spacing w:line="360" w:lineRule="auto"/>
        <w:jc w:val="center"/>
        <w:rPr>
          <w:rFonts w:ascii="Arial" w:hAnsi="Arial" w:cs="Arial"/>
          <w:sz w:val="28"/>
          <w:szCs w:val="28"/>
        </w:rPr>
      </w:pPr>
      <w:r w:rsidRPr="00B149E8">
        <w:rPr>
          <w:rFonts w:ascii="Arial" w:hAnsi="Arial" w:cs="Arial"/>
          <w:sz w:val="28"/>
          <w:szCs w:val="28"/>
        </w:rPr>
        <w:t>Word Count:</w:t>
      </w:r>
      <w:r w:rsidR="00EC2335">
        <w:rPr>
          <w:rFonts w:ascii="Arial" w:hAnsi="Arial" w:cs="Arial"/>
          <w:sz w:val="28"/>
          <w:szCs w:val="28"/>
        </w:rPr>
        <w:t xml:space="preserve"> 54</w:t>
      </w:r>
      <w:r w:rsidR="00BE06C9">
        <w:rPr>
          <w:rFonts w:ascii="Arial" w:hAnsi="Arial" w:cs="Arial"/>
          <w:sz w:val="28"/>
          <w:szCs w:val="28"/>
        </w:rPr>
        <w:t>24</w:t>
      </w:r>
    </w:p>
    <w:p w14:paraId="11E70906" w14:textId="0ACCEBD2" w:rsidR="00B149E8" w:rsidRDefault="00B149E8">
      <w:r>
        <w:br w:type="page"/>
      </w:r>
    </w:p>
    <w:sdt>
      <w:sdtPr>
        <w:rPr>
          <w:rFonts w:asciiTheme="minorHAnsi" w:eastAsiaTheme="minorHAnsi" w:hAnsiTheme="minorHAnsi" w:cstheme="minorBidi"/>
          <w:noProof/>
          <w:sz w:val="22"/>
          <w:szCs w:val="22"/>
          <w:lang w:val="en-GB"/>
        </w:rPr>
        <w:id w:val="1237985281"/>
        <w:docPartObj>
          <w:docPartGallery w:val="Table of Contents"/>
          <w:docPartUnique/>
        </w:docPartObj>
      </w:sdtPr>
      <w:sdtEndPr>
        <w:rPr>
          <w:bCs/>
          <w:noProof w:val="0"/>
          <w:lang w:val="en-US"/>
        </w:rPr>
      </w:sdtEndPr>
      <w:sdtContent>
        <w:p w14:paraId="202E1EF5" w14:textId="6CA584D3" w:rsidR="00125757" w:rsidRPr="008A3DAC" w:rsidRDefault="00125757" w:rsidP="00CA7DC0">
          <w:pPr>
            <w:pStyle w:val="TOCHeading"/>
            <w:jc w:val="center"/>
            <w:rPr>
              <w:rFonts w:cs="Arial"/>
            </w:rPr>
          </w:pPr>
          <w:r w:rsidRPr="008A3DAC">
            <w:rPr>
              <w:rFonts w:cs="Arial"/>
            </w:rPr>
            <w:t>Table of Contents</w:t>
          </w:r>
        </w:p>
        <w:p w14:paraId="7AB4909A" w14:textId="13287ECC" w:rsidR="008A3DAC" w:rsidRPr="008A3DAC" w:rsidRDefault="00125757">
          <w:pPr>
            <w:pStyle w:val="TOC1"/>
            <w:tabs>
              <w:tab w:val="right" w:leader="dot" w:pos="9350"/>
            </w:tabs>
            <w:rPr>
              <w:rFonts w:ascii="Arial" w:eastAsiaTheme="minorEastAsia" w:hAnsi="Arial" w:cs="Arial"/>
              <w:noProof/>
            </w:rPr>
          </w:pPr>
          <w:r w:rsidRPr="008A3DAC">
            <w:rPr>
              <w:rFonts w:ascii="Arial" w:hAnsi="Arial" w:cs="Arial"/>
            </w:rPr>
            <w:fldChar w:fldCharType="begin"/>
          </w:r>
          <w:r w:rsidRPr="008A3DAC">
            <w:rPr>
              <w:rFonts w:ascii="Arial" w:hAnsi="Arial" w:cs="Arial"/>
            </w:rPr>
            <w:instrText xml:space="preserve"> TOC \o "1-3" \h \z \u </w:instrText>
          </w:r>
          <w:r w:rsidRPr="008A3DAC">
            <w:rPr>
              <w:rFonts w:ascii="Arial" w:hAnsi="Arial" w:cs="Arial"/>
            </w:rPr>
            <w:fldChar w:fldCharType="separate"/>
          </w:r>
          <w:hyperlink w:anchor="_Toc217280887" w:history="1">
            <w:r w:rsidR="008A3DAC" w:rsidRPr="008A3DAC">
              <w:rPr>
                <w:rStyle w:val="Hyperlink"/>
                <w:rFonts w:ascii="Arial" w:hAnsi="Arial" w:cs="Arial"/>
                <w:noProof/>
              </w:rPr>
              <w:t>Introduction</w:t>
            </w:r>
            <w:r w:rsidR="008A3DAC" w:rsidRPr="008A3DAC">
              <w:rPr>
                <w:rFonts w:ascii="Arial" w:hAnsi="Arial" w:cs="Arial"/>
                <w:noProof/>
                <w:webHidden/>
              </w:rPr>
              <w:tab/>
            </w:r>
            <w:r w:rsidR="008A3DAC" w:rsidRPr="008A3DAC">
              <w:rPr>
                <w:rFonts w:ascii="Arial" w:hAnsi="Arial" w:cs="Arial"/>
                <w:noProof/>
                <w:webHidden/>
              </w:rPr>
              <w:fldChar w:fldCharType="begin"/>
            </w:r>
            <w:r w:rsidR="008A3DAC" w:rsidRPr="008A3DAC">
              <w:rPr>
                <w:rFonts w:ascii="Arial" w:hAnsi="Arial" w:cs="Arial"/>
                <w:noProof/>
                <w:webHidden/>
              </w:rPr>
              <w:instrText xml:space="preserve"> PAGEREF _Toc217280887 \h </w:instrText>
            </w:r>
            <w:r w:rsidR="008A3DAC" w:rsidRPr="008A3DAC">
              <w:rPr>
                <w:rFonts w:ascii="Arial" w:hAnsi="Arial" w:cs="Arial"/>
                <w:noProof/>
                <w:webHidden/>
              </w:rPr>
            </w:r>
            <w:r w:rsidR="008A3DAC" w:rsidRPr="008A3DAC">
              <w:rPr>
                <w:rFonts w:ascii="Arial" w:hAnsi="Arial" w:cs="Arial"/>
                <w:noProof/>
                <w:webHidden/>
              </w:rPr>
              <w:fldChar w:fldCharType="separate"/>
            </w:r>
            <w:r w:rsidR="008A3DAC">
              <w:rPr>
                <w:rFonts w:ascii="Arial" w:hAnsi="Arial" w:cs="Arial"/>
                <w:noProof/>
                <w:webHidden/>
              </w:rPr>
              <w:t>3</w:t>
            </w:r>
            <w:r w:rsidR="008A3DAC" w:rsidRPr="008A3DAC">
              <w:rPr>
                <w:rFonts w:ascii="Arial" w:hAnsi="Arial" w:cs="Arial"/>
                <w:noProof/>
                <w:webHidden/>
              </w:rPr>
              <w:fldChar w:fldCharType="end"/>
            </w:r>
          </w:hyperlink>
        </w:p>
        <w:p w14:paraId="7C1C6E42" w14:textId="59F293C1" w:rsidR="008A3DAC" w:rsidRPr="008A3DAC" w:rsidRDefault="008A3DAC">
          <w:pPr>
            <w:pStyle w:val="TOC1"/>
            <w:tabs>
              <w:tab w:val="right" w:leader="dot" w:pos="9350"/>
            </w:tabs>
            <w:rPr>
              <w:rFonts w:ascii="Arial" w:eastAsiaTheme="minorEastAsia" w:hAnsi="Arial" w:cs="Arial"/>
              <w:noProof/>
            </w:rPr>
          </w:pPr>
          <w:hyperlink w:anchor="_Toc217280888" w:history="1">
            <w:r w:rsidRPr="008A3DAC">
              <w:rPr>
                <w:rStyle w:val="Hyperlink"/>
                <w:rFonts w:ascii="Arial" w:hAnsi="Arial" w:cs="Arial"/>
                <w:noProof/>
              </w:rPr>
              <w:t>1.0 Financial Health Check of General Electronics (2020–2024)</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_Toc217280888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4</w:t>
            </w:r>
            <w:r w:rsidRPr="008A3DAC">
              <w:rPr>
                <w:rFonts w:ascii="Arial" w:hAnsi="Arial" w:cs="Arial"/>
                <w:noProof/>
                <w:webHidden/>
              </w:rPr>
              <w:fldChar w:fldCharType="end"/>
            </w:r>
          </w:hyperlink>
        </w:p>
        <w:p w14:paraId="69BEE62A" w14:textId="12BA5A3C" w:rsidR="008A3DAC" w:rsidRPr="008A3DAC" w:rsidRDefault="008A3DAC">
          <w:pPr>
            <w:pStyle w:val="TOC2"/>
            <w:tabs>
              <w:tab w:val="right" w:leader="dot" w:pos="9350"/>
            </w:tabs>
            <w:rPr>
              <w:rFonts w:ascii="Arial" w:eastAsiaTheme="minorEastAsia" w:hAnsi="Arial" w:cs="Arial"/>
              <w:noProof/>
            </w:rPr>
          </w:pPr>
          <w:hyperlink w:anchor="_Toc217280889" w:history="1">
            <w:r w:rsidRPr="008A3DAC">
              <w:rPr>
                <w:rStyle w:val="Hyperlink"/>
                <w:rFonts w:ascii="Arial" w:hAnsi="Arial" w:cs="Arial"/>
                <w:noProof/>
              </w:rPr>
              <w:t>1.1 Analysis of the Firm’s Financial Statements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_Toc217280889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4</w:t>
            </w:r>
            <w:r w:rsidRPr="008A3DAC">
              <w:rPr>
                <w:rFonts w:ascii="Arial" w:hAnsi="Arial" w:cs="Arial"/>
                <w:noProof/>
                <w:webHidden/>
              </w:rPr>
              <w:fldChar w:fldCharType="end"/>
            </w:r>
          </w:hyperlink>
        </w:p>
        <w:p w14:paraId="5B90D3C4" w14:textId="191B24F1" w:rsidR="008A3DAC" w:rsidRPr="008A3DAC" w:rsidRDefault="008A3DAC">
          <w:pPr>
            <w:pStyle w:val="TOC2"/>
            <w:tabs>
              <w:tab w:val="right" w:leader="dot" w:pos="9350"/>
            </w:tabs>
            <w:rPr>
              <w:rFonts w:ascii="Arial" w:eastAsiaTheme="minorEastAsia" w:hAnsi="Arial" w:cs="Arial"/>
              <w:noProof/>
            </w:rPr>
          </w:pPr>
          <w:hyperlink w:anchor="_Toc217280890" w:history="1">
            <w:r w:rsidRPr="008A3DAC">
              <w:rPr>
                <w:rStyle w:val="Hyperlink"/>
                <w:rFonts w:ascii="Arial" w:hAnsi="Arial" w:cs="Arial"/>
                <w:noProof/>
              </w:rPr>
              <w:t>1.2 Profitability Ratio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_Toc217280890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4</w:t>
            </w:r>
            <w:r w:rsidRPr="008A3DAC">
              <w:rPr>
                <w:rFonts w:ascii="Arial" w:hAnsi="Arial" w:cs="Arial"/>
                <w:noProof/>
                <w:webHidden/>
              </w:rPr>
              <w:fldChar w:fldCharType="end"/>
            </w:r>
          </w:hyperlink>
        </w:p>
        <w:p w14:paraId="5E18DF5E" w14:textId="56D2ADCB" w:rsidR="008A3DAC" w:rsidRPr="008A3DAC" w:rsidRDefault="008A3DAC">
          <w:pPr>
            <w:pStyle w:val="TOC2"/>
            <w:tabs>
              <w:tab w:val="right" w:leader="dot" w:pos="9350"/>
            </w:tabs>
            <w:rPr>
              <w:rFonts w:ascii="Arial" w:eastAsiaTheme="minorEastAsia" w:hAnsi="Arial" w:cs="Arial"/>
              <w:noProof/>
            </w:rPr>
          </w:pPr>
          <w:hyperlink w:anchor="_Toc217280891" w:history="1">
            <w:r w:rsidRPr="008A3DAC">
              <w:rPr>
                <w:rStyle w:val="Hyperlink"/>
                <w:rFonts w:ascii="Arial" w:hAnsi="Arial" w:cs="Arial"/>
                <w:noProof/>
              </w:rPr>
              <w:t>1.2 Liquidity Ratio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_Toc217280891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5</w:t>
            </w:r>
            <w:r w:rsidRPr="008A3DAC">
              <w:rPr>
                <w:rFonts w:ascii="Arial" w:hAnsi="Arial" w:cs="Arial"/>
                <w:noProof/>
                <w:webHidden/>
              </w:rPr>
              <w:fldChar w:fldCharType="end"/>
            </w:r>
          </w:hyperlink>
        </w:p>
        <w:p w14:paraId="7B3DF8D4" w14:textId="2D1F9EF8" w:rsidR="008A3DAC" w:rsidRPr="008A3DAC" w:rsidRDefault="008A3DAC">
          <w:pPr>
            <w:pStyle w:val="TOC2"/>
            <w:tabs>
              <w:tab w:val="right" w:leader="dot" w:pos="9350"/>
            </w:tabs>
            <w:rPr>
              <w:rFonts w:ascii="Arial" w:eastAsiaTheme="minorEastAsia" w:hAnsi="Arial" w:cs="Arial"/>
              <w:noProof/>
            </w:rPr>
          </w:pPr>
          <w:hyperlink w:anchor="_Toc217280892" w:history="1">
            <w:r w:rsidRPr="008A3DAC">
              <w:rPr>
                <w:rStyle w:val="Hyperlink"/>
                <w:rFonts w:ascii="Arial" w:hAnsi="Arial" w:cs="Arial"/>
                <w:noProof/>
              </w:rPr>
              <w:t>1.3 Efficiency Ratio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_Toc217280892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6</w:t>
            </w:r>
            <w:r w:rsidRPr="008A3DAC">
              <w:rPr>
                <w:rFonts w:ascii="Arial" w:hAnsi="Arial" w:cs="Arial"/>
                <w:noProof/>
                <w:webHidden/>
              </w:rPr>
              <w:fldChar w:fldCharType="end"/>
            </w:r>
          </w:hyperlink>
        </w:p>
        <w:p w14:paraId="137FDB7F" w14:textId="0E1EE054" w:rsidR="008A3DAC" w:rsidRPr="008A3DAC" w:rsidRDefault="008A3DAC">
          <w:pPr>
            <w:pStyle w:val="TOC2"/>
            <w:tabs>
              <w:tab w:val="right" w:leader="dot" w:pos="9350"/>
            </w:tabs>
            <w:rPr>
              <w:rFonts w:ascii="Arial" w:eastAsiaTheme="minorEastAsia" w:hAnsi="Arial" w:cs="Arial"/>
              <w:noProof/>
            </w:rPr>
          </w:pPr>
          <w:hyperlink w:anchor="_Toc217280893" w:history="1">
            <w:r w:rsidRPr="008A3DAC">
              <w:rPr>
                <w:rStyle w:val="Hyperlink"/>
                <w:rFonts w:ascii="Arial" w:hAnsi="Arial" w:cs="Arial"/>
                <w:noProof/>
              </w:rPr>
              <w:t>1.4 Gearing Ratio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_Toc217280893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6</w:t>
            </w:r>
            <w:r w:rsidRPr="008A3DAC">
              <w:rPr>
                <w:rFonts w:ascii="Arial" w:hAnsi="Arial" w:cs="Arial"/>
                <w:noProof/>
                <w:webHidden/>
              </w:rPr>
              <w:fldChar w:fldCharType="end"/>
            </w:r>
          </w:hyperlink>
        </w:p>
        <w:p w14:paraId="2B1461FE" w14:textId="395CDE56" w:rsidR="008A3DAC" w:rsidRPr="008A3DAC" w:rsidRDefault="008A3DAC">
          <w:pPr>
            <w:pStyle w:val="TOC2"/>
            <w:tabs>
              <w:tab w:val="right" w:leader="dot" w:pos="9350"/>
            </w:tabs>
            <w:rPr>
              <w:rFonts w:ascii="Arial" w:eastAsiaTheme="minorEastAsia" w:hAnsi="Arial" w:cs="Arial"/>
              <w:noProof/>
            </w:rPr>
          </w:pPr>
          <w:hyperlink w:anchor="_Toc217280894" w:history="1">
            <w:r w:rsidRPr="008A3DAC">
              <w:rPr>
                <w:rStyle w:val="Hyperlink"/>
                <w:rFonts w:ascii="Arial" w:hAnsi="Arial" w:cs="Arial"/>
                <w:noProof/>
              </w:rPr>
              <w:t>1.5 Investment and Market Ratio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_Toc217280894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6</w:t>
            </w:r>
            <w:r w:rsidRPr="008A3DAC">
              <w:rPr>
                <w:rFonts w:ascii="Arial" w:hAnsi="Arial" w:cs="Arial"/>
                <w:noProof/>
                <w:webHidden/>
              </w:rPr>
              <w:fldChar w:fldCharType="end"/>
            </w:r>
          </w:hyperlink>
        </w:p>
        <w:p w14:paraId="4800125B" w14:textId="02C35D3C" w:rsidR="008A3DAC" w:rsidRPr="008A3DAC" w:rsidRDefault="008A3DAC">
          <w:pPr>
            <w:pStyle w:val="TOC2"/>
            <w:tabs>
              <w:tab w:val="right" w:leader="dot" w:pos="9350"/>
            </w:tabs>
            <w:rPr>
              <w:rFonts w:ascii="Arial" w:eastAsiaTheme="minorEastAsia" w:hAnsi="Arial" w:cs="Arial"/>
              <w:noProof/>
            </w:rPr>
          </w:pPr>
          <w:hyperlink w:anchor="_Toc217280895" w:history="1">
            <w:r w:rsidRPr="008A3DAC">
              <w:rPr>
                <w:rStyle w:val="Hyperlink"/>
                <w:rFonts w:ascii="Arial" w:hAnsi="Arial" w:cs="Arial"/>
                <w:noProof/>
              </w:rPr>
              <w:t>1.6 Cash Flow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_Toc217280895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7</w:t>
            </w:r>
            <w:r w:rsidRPr="008A3DAC">
              <w:rPr>
                <w:rFonts w:ascii="Arial" w:hAnsi="Arial" w:cs="Arial"/>
                <w:noProof/>
                <w:webHidden/>
              </w:rPr>
              <w:fldChar w:fldCharType="end"/>
            </w:r>
          </w:hyperlink>
        </w:p>
        <w:p w14:paraId="45CD1908" w14:textId="7331EDC6" w:rsidR="008A3DAC" w:rsidRPr="008A3DAC" w:rsidRDefault="008A3DAC">
          <w:pPr>
            <w:pStyle w:val="TOC2"/>
            <w:tabs>
              <w:tab w:val="right" w:leader="dot" w:pos="9350"/>
            </w:tabs>
            <w:rPr>
              <w:rFonts w:ascii="Arial" w:eastAsiaTheme="minorEastAsia" w:hAnsi="Arial" w:cs="Arial"/>
              <w:noProof/>
            </w:rPr>
          </w:pPr>
          <w:hyperlink w:anchor="_Toc217280896" w:history="1">
            <w:r w:rsidRPr="008A3DAC">
              <w:rPr>
                <w:rStyle w:val="Hyperlink"/>
                <w:rFonts w:ascii="Arial" w:hAnsi="Arial" w:cs="Arial"/>
                <w:noProof/>
              </w:rPr>
              <w:t>1.7 Built in Trend Analysis: Strengths and New Threats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_Toc217280896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7</w:t>
            </w:r>
            <w:r w:rsidRPr="008A3DAC">
              <w:rPr>
                <w:rFonts w:ascii="Arial" w:hAnsi="Arial" w:cs="Arial"/>
                <w:noProof/>
                <w:webHidden/>
              </w:rPr>
              <w:fldChar w:fldCharType="end"/>
            </w:r>
          </w:hyperlink>
        </w:p>
        <w:p w14:paraId="684617ED" w14:textId="70F0138A" w:rsidR="008A3DAC" w:rsidRPr="008A3DAC" w:rsidRDefault="008A3DAC">
          <w:pPr>
            <w:pStyle w:val="TOC2"/>
            <w:tabs>
              <w:tab w:val="right" w:leader="dot" w:pos="9350"/>
            </w:tabs>
            <w:rPr>
              <w:rFonts w:ascii="Arial" w:eastAsiaTheme="minorEastAsia" w:hAnsi="Arial" w:cs="Arial"/>
              <w:noProof/>
            </w:rPr>
          </w:pPr>
          <w:hyperlink w:anchor="_Toc217280897" w:history="1">
            <w:r w:rsidRPr="008A3DAC">
              <w:rPr>
                <w:rStyle w:val="Hyperlink"/>
                <w:rFonts w:ascii="Arial" w:hAnsi="Arial" w:cs="Arial"/>
                <w:noProof/>
              </w:rPr>
              <w:t>1.8 Corporate Failure Risk Assessment: Altman Z-Score</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_Toc217280897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7</w:t>
            </w:r>
            <w:r w:rsidRPr="008A3DAC">
              <w:rPr>
                <w:rFonts w:ascii="Arial" w:hAnsi="Arial" w:cs="Arial"/>
                <w:noProof/>
                <w:webHidden/>
              </w:rPr>
              <w:fldChar w:fldCharType="end"/>
            </w:r>
          </w:hyperlink>
        </w:p>
        <w:p w14:paraId="6410DF00" w14:textId="0DC3F529" w:rsidR="008A3DAC" w:rsidRPr="008A3DAC" w:rsidRDefault="008A3DAC">
          <w:pPr>
            <w:pStyle w:val="TOC1"/>
            <w:tabs>
              <w:tab w:val="right" w:leader="dot" w:pos="9350"/>
            </w:tabs>
            <w:rPr>
              <w:rFonts w:ascii="Arial" w:eastAsiaTheme="minorEastAsia" w:hAnsi="Arial" w:cs="Arial"/>
              <w:noProof/>
            </w:rPr>
          </w:pPr>
          <w:hyperlink w:anchor="_Toc217280898" w:history="1">
            <w:r w:rsidRPr="008A3DAC">
              <w:rPr>
                <w:rStyle w:val="Hyperlink"/>
                <w:rFonts w:ascii="Arial" w:hAnsi="Arial" w:cs="Arial"/>
                <w:noProof/>
              </w:rPr>
              <w:t>2.0 Working Capital Management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_Toc217280898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8</w:t>
            </w:r>
            <w:r w:rsidRPr="008A3DAC">
              <w:rPr>
                <w:rFonts w:ascii="Arial" w:hAnsi="Arial" w:cs="Arial"/>
                <w:noProof/>
                <w:webHidden/>
              </w:rPr>
              <w:fldChar w:fldCharType="end"/>
            </w:r>
          </w:hyperlink>
        </w:p>
        <w:p w14:paraId="7647DF29" w14:textId="06325B7C" w:rsidR="008A3DAC" w:rsidRPr="008A3DAC" w:rsidRDefault="008A3DAC">
          <w:pPr>
            <w:pStyle w:val="TOC2"/>
            <w:tabs>
              <w:tab w:val="right" w:leader="dot" w:pos="9350"/>
            </w:tabs>
            <w:rPr>
              <w:rFonts w:ascii="Arial" w:eastAsiaTheme="minorEastAsia" w:hAnsi="Arial" w:cs="Arial"/>
              <w:noProof/>
            </w:rPr>
          </w:pPr>
          <w:hyperlink w:anchor="_Toc217280899" w:history="1">
            <w:r w:rsidRPr="008A3DAC">
              <w:rPr>
                <w:rStyle w:val="Hyperlink"/>
                <w:rFonts w:ascii="Arial" w:hAnsi="Arial" w:cs="Arial"/>
                <w:noProof/>
              </w:rPr>
              <w:t>2.1 Assessment of the Cash Operating Cycle</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_Toc217280899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8</w:t>
            </w:r>
            <w:r w:rsidRPr="008A3DAC">
              <w:rPr>
                <w:rFonts w:ascii="Arial" w:hAnsi="Arial" w:cs="Arial"/>
                <w:noProof/>
                <w:webHidden/>
              </w:rPr>
              <w:fldChar w:fldCharType="end"/>
            </w:r>
          </w:hyperlink>
        </w:p>
        <w:p w14:paraId="3E4911C5" w14:textId="09F4E0B5" w:rsidR="008A3DAC" w:rsidRPr="008A3DAC" w:rsidRDefault="008A3DAC">
          <w:pPr>
            <w:pStyle w:val="TOC2"/>
            <w:tabs>
              <w:tab w:val="right" w:leader="dot" w:pos="9350"/>
            </w:tabs>
            <w:rPr>
              <w:rFonts w:ascii="Arial" w:eastAsiaTheme="minorEastAsia" w:hAnsi="Arial" w:cs="Arial"/>
              <w:noProof/>
            </w:rPr>
          </w:pPr>
          <w:hyperlink w:anchor="_Toc217280900" w:history="1">
            <w:r w:rsidRPr="008A3DAC">
              <w:rPr>
                <w:rStyle w:val="Hyperlink"/>
                <w:rFonts w:ascii="Arial" w:hAnsi="Arial" w:cs="Arial"/>
                <w:noProof/>
              </w:rPr>
              <w:t>2.2 Strategies to Improve Liquidity through Working Capital Reforms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_Toc217280900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9</w:t>
            </w:r>
            <w:r w:rsidRPr="008A3DAC">
              <w:rPr>
                <w:rFonts w:ascii="Arial" w:hAnsi="Arial" w:cs="Arial"/>
                <w:noProof/>
                <w:webHidden/>
              </w:rPr>
              <w:fldChar w:fldCharType="end"/>
            </w:r>
          </w:hyperlink>
        </w:p>
        <w:p w14:paraId="143B7F5F" w14:textId="1F1B323C" w:rsidR="008A3DAC" w:rsidRPr="008A3DAC" w:rsidRDefault="008A3DAC">
          <w:pPr>
            <w:pStyle w:val="TOC2"/>
            <w:tabs>
              <w:tab w:val="right" w:leader="dot" w:pos="9350"/>
            </w:tabs>
            <w:rPr>
              <w:rFonts w:ascii="Arial" w:eastAsiaTheme="minorEastAsia" w:hAnsi="Arial" w:cs="Arial"/>
              <w:noProof/>
            </w:rPr>
          </w:pPr>
          <w:hyperlink w:anchor="_Toc217280901" w:history="1">
            <w:r w:rsidRPr="008A3DAC">
              <w:rPr>
                <w:rStyle w:val="Hyperlink"/>
                <w:rFonts w:ascii="Arial" w:hAnsi="Arial" w:cs="Arial"/>
                <w:noProof/>
              </w:rPr>
              <w:t>2.3 Short-Term versus Long-Term Financing Options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_Toc217280901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10</w:t>
            </w:r>
            <w:r w:rsidRPr="008A3DAC">
              <w:rPr>
                <w:rFonts w:ascii="Arial" w:hAnsi="Arial" w:cs="Arial"/>
                <w:noProof/>
                <w:webHidden/>
              </w:rPr>
              <w:fldChar w:fldCharType="end"/>
            </w:r>
          </w:hyperlink>
        </w:p>
        <w:p w14:paraId="499219F5" w14:textId="7982B297" w:rsidR="008A3DAC" w:rsidRPr="008A3DAC" w:rsidRDefault="008A3DAC">
          <w:pPr>
            <w:pStyle w:val="TOC1"/>
            <w:tabs>
              <w:tab w:val="right" w:leader="dot" w:pos="9350"/>
            </w:tabs>
            <w:rPr>
              <w:rFonts w:ascii="Arial" w:eastAsiaTheme="minorEastAsia" w:hAnsi="Arial" w:cs="Arial"/>
              <w:noProof/>
            </w:rPr>
          </w:pPr>
          <w:hyperlink w:anchor="_Toc217280902" w:history="1">
            <w:r w:rsidRPr="008A3DAC">
              <w:rPr>
                <w:rStyle w:val="Hyperlink"/>
                <w:rFonts w:ascii="Arial" w:hAnsi="Arial" w:cs="Arial"/>
                <w:noProof/>
              </w:rPr>
              <w:t>3.0 Strategic Financial Restructuring Plan</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_Toc217280902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11</w:t>
            </w:r>
            <w:r w:rsidRPr="008A3DAC">
              <w:rPr>
                <w:rFonts w:ascii="Arial" w:hAnsi="Arial" w:cs="Arial"/>
                <w:noProof/>
                <w:webHidden/>
              </w:rPr>
              <w:fldChar w:fldCharType="end"/>
            </w:r>
          </w:hyperlink>
        </w:p>
        <w:p w14:paraId="04FA998F" w14:textId="70A6F5F5" w:rsidR="008A3DAC" w:rsidRPr="008A3DAC" w:rsidRDefault="008A3DAC">
          <w:pPr>
            <w:pStyle w:val="TOC2"/>
            <w:tabs>
              <w:tab w:val="right" w:leader="dot" w:pos="9350"/>
            </w:tabs>
            <w:rPr>
              <w:rFonts w:ascii="Arial" w:eastAsiaTheme="minorEastAsia" w:hAnsi="Arial" w:cs="Arial"/>
              <w:noProof/>
            </w:rPr>
          </w:pPr>
          <w:hyperlink w:anchor="_Toc217280903" w:history="1">
            <w:r w:rsidRPr="008A3DAC">
              <w:rPr>
                <w:rStyle w:val="Hyperlink"/>
                <w:rFonts w:ascii="Arial" w:hAnsi="Arial" w:cs="Arial"/>
                <w:noProof/>
              </w:rPr>
              <w:t>3.1 Recommended Financial Restructuring Options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_Toc217280903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11</w:t>
            </w:r>
            <w:r w:rsidRPr="008A3DAC">
              <w:rPr>
                <w:rFonts w:ascii="Arial" w:hAnsi="Arial" w:cs="Arial"/>
                <w:noProof/>
                <w:webHidden/>
              </w:rPr>
              <w:fldChar w:fldCharType="end"/>
            </w:r>
          </w:hyperlink>
        </w:p>
        <w:p w14:paraId="1CE1B65A" w14:textId="5B9C59B9" w:rsidR="008A3DAC" w:rsidRPr="008A3DAC" w:rsidRDefault="008A3DAC">
          <w:pPr>
            <w:pStyle w:val="TOC2"/>
            <w:tabs>
              <w:tab w:val="right" w:leader="dot" w:pos="9350"/>
            </w:tabs>
            <w:rPr>
              <w:rFonts w:ascii="Arial" w:eastAsiaTheme="minorEastAsia" w:hAnsi="Arial" w:cs="Arial"/>
              <w:noProof/>
            </w:rPr>
          </w:pPr>
          <w:hyperlink w:anchor="_Toc217280904" w:history="1">
            <w:r w:rsidRPr="008A3DAC">
              <w:rPr>
                <w:rStyle w:val="Hyperlink"/>
                <w:rFonts w:ascii="Arial" w:hAnsi="Arial" w:cs="Arial"/>
                <w:noProof/>
              </w:rPr>
              <w:t>3.2 Evaluation of Impact on Shareholder Value, Debt Structure, and Operational Flexibility</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_Toc217280904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12</w:t>
            </w:r>
            <w:r w:rsidRPr="008A3DAC">
              <w:rPr>
                <w:rFonts w:ascii="Arial" w:hAnsi="Arial" w:cs="Arial"/>
                <w:noProof/>
                <w:webHidden/>
              </w:rPr>
              <w:fldChar w:fldCharType="end"/>
            </w:r>
          </w:hyperlink>
        </w:p>
        <w:p w14:paraId="1A1D6567" w14:textId="45BDD05C" w:rsidR="008A3DAC" w:rsidRPr="008A3DAC" w:rsidRDefault="008A3DAC">
          <w:pPr>
            <w:pStyle w:val="TOC2"/>
            <w:tabs>
              <w:tab w:val="right" w:leader="dot" w:pos="9350"/>
            </w:tabs>
            <w:rPr>
              <w:rFonts w:ascii="Arial" w:eastAsiaTheme="minorEastAsia" w:hAnsi="Arial" w:cs="Arial"/>
              <w:noProof/>
            </w:rPr>
          </w:pPr>
          <w:hyperlink w:anchor="_Toc217280905" w:history="1">
            <w:r w:rsidRPr="008A3DAC">
              <w:rPr>
                <w:rStyle w:val="Hyperlink"/>
                <w:rFonts w:ascii="Arial" w:hAnsi="Arial" w:cs="Arial"/>
                <w:noProof/>
              </w:rPr>
              <w:t>3.3 International and Ethical Considerations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_Toc217280905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13</w:t>
            </w:r>
            <w:r w:rsidRPr="008A3DAC">
              <w:rPr>
                <w:rFonts w:ascii="Arial" w:hAnsi="Arial" w:cs="Arial"/>
                <w:noProof/>
                <w:webHidden/>
              </w:rPr>
              <w:fldChar w:fldCharType="end"/>
            </w:r>
          </w:hyperlink>
        </w:p>
        <w:p w14:paraId="74C7D790" w14:textId="7EE727FB" w:rsidR="008A3DAC" w:rsidRPr="008A3DAC" w:rsidRDefault="008A3DAC">
          <w:pPr>
            <w:pStyle w:val="TOC2"/>
            <w:tabs>
              <w:tab w:val="right" w:leader="dot" w:pos="9350"/>
            </w:tabs>
            <w:rPr>
              <w:rFonts w:ascii="Arial" w:eastAsiaTheme="minorEastAsia" w:hAnsi="Arial" w:cs="Arial"/>
              <w:noProof/>
            </w:rPr>
          </w:pPr>
          <w:hyperlink w:anchor="_Toc217280906" w:history="1">
            <w:r w:rsidRPr="008A3DAC">
              <w:rPr>
                <w:rStyle w:val="Hyperlink"/>
                <w:rFonts w:ascii="Arial" w:hAnsi="Arial" w:cs="Arial"/>
                <w:noProof/>
              </w:rPr>
              <w:t>3.4 Implementation Roadmap and Performance Metrics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_Toc217280906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14</w:t>
            </w:r>
            <w:r w:rsidRPr="008A3DAC">
              <w:rPr>
                <w:rFonts w:ascii="Arial" w:hAnsi="Arial" w:cs="Arial"/>
                <w:noProof/>
                <w:webHidden/>
              </w:rPr>
              <w:fldChar w:fldCharType="end"/>
            </w:r>
          </w:hyperlink>
        </w:p>
        <w:p w14:paraId="31A5A387" w14:textId="616C0E6F" w:rsidR="008A3DAC" w:rsidRPr="008A3DAC" w:rsidRDefault="008A3DAC">
          <w:pPr>
            <w:pStyle w:val="TOC1"/>
            <w:tabs>
              <w:tab w:val="right" w:leader="dot" w:pos="9350"/>
            </w:tabs>
            <w:rPr>
              <w:rFonts w:ascii="Arial" w:eastAsiaTheme="minorEastAsia" w:hAnsi="Arial" w:cs="Arial"/>
              <w:noProof/>
            </w:rPr>
          </w:pPr>
          <w:hyperlink w:anchor="_Toc217280907" w:history="1">
            <w:r w:rsidRPr="008A3DAC">
              <w:rPr>
                <w:rStyle w:val="Hyperlink"/>
                <w:rFonts w:ascii="Arial" w:hAnsi="Arial" w:cs="Arial"/>
                <w:noProof/>
              </w:rPr>
              <w:t>4.0 Investment Appraisal and Capital Budgeting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_Toc217280907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15</w:t>
            </w:r>
            <w:r w:rsidRPr="008A3DAC">
              <w:rPr>
                <w:rFonts w:ascii="Arial" w:hAnsi="Arial" w:cs="Arial"/>
                <w:noProof/>
                <w:webHidden/>
              </w:rPr>
              <w:fldChar w:fldCharType="end"/>
            </w:r>
          </w:hyperlink>
        </w:p>
        <w:p w14:paraId="3A7F4165" w14:textId="10071143" w:rsidR="008A3DAC" w:rsidRPr="008A3DAC" w:rsidRDefault="008A3DAC">
          <w:pPr>
            <w:pStyle w:val="TOC2"/>
            <w:tabs>
              <w:tab w:val="right" w:leader="dot" w:pos="9350"/>
            </w:tabs>
            <w:rPr>
              <w:rFonts w:ascii="Arial" w:eastAsiaTheme="minorEastAsia" w:hAnsi="Arial" w:cs="Arial"/>
              <w:noProof/>
            </w:rPr>
          </w:pPr>
          <w:hyperlink w:anchor="_Toc217280908" w:history="1">
            <w:r w:rsidRPr="008A3DAC">
              <w:rPr>
                <w:rStyle w:val="Hyperlink"/>
                <w:rFonts w:ascii="Arial" w:hAnsi="Arial" w:cs="Arial"/>
                <w:noProof/>
              </w:rPr>
              <w:t>4.1 Payback Period (PBP)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_Toc217280908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15</w:t>
            </w:r>
            <w:r w:rsidRPr="008A3DAC">
              <w:rPr>
                <w:rFonts w:ascii="Arial" w:hAnsi="Arial" w:cs="Arial"/>
                <w:noProof/>
                <w:webHidden/>
              </w:rPr>
              <w:fldChar w:fldCharType="end"/>
            </w:r>
          </w:hyperlink>
        </w:p>
        <w:p w14:paraId="3EFC80E1" w14:textId="50EEEA91" w:rsidR="008A3DAC" w:rsidRPr="008A3DAC" w:rsidRDefault="008A3DAC">
          <w:pPr>
            <w:pStyle w:val="TOC2"/>
            <w:tabs>
              <w:tab w:val="right" w:leader="dot" w:pos="9350"/>
            </w:tabs>
            <w:rPr>
              <w:rFonts w:ascii="Arial" w:eastAsiaTheme="minorEastAsia" w:hAnsi="Arial" w:cs="Arial"/>
              <w:noProof/>
            </w:rPr>
          </w:pPr>
          <w:hyperlink w:anchor="_Toc217280909" w:history="1">
            <w:r w:rsidRPr="008A3DAC">
              <w:rPr>
                <w:rStyle w:val="Hyperlink"/>
                <w:rFonts w:ascii="Arial" w:hAnsi="Arial" w:cs="Arial"/>
                <w:noProof/>
              </w:rPr>
              <w:t>4.2 Profitability Index (PI) Analysis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_Toc217280909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15</w:t>
            </w:r>
            <w:r w:rsidRPr="008A3DAC">
              <w:rPr>
                <w:rFonts w:ascii="Arial" w:hAnsi="Arial" w:cs="Arial"/>
                <w:noProof/>
                <w:webHidden/>
              </w:rPr>
              <w:fldChar w:fldCharType="end"/>
            </w:r>
          </w:hyperlink>
        </w:p>
        <w:p w14:paraId="77E912A0" w14:textId="201973EF" w:rsidR="008A3DAC" w:rsidRPr="008A3DAC" w:rsidRDefault="008A3DAC">
          <w:pPr>
            <w:pStyle w:val="TOC2"/>
            <w:tabs>
              <w:tab w:val="right" w:leader="dot" w:pos="9350"/>
            </w:tabs>
            <w:rPr>
              <w:rFonts w:ascii="Arial" w:eastAsiaTheme="minorEastAsia" w:hAnsi="Arial" w:cs="Arial"/>
              <w:noProof/>
            </w:rPr>
          </w:pPr>
          <w:hyperlink w:anchor="_Toc217280910" w:history="1">
            <w:r w:rsidRPr="008A3DAC">
              <w:rPr>
                <w:rStyle w:val="Hyperlink"/>
                <w:rFonts w:ascii="Arial" w:hAnsi="Arial" w:cs="Arial"/>
                <w:noProof/>
              </w:rPr>
              <w:t>4.3 Internal Rate of Return (IRR)</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_Toc217280910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16</w:t>
            </w:r>
            <w:r w:rsidRPr="008A3DAC">
              <w:rPr>
                <w:rFonts w:ascii="Arial" w:hAnsi="Arial" w:cs="Arial"/>
                <w:noProof/>
                <w:webHidden/>
              </w:rPr>
              <w:fldChar w:fldCharType="end"/>
            </w:r>
          </w:hyperlink>
        </w:p>
        <w:p w14:paraId="437C6AA1" w14:textId="7C2C83E1" w:rsidR="008A3DAC" w:rsidRPr="008A3DAC" w:rsidRDefault="008A3DAC">
          <w:pPr>
            <w:pStyle w:val="TOC2"/>
            <w:tabs>
              <w:tab w:val="right" w:leader="dot" w:pos="9350"/>
            </w:tabs>
            <w:rPr>
              <w:rFonts w:ascii="Arial" w:eastAsiaTheme="minorEastAsia" w:hAnsi="Arial" w:cs="Arial"/>
              <w:noProof/>
            </w:rPr>
          </w:pPr>
          <w:hyperlink w:anchor="_Toc217280911" w:history="1">
            <w:r w:rsidRPr="008A3DAC">
              <w:rPr>
                <w:rStyle w:val="Hyperlink"/>
                <w:rFonts w:ascii="Arial" w:hAnsi="Arial" w:cs="Arial"/>
                <w:noProof/>
              </w:rPr>
              <w:t>4.4 Accounting Rate of Return (ARR)</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_Toc217280911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17</w:t>
            </w:r>
            <w:r w:rsidRPr="008A3DAC">
              <w:rPr>
                <w:rFonts w:ascii="Arial" w:hAnsi="Arial" w:cs="Arial"/>
                <w:noProof/>
                <w:webHidden/>
              </w:rPr>
              <w:fldChar w:fldCharType="end"/>
            </w:r>
          </w:hyperlink>
        </w:p>
        <w:p w14:paraId="1713688D" w14:textId="0375FFDF" w:rsidR="008A3DAC" w:rsidRPr="008A3DAC" w:rsidRDefault="008A3DAC">
          <w:pPr>
            <w:pStyle w:val="TOC2"/>
            <w:tabs>
              <w:tab w:val="right" w:leader="dot" w:pos="9350"/>
            </w:tabs>
            <w:rPr>
              <w:rFonts w:ascii="Arial" w:eastAsiaTheme="minorEastAsia" w:hAnsi="Arial" w:cs="Arial"/>
              <w:noProof/>
            </w:rPr>
          </w:pPr>
          <w:hyperlink w:anchor="_Toc217280912" w:history="1">
            <w:r w:rsidRPr="008A3DAC">
              <w:rPr>
                <w:rStyle w:val="Hyperlink"/>
                <w:rFonts w:ascii="Arial" w:hAnsi="Arial" w:cs="Arial"/>
                <w:noProof/>
              </w:rPr>
              <w:t>4.5 Net Present Value (NPV)</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_Toc217280912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17</w:t>
            </w:r>
            <w:r w:rsidRPr="008A3DAC">
              <w:rPr>
                <w:rFonts w:ascii="Arial" w:hAnsi="Arial" w:cs="Arial"/>
                <w:noProof/>
                <w:webHidden/>
              </w:rPr>
              <w:fldChar w:fldCharType="end"/>
            </w:r>
          </w:hyperlink>
        </w:p>
        <w:p w14:paraId="5E9E9654" w14:textId="6745A0B6" w:rsidR="008A3DAC" w:rsidRPr="008A3DAC" w:rsidRDefault="008A3DAC">
          <w:pPr>
            <w:pStyle w:val="TOC2"/>
            <w:tabs>
              <w:tab w:val="right" w:leader="dot" w:pos="9350"/>
            </w:tabs>
            <w:rPr>
              <w:rFonts w:ascii="Arial" w:eastAsiaTheme="minorEastAsia" w:hAnsi="Arial" w:cs="Arial"/>
              <w:noProof/>
            </w:rPr>
          </w:pPr>
          <w:hyperlink w:anchor="_Toc217280913" w:history="1">
            <w:r w:rsidRPr="008A3DAC">
              <w:rPr>
                <w:rStyle w:val="Hyperlink"/>
                <w:rFonts w:ascii="Arial" w:hAnsi="Arial" w:cs="Arial"/>
                <w:noProof/>
              </w:rPr>
              <w:t>4.6 Capital Rationing and Final Recommendation</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_Toc217280913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18</w:t>
            </w:r>
            <w:r w:rsidRPr="008A3DAC">
              <w:rPr>
                <w:rFonts w:ascii="Arial" w:hAnsi="Arial" w:cs="Arial"/>
                <w:noProof/>
                <w:webHidden/>
              </w:rPr>
              <w:fldChar w:fldCharType="end"/>
            </w:r>
          </w:hyperlink>
        </w:p>
        <w:p w14:paraId="04F9FBB2" w14:textId="4EAFD78F" w:rsidR="008A3DAC" w:rsidRPr="008A3DAC" w:rsidRDefault="008A3DAC">
          <w:pPr>
            <w:pStyle w:val="TOC2"/>
            <w:tabs>
              <w:tab w:val="right" w:leader="dot" w:pos="9350"/>
            </w:tabs>
            <w:rPr>
              <w:rFonts w:ascii="Arial" w:eastAsiaTheme="minorEastAsia" w:hAnsi="Arial" w:cs="Arial"/>
              <w:noProof/>
            </w:rPr>
          </w:pPr>
          <w:hyperlink w:anchor="_Toc217280914" w:history="1">
            <w:r w:rsidRPr="008A3DAC">
              <w:rPr>
                <w:rStyle w:val="Hyperlink"/>
                <w:rFonts w:ascii="Arial" w:hAnsi="Arial" w:cs="Arial"/>
                <w:noProof/>
              </w:rPr>
              <w:t>4.6 Recommendation Justification: Financial Resilience and Risk</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_Toc217280914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19</w:t>
            </w:r>
            <w:r w:rsidRPr="008A3DAC">
              <w:rPr>
                <w:rFonts w:ascii="Arial" w:hAnsi="Arial" w:cs="Arial"/>
                <w:noProof/>
                <w:webHidden/>
              </w:rPr>
              <w:fldChar w:fldCharType="end"/>
            </w:r>
          </w:hyperlink>
        </w:p>
        <w:p w14:paraId="053993B7" w14:textId="0E3904F9" w:rsidR="008A3DAC" w:rsidRPr="008A3DAC" w:rsidRDefault="008A3DAC">
          <w:pPr>
            <w:pStyle w:val="TOC1"/>
            <w:tabs>
              <w:tab w:val="right" w:leader="dot" w:pos="9350"/>
            </w:tabs>
            <w:rPr>
              <w:rFonts w:ascii="Arial" w:eastAsiaTheme="minorEastAsia" w:hAnsi="Arial" w:cs="Arial"/>
              <w:noProof/>
            </w:rPr>
          </w:pPr>
          <w:hyperlink w:anchor="_Toc217280915" w:history="1">
            <w:r w:rsidRPr="008A3DAC">
              <w:rPr>
                <w:rStyle w:val="Hyperlink"/>
                <w:rFonts w:ascii="Arial" w:hAnsi="Arial" w:cs="Arial"/>
                <w:noProof/>
              </w:rPr>
              <w:t>Conclusion</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_Toc217280915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19</w:t>
            </w:r>
            <w:r w:rsidRPr="008A3DAC">
              <w:rPr>
                <w:rFonts w:ascii="Arial" w:hAnsi="Arial" w:cs="Arial"/>
                <w:noProof/>
                <w:webHidden/>
              </w:rPr>
              <w:fldChar w:fldCharType="end"/>
            </w:r>
          </w:hyperlink>
        </w:p>
        <w:p w14:paraId="0CE481DD" w14:textId="2A93BA52" w:rsidR="008A3DAC" w:rsidRPr="008A3DAC" w:rsidRDefault="008A3DAC">
          <w:pPr>
            <w:pStyle w:val="TOC1"/>
            <w:tabs>
              <w:tab w:val="right" w:leader="dot" w:pos="9350"/>
            </w:tabs>
            <w:rPr>
              <w:rFonts w:ascii="Arial" w:eastAsiaTheme="minorEastAsia" w:hAnsi="Arial" w:cs="Arial"/>
              <w:noProof/>
            </w:rPr>
          </w:pPr>
          <w:hyperlink w:anchor="_Toc217280916" w:history="1">
            <w:r w:rsidRPr="008A3DAC">
              <w:rPr>
                <w:rStyle w:val="Hyperlink"/>
                <w:rFonts w:ascii="Arial" w:hAnsi="Arial" w:cs="Arial"/>
                <w:noProof/>
              </w:rPr>
              <w:t>References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_Toc217280916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21</w:t>
            </w:r>
            <w:r w:rsidRPr="008A3DAC">
              <w:rPr>
                <w:rFonts w:ascii="Arial" w:hAnsi="Arial" w:cs="Arial"/>
                <w:noProof/>
                <w:webHidden/>
              </w:rPr>
              <w:fldChar w:fldCharType="end"/>
            </w:r>
          </w:hyperlink>
        </w:p>
        <w:p w14:paraId="246653EE" w14:textId="7174826B" w:rsidR="00125757" w:rsidRPr="008A3DAC" w:rsidRDefault="008A3DAC" w:rsidP="008A3DAC">
          <w:pPr>
            <w:pStyle w:val="TOC1"/>
            <w:tabs>
              <w:tab w:val="right" w:leader="dot" w:pos="9350"/>
            </w:tabs>
            <w:rPr>
              <w:rFonts w:ascii="Arial" w:eastAsiaTheme="minorEastAsia" w:hAnsi="Arial" w:cs="Arial"/>
              <w:noProof/>
            </w:rPr>
          </w:pPr>
          <w:hyperlink w:anchor="_Toc217280917" w:history="1">
            <w:r w:rsidRPr="008A3DAC">
              <w:rPr>
                <w:rStyle w:val="Hyperlink"/>
                <w:rFonts w:ascii="Arial" w:hAnsi="Arial" w:cs="Arial"/>
                <w:noProof/>
              </w:rPr>
              <w:t>Appendices</w:t>
            </w:r>
            <w:r w:rsidRPr="008A3DAC">
              <w:rPr>
                <w:rFonts w:ascii="Arial" w:hAnsi="Arial" w:cs="Arial"/>
                <w:noProof/>
                <w:webHidden/>
              </w:rPr>
              <w:tab/>
            </w:r>
            <w:r w:rsidRPr="008A3DAC">
              <w:rPr>
                <w:rFonts w:ascii="Arial" w:hAnsi="Arial" w:cs="Arial"/>
                <w:noProof/>
                <w:webHidden/>
              </w:rPr>
              <w:fldChar w:fldCharType="begin"/>
            </w:r>
            <w:r w:rsidRPr="008A3DAC">
              <w:rPr>
                <w:rFonts w:ascii="Arial" w:hAnsi="Arial" w:cs="Arial"/>
                <w:noProof/>
                <w:webHidden/>
              </w:rPr>
              <w:instrText xml:space="preserve"> PAGEREF _Toc217280917 \h </w:instrText>
            </w:r>
            <w:r w:rsidRPr="008A3DAC">
              <w:rPr>
                <w:rFonts w:ascii="Arial" w:hAnsi="Arial" w:cs="Arial"/>
                <w:noProof/>
                <w:webHidden/>
              </w:rPr>
            </w:r>
            <w:r w:rsidRPr="008A3DAC">
              <w:rPr>
                <w:rFonts w:ascii="Arial" w:hAnsi="Arial" w:cs="Arial"/>
                <w:noProof/>
                <w:webHidden/>
              </w:rPr>
              <w:fldChar w:fldCharType="separate"/>
            </w:r>
            <w:r>
              <w:rPr>
                <w:rFonts w:ascii="Arial" w:hAnsi="Arial" w:cs="Arial"/>
                <w:noProof/>
                <w:webHidden/>
              </w:rPr>
              <w:t>25</w:t>
            </w:r>
            <w:r w:rsidRPr="008A3DAC">
              <w:rPr>
                <w:rFonts w:ascii="Arial" w:hAnsi="Arial" w:cs="Arial"/>
                <w:noProof/>
                <w:webHidden/>
              </w:rPr>
              <w:fldChar w:fldCharType="end"/>
            </w:r>
          </w:hyperlink>
          <w:r w:rsidR="00125757" w:rsidRPr="008A3DAC">
            <w:rPr>
              <w:rFonts w:ascii="Arial" w:hAnsi="Arial" w:cs="Arial"/>
            </w:rPr>
            <w:fldChar w:fldCharType="end"/>
          </w:r>
        </w:p>
      </w:sdtContent>
    </w:sdt>
    <w:p w14:paraId="727F884A" w14:textId="20C47982" w:rsidR="00B149E8" w:rsidRDefault="00B149E8">
      <w:r>
        <w:br w:type="page"/>
      </w:r>
    </w:p>
    <w:p w14:paraId="2C7642E0" w14:textId="750BE9A1" w:rsidR="00B149E8" w:rsidRDefault="00F10CED" w:rsidP="00133712">
      <w:pPr>
        <w:pStyle w:val="Heading1"/>
        <w:rPr>
          <w:b w:val="0"/>
        </w:rPr>
      </w:pPr>
      <w:bookmarkStart w:id="0" w:name="_Toc217280887"/>
      <w:r w:rsidRPr="00133712">
        <w:lastRenderedPageBreak/>
        <w:t>Introduction</w:t>
      </w:r>
      <w:bookmarkEnd w:id="0"/>
    </w:p>
    <w:p w14:paraId="6AA842C1" w14:textId="4F9BCBB2" w:rsidR="00206611" w:rsidRPr="00206611" w:rsidRDefault="00206611" w:rsidP="00206611">
      <w:pPr>
        <w:spacing w:line="360" w:lineRule="auto"/>
        <w:jc w:val="both"/>
        <w:rPr>
          <w:rFonts w:ascii="Arial" w:hAnsi="Arial" w:cs="Arial"/>
          <w:sz w:val="24"/>
          <w:szCs w:val="24"/>
        </w:rPr>
      </w:pPr>
      <w:r w:rsidRPr="00206611">
        <w:rPr>
          <w:rFonts w:ascii="Arial" w:hAnsi="Arial" w:cs="Arial"/>
          <w:sz w:val="24"/>
          <w:szCs w:val="24"/>
        </w:rPr>
        <w:t>The financial problem that is being discussed in the scope of this report is the strategic financial challenge of restoring value and stability at General Electronics, the international consumer electronics company that is currently undergoing the incessant financial decline. As Chief Financial Officer, the main challenge is a diagnosis of the financial deficiencies of the firm in the last five years (2020</w:t>
      </w:r>
      <w:r>
        <w:rPr>
          <w:rFonts w:ascii="Arial" w:hAnsi="Arial" w:cs="Arial"/>
          <w:sz w:val="24"/>
          <w:szCs w:val="24"/>
        </w:rPr>
        <w:t>-</w:t>
      </w:r>
      <w:r w:rsidRPr="00206611">
        <w:rPr>
          <w:rFonts w:ascii="Arial" w:hAnsi="Arial" w:cs="Arial"/>
          <w:sz w:val="24"/>
          <w:szCs w:val="24"/>
        </w:rPr>
        <w:t>2024) and map out a financially plausible turnaround process with global scalability that is founded on solid financial evidence. The analysis of financial statements is a vital element of such a process because it allows the systematically assessing profitability, liquidity, efficiency, and solvency, and therefore makes informed strategic decisions on both operational and corporate levels</w:t>
      </w:r>
      <w:r w:rsidR="008C4059">
        <w:rPr>
          <w:rFonts w:ascii="Arial" w:hAnsi="Arial" w:cs="Arial"/>
          <w:sz w:val="24"/>
          <w:szCs w:val="24"/>
        </w:rPr>
        <w:t xml:space="preserve">. </w:t>
      </w:r>
    </w:p>
    <w:p w14:paraId="13841112" w14:textId="57B1970A" w:rsidR="00C81BB7" w:rsidRDefault="00C81BB7">
      <w:pPr>
        <w:rPr>
          <w:rFonts w:ascii="Arial" w:hAnsi="Arial" w:cs="Arial"/>
          <w:sz w:val="24"/>
          <w:szCs w:val="24"/>
        </w:rPr>
      </w:pPr>
      <w:r>
        <w:rPr>
          <w:rFonts w:ascii="Arial" w:hAnsi="Arial" w:cs="Arial"/>
          <w:sz w:val="24"/>
          <w:szCs w:val="24"/>
        </w:rPr>
        <w:br w:type="page"/>
      </w:r>
    </w:p>
    <w:p w14:paraId="52FC4AA6" w14:textId="5159D50E" w:rsidR="00206611" w:rsidRDefault="00ED518C" w:rsidP="00ED518C">
      <w:pPr>
        <w:pStyle w:val="Heading1"/>
        <w:rPr>
          <w:b w:val="0"/>
        </w:rPr>
      </w:pPr>
      <w:bookmarkStart w:id="1" w:name="_Toc217280888"/>
      <w:r>
        <w:lastRenderedPageBreak/>
        <w:t xml:space="preserve">1.0 </w:t>
      </w:r>
      <w:r w:rsidR="00E17A77" w:rsidRPr="00ED518C">
        <w:t>Financial Health Check of General Electronics (2020–2024)</w:t>
      </w:r>
      <w:bookmarkEnd w:id="1"/>
    </w:p>
    <w:p w14:paraId="51135CB7" w14:textId="77777777" w:rsidR="00ED518C" w:rsidRPr="00ED518C" w:rsidRDefault="00ED518C" w:rsidP="00ED518C"/>
    <w:p w14:paraId="3858A9F3" w14:textId="37E607CD" w:rsidR="00ED518C" w:rsidRDefault="00ED518C" w:rsidP="00ED518C">
      <w:pPr>
        <w:pStyle w:val="Heading2"/>
      </w:pPr>
      <w:bookmarkStart w:id="2" w:name="_Toc217280889"/>
      <w:r>
        <w:t xml:space="preserve">1.1 </w:t>
      </w:r>
      <w:r>
        <w:t>Analysis of the Firm’s Financial Statements</w:t>
      </w:r>
      <w:bookmarkEnd w:id="2"/>
    </w:p>
    <w:p w14:paraId="24D790ED" w14:textId="77777777" w:rsidR="00ED518C" w:rsidRDefault="00ED518C" w:rsidP="00ED518C"/>
    <w:p w14:paraId="0FE4EC29" w14:textId="3030F443" w:rsidR="00ED518C" w:rsidRPr="00ED518C" w:rsidRDefault="00BE74BD" w:rsidP="00ED518C">
      <w:pPr>
        <w:spacing w:line="360" w:lineRule="auto"/>
        <w:jc w:val="both"/>
        <w:rPr>
          <w:rFonts w:ascii="Arial" w:hAnsi="Arial" w:cs="Arial"/>
          <w:sz w:val="24"/>
          <w:szCs w:val="24"/>
        </w:rPr>
      </w:pPr>
      <w:r>
        <w:rPr>
          <w:rFonts w:ascii="Arial" w:hAnsi="Arial" w:cs="Arial"/>
          <w:sz w:val="24"/>
          <w:szCs w:val="24"/>
        </w:rPr>
        <w:t>This section will assess financial statement analysis of</w:t>
      </w:r>
      <w:r w:rsidR="00ED518C" w:rsidRPr="00ED518C">
        <w:rPr>
          <w:rFonts w:ascii="Arial" w:hAnsi="Arial" w:cs="Arial"/>
          <w:sz w:val="24"/>
          <w:szCs w:val="24"/>
        </w:rPr>
        <w:t xml:space="preserve"> General Electronics </w:t>
      </w:r>
      <w:r>
        <w:rPr>
          <w:rFonts w:ascii="Arial" w:hAnsi="Arial" w:cs="Arial"/>
          <w:sz w:val="24"/>
          <w:szCs w:val="24"/>
        </w:rPr>
        <w:t xml:space="preserve">from </w:t>
      </w:r>
      <w:r w:rsidR="00ED518C" w:rsidRPr="00ED518C">
        <w:rPr>
          <w:rFonts w:ascii="Arial" w:hAnsi="Arial" w:cs="Arial"/>
          <w:sz w:val="24"/>
          <w:szCs w:val="24"/>
        </w:rPr>
        <w:t>2020</w:t>
      </w:r>
      <w:r>
        <w:rPr>
          <w:rFonts w:ascii="Arial" w:hAnsi="Arial" w:cs="Arial"/>
          <w:sz w:val="24"/>
          <w:szCs w:val="24"/>
        </w:rPr>
        <w:t xml:space="preserve"> to </w:t>
      </w:r>
      <w:r w:rsidR="00ED518C" w:rsidRPr="00ED518C">
        <w:rPr>
          <w:rFonts w:ascii="Arial" w:hAnsi="Arial" w:cs="Arial"/>
          <w:sz w:val="24"/>
          <w:szCs w:val="24"/>
        </w:rPr>
        <w:t xml:space="preserve">2024. In the income statement, it can be seen that revenues not only contract sharply, </w:t>
      </w:r>
      <w:r>
        <w:rPr>
          <w:rFonts w:ascii="Times New Roman" w:hAnsi="Times New Roman" w:cs="Times New Roman"/>
          <w:sz w:val="24"/>
          <w:szCs w:val="24"/>
        </w:rPr>
        <w:t>£</w:t>
      </w:r>
      <w:r w:rsidR="00ED518C" w:rsidRPr="00ED518C">
        <w:rPr>
          <w:rFonts w:ascii="Arial" w:hAnsi="Arial" w:cs="Arial"/>
          <w:sz w:val="24"/>
          <w:szCs w:val="24"/>
        </w:rPr>
        <w:t xml:space="preserve">614.7bn (2020) to </w:t>
      </w:r>
      <w:r>
        <w:rPr>
          <w:rFonts w:ascii="Times New Roman" w:hAnsi="Times New Roman" w:cs="Times New Roman"/>
          <w:sz w:val="24"/>
          <w:szCs w:val="24"/>
        </w:rPr>
        <w:t>£</w:t>
      </w:r>
      <w:r w:rsidR="00ED518C" w:rsidRPr="00ED518C">
        <w:rPr>
          <w:rFonts w:ascii="Arial" w:hAnsi="Arial" w:cs="Arial"/>
          <w:sz w:val="24"/>
          <w:szCs w:val="24"/>
        </w:rPr>
        <w:t>394.9bn (2024), but also that the profitability will shift towards a systematic operating and net loss. The balance sheet reveals that the total assets have been worn down in a material manner (-36.6 percent in five years), the equity dwindled, and the use of debt financing increased. In the meantime, cash flow statement indicates a decline in operating cash flow generation, an increase in volatility, and an increase in reliance on working-capital flow as opposed to operating profitability. All these statements show that the decline in the financial health of the firm is structural and not cyclical, and that requires ratio-based analysis which is an integrated evaluation of industry as well as macroeconomic conditions.</w:t>
      </w:r>
      <w:r>
        <w:rPr>
          <w:rFonts w:ascii="Arial" w:hAnsi="Arial" w:cs="Arial"/>
          <w:sz w:val="24"/>
          <w:szCs w:val="24"/>
        </w:rPr>
        <w:t xml:space="preserve"> </w:t>
      </w:r>
    </w:p>
    <w:p w14:paraId="5C448F93" w14:textId="4644B4E1" w:rsidR="00ED518C" w:rsidRPr="00ED518C" w:rsidRDefault="00ED518C" w:rsidP="00ED518C">
      <w:pPr>
        <w:pStyle w:val="Heading2"/>
      </w:pPr>
      <w:bookmarkStart w:id="3" w:name="_Toc217280890"/>
      <w:r w:rsidRPr="00ED518C">
        <w:t>1.</w:t>
      </w:r>
      <w:r w:rsidRPr="00ED518C">
        <w:t>2</w:t>
      </w:r>
      <w:r w:rsidRPr="00ED518C">
        <w:t xml:space="preserve"> </w:t>
      </w:r>
      <w:r w:rsidRPr="00ED518C">
        <w:t>Profitability Ratio Analysis</w:t>
      </w:r>
      <w:bookmarkEnd w:id="3"/>
      <w:r w:rsidRPr="00ED518C">
        <w:t xml:space="preserve"> </w:t>
      </w:r>
    </w:p>
    <w:p w14:paraId="4D44DA76" w14:textId="61178BC6"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Profitability ratios evaluate the ability of the firm to change the revenues, assets and equity into sustainable earnings (</w:t>
      </w:r>
      <w:proofErr w:type="spellStart"/>
      <w:r w:rsidRPr="00ED518C">
        <w:rPr>
          <w:rFonts w:ascii="Arial" w:hAnsi="Arial" w:cs="Arial"/>
          <w:sz w:val="24"/>
          <w:szCs w:val="24"/>
        </w:rPr>
        <w:t>Atrill</w:t>
      </w:r>
      <w:proofErr w:type="spellEnd"/>
      <w:r w:rsidRPr="00ED518C">
        <w:rPr>
          <w:rFonts w:ascii="Arial" w:hAnsi="Arial" w:cs="Arial"/>
          <w:sz w:val="24"/>
          <w:szCs w:val="24"/>
        </w:rPr>
        <w:t xml:space="preserve"> &amp; McLaney, 2017). The decreasing profitability of General Electronics 2020-2024 should thus be compared to the post-pandemic demand </w:t>
      </w:r>
      <w:proofErr w:type="spellStart"/>
      <w:r w:rsidRPr="00ED518C">
        <w:rPr>
          <w:rFonts w:ascii="Arial" w:hAnsi="Arial" w:cs="Arial"/>
          <w:sz w:val="24"/>
          <w:szCs w:val="24"/>
        </w:rPr>
        <w:t>normalisation</w:t>
      </w:r>
      <w:proofErr w:type="spellEnd"/>
      <w:r w:rsidRPr="00ED518C">
        <w:rPr>
          <w:rFonts w:ascii="Arial" w:hAnsi="Arial" w:cs="Arial"/>
          <w:sz w:val="24"/>
          <w:szCs w:val="24"/>
        </w:rPr>
        <w:t>, world inflation, geopolitical friction, and the unpredictable semiconductor market volatility.</w:t>
      </w:r>
    </w:p>
    <w:p w14:paraId="657DB576" w14:textId="0BC651A9"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 xml:space="preserve">Gross profit margins were not especially high and varied around 28 percent during 2020-2022 due to the short-term pricing support caused by the global chip shortages. Diversified electronics firms like Sony Group and LG Electronics also had similar margin resilience which buoyed them temporarily because of limited supply and postponed consumer demand (Sony Group, 2023; LG Electronics, 2023). But in 2023, the gross margin of General Electronics dropped drastically to 23.2% signifying that increasing component prices, inflation in the logistics and escalated price competition could not be transferred to consumers any longer. Although marginal improved to 28.9 in 2024, this </w:t>
      </w:r>
      <w:r w:rsidRPr="00ED518C">
        <w:rPr>
          <w:rFonts w:ascii="Arial" w:hAnsi="Arial" w:cs="Arial"/>
          <w:sz w:val="24"/>
          <w:szCs w:val="24"/>
        </w:rPr>
        <w:lastRenderedPageBreak/>
        <w:t xml:space="preserve">had not translated to earnings, indicating the existence of more underlying </w:t>
      </w:r>
      <w:r w:rsidR="00BE74BD">
        <w:rPr>
          <w:rFonts w:ascii="Arial" w:hAnsi="Arial" w:cs="Arial"/>
          <w:sz w:val="24"/>
          <w:szCs w:val="24"/>
        </w:rPr>
        <w:t xml:space="preserve">inefficiencies </w:t>
      </w:r>
      <w:r w:rsidRPr="00ED518C">
        <w:rPr>
          <w:rFonts w:ascii="Arial" w:hAnsi="Arial" w:cs="Arial"/>
          <w:sz w:val="24"/>
          <w:szCs w:val="24"/>
        </w:rPr>
        <w:t>of operations.</w:t>
      </w:r>
    </w:p>
    <w:p w14:paraId="22A74C7B" w14:textId="12F3B1A4"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 xml:space="preserve">This </w:t>
      </w:r>
      <w:r w:rsidR="00BE74BD">
        <w:rPr>
          <w:rFonts w:ascii="Arial" w:hAnsi="Arial" w:cs="Arial"/>
          <w:sz w:val="24"/>
          <w:szCs w:val="24"/>
        </w:rPr>
        <w:t>inefficiency</w:t>
      </w:r>
      <w:r w:rsidRPr="00ED518C">
        <w:rPr>
          <w:rFonts w:ascii="Arial" w:hAnsi="Arial" w:cs="Arial"/>
          <w:sz w:val="24"/>
          <w:szCs w:val="24"/>
        </w:rPr>
        <w:t xml:space="preserve"> is clearly observed in the operating and net margin that worsened in 2023 to -20.3 and -23.4 compared to 2020 +6.1 and +6.3. Other similar companies like HP Inc. and Dell Technologies also showed margin compression over the same time and had positive operating margins because they had better cost discipline and operating models that were scaled (HP Inc., 2024; Dell Technologies, 2024). Both the asset deployment and equity financing proved not to contribute to the economic returns as the collapse in ROA and ROE of General Electronics confirm. These interconnected declines indicate the declining profitability directly undermined equity, augmented leverage and curtailed financial flexibility, which underpin the susceptibility of the firm to external shocks (</w:t>
      </w:r>
      <w:proofErr w:type="spellStart"/>
      <w:r w:rsidRPr="00ED518C">
        <w:rPr>
          <w:rFonts w:ascii="Arial" w:hAnsi="Arial" w:cs="Arial"/>
          <w:sz w:val="24"/>
          <w:szCs w:val="24"/>
        </w:rPr>
        <w:t>Ramdhan</w:t>
      </w:r>
      <w:proofErr w:type="spellEnd"/>
      <w:r w:rsidRPr="00ED518C">
        <w:rPr>
          <w:rFonts w:ascii="Arial" w:hAnsi="Arial" w:cs="Arial"/>
          <w:sz w:val="24"/>
          <w:szCs w:val="24"/>
        </w:rPr>
        <w:t xml:space="preserve"> et al., 2025; Rashid, 2021).</w:t>
      </w:r>
    </w:p>
    <w:p w14:paraId="072DD1A5" w14:textId="15CA3AD2" w:rsidR="00ED518C" w:rsidRPr="00ED518C" w:rsidRDefault="00ED518C" w:rsidP="00ED518C">
      <w:pPr>
        <w:pStyle w:val="Heading2"/>
      </w:pPr>
      <w:bookmarkStart w:id="4" w:name="_Toc217280891"/>
      <w:r w:rsidRPr="00ED518C">
        <w:t xml:space="preserve">1.2 Liquidity </w:t>
      </w:r>
      <w:r>
        <w:t>Ratio Analysis</w:t>
      </w:r>
      <w:bookmarkEnd w:id="4"/>
    </w:p>
    <w:p w14:paraId="03D05AF2"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Liquidity ratios assess the short-term solvency, but should be put into perspective of industry operating risk and macroeconomic stress (Keown et al., 2024). Whereas General Electronics has continued to have a current ratio of more than 1 in the period, the decrease in liquidity buffer of 1.82 (2020) to 1.53 (2024) demonstrates a decreased liquidity buffer and not a strong liquidity buffer.</w:t>
      </w:r>
    </w:p>
    <w:p w14:paraId="6B3DABA3"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Declining of the quick ratios to about 0.91-0.93 indicates that there is more reliance on inventory turnover, which increases the risk of cash flows in a business environment that is highly technologically obsolescent (Sodhi and Lee, 2007). Conversely, other peers like Sony Group were in a better position because they utilized supply-chain planning and inventory analytics resulting in better quick and cash ratios (Sony Group, 2023). The further decline in the cash ratio to 0.17 additional puts General Electronics at risk of revenue shocks, particularly amid high-interest rates, in which refinancing rates have gone up all over the world.</w:t>
      </w:r>
    </w:p>
    <w:p w14:paraId="37EE6F1F" w14:textId="3A76770C"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 xml:space="preserve">More importantly, liquidity weakness is </w:t>
      </w:r>
      <w:r w:rsidRPr="00BE74BD">
        <w:rPr>
          <w:rFonts w:ascii="Arial" w:hAnsi="Arial" w:cs="Arial"/>
          <w:sz w:val="24"/>
          <w:szCs w:val="24"/>
        </w:rPr>
        <w:t xml:space="preserve">not </w:t>
      </w:r>
      <w:r w:rsidR="00BE74BD" w:rsidRPr="00BE74BD">
        <w:rPr>
          <w:rFonts w:ascii="Arial" w:hAnsi="Arial" w:cs="Arial"/>
          <w:sz w:val="24"/>
          <w:szCs w:val="24"/>
        </w:rPr>
        <w:t>independent</w:t>
      </w:r>
      <w:r w:rsidRPr="00BE74BD">
        <w:rPr>
          <w:rFonts w:ascii="Arial" w:hAnsi="Arial" w:cs="Arial"/>
          <w:sz w:val="24"/>
          <w:szCs w:val="24"/>
        </w:rPr>
        <w:t xml:space="preserve"> with the decrease</w:t>
      </w:r>
      <w:r w:rsidRPr="00ED518C">
        <w:rPr>
          <w:rFonts w:ascii="Arial" w:hAnsi="Arial" w:cs="Arial"/>
          <w:sz w:val="24"/>
          <w:szCs w:val="24"/>
        </w:rPr>
        <w:t xml:space="preserve"> in profitability. Recurrent operating losses decreased the retained earnings, limited internal financing and augmented the dependency on the short time credit facilities, ascertaining a negative response loop amid liquidity strain and earnings decay.</w:t>
      </w:r>
    </w:p>
    <w:p w14:paraId="5129C91C" w14:textId="49A4AE58" w:rsidR="00ED518C" w:rsidRPr="00ED518C" w:rsidRDefault="00ED518C" w:rsidP="00ED518C">
      <w:pPr>
        <w:pStyle w:val="Heading2"/>
      </w:pPr>
      <w:bookmarkStart w:id="5" w:name="_Toc217280892"/>
      <w:r w:rsidRPr="00ED518C">
        <w:lastRenderedPageBreak/>
        <w:t xml:space="preserve">1.3 </w:t>
      </w:r>
      <w:r>
        <w:t>Efficiency Ratio Analysis</w:t>
      </w:r>
      <w:bookmarkEnd w:id="5"/>
    </w:p>
    <w:p w14:paraId="4B1510A3"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Efficiency ratios indicate the effectiveness of conversion of assets into revenue and cash. The asset turnover of General Electronics has decreased in 2022 to 1.08 (2020) and again slightly increased to 1.22 in 2024. This restoration seems to be a contraction of assets rather than operational restoration raising issues on sustainability.</w:t>
      </w:r>
    </w:p>
    <w:p w14:paraId="022C126A"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The days outstanding rose sharply and stood at more than 100 days in 2024, whereas inventory days were structurally high. Other similar manufacturers like LG Electronics minimized inventory risk by use of demand-based output and online forecasting to reduce working-capital pressure (LG Electronics, 2023). In the case of General Electronics, long operating cycles had a direct adverse effect on liquidity and quality of cash-flows, which shows how efficiency ratios and short-term solvency are connected to each other.</w:t>
      </w:r>
    </w:p>
    <w:p w14:paraId="6FCB0DC6" w14:textId="35512BB5" w:rsidR="00ED518C" w:rsidRPr="00ED518C" w:rsidRDefault="00ED518C" w:rsidP="00ED518C">
      <w:pPr>
        <w:pStyle w:val="Heading2"/>
      </w:pPr>
      <w:bookmarkStart w:id="6" w:name="_Toc217280893"/>
      <w:r w:rsidRPr="00ED518C">
        <w:t xml:space="preserve">1.4 </w:t>
      </w:r>
      <w:r>
        <w:t>Gearing Ratio Analysis</w:t>
      </w:r>
      <w:bookmarkEnd w:id="6"/>
      <w:r>
        <w:t xml:space="preserve"> </w:t>
      </w:r>
    </w:p>
    <w:p w14:paraId="5BDC57A5"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Leverage ratios represent a significant change in the financial risk. The debt-to-equity ratio increased to 1.11 with the growth of the equity multiplier to 2.11, as compared to 0.63 (2020). This change indicates that there is a decline in equity and not productive leverage. The increasing interest rates in the world after the tightening of the monetary policy after the pandemic further contributed to debt-servicing pressure throughout the electronics industry (IMF, 2024).</w:t>
      </w:r>
    </w:p>
    <w:p w14:paraId="2F1B494E"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Debt interest coverage turned negative in loss years, and this was an indication that it could not service its debt through its operations. In contrast to diversified competitors, like Dell Technologies, that refinanced their debts and maintained coverage ratios, the leverage at General Electronics increased the volatility in earnings and enhanced refinancing risk. This proves that the fragility of the capital structure is tightly connected with the decreasing profitability and low cash production (</w:t>
      </w:r>
      <w:proofErr w:type="spellStart"/>
      <w:r w:rsidRPr="00ED518C">
        <w:rPr>
          <w:rFonts w:ascii="Arial" w:hAnsi="Arial" w:cs="Arial"/>
          <w:sz w:val="24"/>
          <w:szCs w:val="24"/>
        </w:rPr>
        <w:t>Siyanbola</w:t>
      </w:r>
      <w:proofErr w:type="spellEnd"/>
      <w:r w:rsidRPr="00ED518C">
        <w:rPr>
          <w:rFonts w:ascii="Arial" w:hAnsi="Arial" w:cs="Arial"/>
          <w:sz w:val="24"/>
          <w:szCs w:val="24"/>
        </w:rPr>
        <w:t xml:space="preserve"> et al., 2015).</w:t>
      </w:r>
    </w:p>
    <w:p w14:paraId="44D8128C" w14:textId="26154061" w:rsidR="00ED518C" w:rsidRPr="00ED518C" w:rsidRDefault="00ED518C" w:rsidP="00ED518C">
      <w:pPr>
        <w:pStyle w:val="Heading2"/>
      </w:pPr>
      <w:bookmarkStart w:id="7" w:name="_Toc217280894"/>
      <w:r w:rsidRPr="00ED518C">
        <w:t xml:space="preserve">1.5 Investment </w:t>
      </w:r>
      <w:r>
        <w:t>and Market Ratio Analysis</w:t>
      </w:r>
      <w:bookmarkEnd w:id="7"/>
      <w:r>
        <w:t xml:space="preserve"> </w:t>
      </w:r>
    </w:p>
    <w:p w14:paraId="304C5D33" w14:textId="5770F84E"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 xml:space="preserve">The performance of shareholders worsened significantly as EPS decreased to -PS1.85 in 2024 and ROE was below 0. Conversely, the companies like HP Inc. maintained a positive albeit lower shareholder returns by restructuring its costs and being capital-disciplined (HP Inc., 2024). In the case of General Electronics, the costs of equity are </w:t>
      </w:r>
      <w:r w:rsidRPr="00ED518C">
        <w:rPr>
          <w:rFonts w:ascii="Arial" w:hAnsi="Arial" w:cs="Arial"/>
          <w:sz w:val="24"/>
          <w:szCs w:val="24"/>
        </w:rPr>
        <w:lastRenderedPageBreak/>
        <w:t xml:space="preserve">raised by sustained negative ROE and limit strategic </w:t>
      </w:r>
      <w:proofErr w:type="spellStart"/>
      <w:r w:rsidRPr="00ED518C">
        <w:rPr>
          <w:rFonts w:ascii="Arial" w:hAnsi="Arial" w:cs="Arial"/>
          <w:sz w:val="24"/>
          <w:szCs w:val="24"/>
        </w:rPr>
        <w:t>optionability</w:t>
      </w:r>
      <w:proofErr w:type="spellEnd"/>
      <w:r w:rsidRPr="00ED518C">
        <w:rPr>
          <w:rFonts w:ascii="Arial" w:hAnsi="Arial" w:cs="Arial"/>
          <w:sz w:val="24"/>
          <w:szCs w:val="24"/>
        </w:rPr>
        <w:t xml:space="preserve">, which deepens the loss of </w:t>
      </w:r>
      <w:r w:rsidRPr="00ED518C">
        <w:rPr>
          <w:rFonts w:ascii="Arial" w:hAnsi="Arial" w:cs="Arial"/>
          <w:sz w:val="24"/>
          <w:szCs w:val="24"/>
        </w:rPr>
        <w:t>long-term</w:t>
      </w:r>
      <w:r w:rsidRPr="00ED518C">
        <w:rPr>
          <w:rFonts w:ascii="Arial" w:hAnsi="Arial" w:cs="Arial"/>
          <w:sz w:val="24"/>
          <w:szCs w:val="24"/>
        </w:rPr>
        <w:t xml:space="preserve"> values.</w:t>
      </w:r>
    </w:p>
    <w:p w14:paraId="7CA04D48" w14:textId="0A79532C" w:rsidR="00ED518C" w:rsidRPr="00ED518C" w:rsidRDefault="00ED518C" w:rsidP="00BE74BD">
      <w:pPr>
        <w:pStyle w:val="Heading2"/>
      </w:pPr>
      <w:bookmarkStart w:id="8" w:name="_Toc217280895"/>
      <w:r w:rsidRPr="00ED518C">
        <w:t xml:space="preserve">1.6 Cash Flow </w:t>
      </w:r>
      <w:r w:rsidR="00BE74BD">
        <w:t>Analysis</w:t>
      </w:r>
      <w:bookmarkEnd w:id="8"/>
      <w:r w:rsidR="00BE74BD">
        <w:t xml:space="preserve"> </w:t>
      </w:r>
    </w:p>
    <w:p w14:paraId="2CC1C89B" w14:textId="77777777"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The cash-flow coverage ratios continued to fall, which is a sign of diminishing the capability to turn earnings into liquidity (</w:t>
      </w:r>
      <w:proofErr w:type="spellStart"/>
      <w:r w:rsidRPr="00ED518C">
        <w:rPr>
          <w:rFonts w:ascii="Arial" w:hAnsi="Arial" w:cs="Arial"/>
          <w:sz w:val="24"/>
          <w:szCs w:val="24"/>
        </w:rPr>
        <w:t>Atrill</w:t>
      </w:r>
      <w:proofErr w:type="spellEnd"/>
      <w:r w:rsidRPr="00ED518C">
        <w:rPr>
          <w:rFonts w:ascii="Arial" w:hAnsi="Arial" w:cs="Arial"/>
          <w:sz w:val="24"/>
          <w:szCs w:val="24"/>
        </w:rPr>
        <w:t xml:space="preserve"> &amp; McLaney, 2017). Despite the positive operating cash flows, they were becoming more and more operated by working-capital adjustments and not on the basis of core profitability. This is an extension of some industry-wide issues associated with supply-chain disruption and demand uncertainty, yet the extent of the decay indicates company-specific vulnerabilities in managing cash flow (</w:t>
      </w:r>
      <w:proofErr w:type="spellStart"/>
      <w:r w:rsidRPr="00ED518C">
        <w:rPr>
          <w:rFonts w:ascii="Arial" w:hAnsi="Arial" w:cs="Arial"/>
          <w:sz w:val="24"/>
          <w:szCs w:val="24"/>
        </w:rPr>
        <w:t>Schoenmaker</w:t>
      </w:r>
      <w:proofErr w:type="spellEnd"/>
      <w:r w:rsidRPr="00ED518C">
        <w:rPr>
          <w:rFonts w:ascii="Arial" w:hAnsi="Arial" w:cs="Arial"/>
          <w:sz w:val="24"/>
          <w:szCs w:val="24"/>
        </w:rPr>
        <w:t xml:space="preserve"> and </w:t>
      </w:r>
      <w:proofErr w:type="spellStart"/>
      <w:r w:rsidRPr="00ED518C">
        <w:rPr>
          <w:rFonts w:ascii="Arial" w:hAnsi="Arial" w:cs="Arial"/>
          <w:sz w:val="24"/>
          <w:szCs w:val="24"/>
        </w:rPr>
        <w:t>Schramade</w:t>
      </w:r>
      <w:proofErr w:type="spellEnd"/>
      <w:r w:rsidRPr="00ED518C">
        <w:rPr>
          <w:rFonts w:ascii="Arial" w:hAnsi="Arial" w:cs="Arial"/>
          <w:sz w:val="24"/>
          <w:szCs w:val="24"/>
        </w:rPr>
        <w:t>, 2019).</w:t>
      </w:r>
    </w:p>
    <w:p w14:paraId="2139A91E" w14:textId="6B78742E" w:rsidR="00ED518C" w:rsidRPr="00ED518C" w:rsidRDefault="00ED518C" w:rsidP="00BE74BD">
      <w:pPr>
        <w:pStyle w:val="Heading2"/>
      </w:pPr>
      <w:bookmarkStart w:id="9" w:name="_Toc217280896"/>
      <w:r w:rsidRPr="00ED518C">
        <w:t>1.7 Built in Trend Analysis: Strengths and New Threats</w:t>
      </w:r>
      <w:bookmarkEnd w:id="9"/>
    </w:p>
    <w:p w14:paraId="451C0BC7" w14:textId="11BC6108" w:rsidR="00ED518C" w:rsidRPr="00ED518C" w:rsidRDefault="00ED518C" w:rsidP="00ED518C">
      <w:pPr>
        <w:spacing w:line="360" w:lineRule="auto"/>
        <w:jc w:val="both"/>
        <w:rPr>
          <w:rFonts w:ascii="Arial" w:hAnsi="Arial" w:cs="Arial"/>
          <w:sz w:val="24"/>
          <w:szCs w:val="24"/>
        </w:rPr>
      </w:pPr>
      <w:r w:rsidRPr="00ED518C">
        <w:rPr>
          <w:rFonts w:ascii="Arial" w:hAnsi="Arial" w:cs="Arial"/>
          <w:sz w:val="24"/>
          <w:szCs w:val="24"/>
        </w:rPr>
        <w:t xml:space="preserve">All these ratios indicate that the financial health of General Electronics is much more interdependent on external economic and industry factors than independent. Reduced profitability undermined liquidity and equity, heightened leverage, decreased interest coverage and diminished strategic flexibility. Notably, there is a pattern of trends in the Appendix ratio of the fact that when the operating margins became negative, retained earnings dropped at a high rate, directly swelling gearing ratios and weakening solvency indicators. The decline in the efficiency ratios further exacerbated the operating cycle hence straining cash flows and dependence on short-term funding. These vulnerabilities were exacerbated in the consumer electronics value chain by post-pandemic </w:t>
      </w:r>
      <w:proofErr w:type="spellStart"/>
      <w:r w:rsidRPr="00ED518C">
        <w:rPr>
          <w:rFonts w:ascii="Arial" w:hAnsi="Arial" w:cs="Arial"/>
          <w:sz w:val="24"/>
          <w:szCs w:val="24"/>
        </w:rPr>
        <w:t>normalisation</w:t>
      </w:r>
      <w:proofErr w:type="spellEnd"/>
      <w:r w:rsidRPr="00ED518C">
        <w:rPr>
          <w:rFonts w:ascii="Arial" w:hAnsi="Arial" w:cs="Arial"/>
          <w:sz w:val="24"/>
          <w:szCs w:val="24"/>
        </w:rPr>
        <w:t xml:space="preserve"> of demand, inflationary pressures, geopolitical tensions and semiconductor supply realignments - driven by the upstream producers like TSMC (TSMC, 2024). </w:t>
      </w:r>
    </w:p>
    <w:p w14:paraId="408E447B" w14:textId="3413BC71" w:rsidR="00ED518C" w:rsidRPr="00ED518C" w:rsidRDefault="00ED518C" w:rsidP="00BE74BD">
      <w:pPr>
        <w:pStyle w:val="Heading2"/>
      </w:pPr>
      <w:bookmarkStart w:id="10" w:name="_Toc217280897"/>
      <w:r w:rsidRPr="00ED518C">
        <w:t>1.8 Corporate Failure Risk Assessment: Altman Z-Score</w:t>
      </w:r>
      <w:bookmarkEnd w:id="10"/>
    </w:p>
    <w:p w14:paraId="33DF5241" w14:textId="02E3336C" w:rsidR="00ED518C" w:rsidRPr="00BE74BD" w:rsidRDefault="00ED518C" w:rsidP="00BE74BD">
      <w:pPr>
        <w:spacing w:line="360" w:lineRule="auto"/>
        <w:jc w:val="both"/>
        <w:rPr>
          <w:rFonts w:ascii="Arial" w:hAnsi="Arial" w:cs="Arial"/>
          <w:sz w:val="24"/>
          <w:szCs w:val="24"/>
        </w:rPr>
      </w:pPr>
      <w:r w:rsidRPr="00ED518C">
        <w:rPr>
          <w:rFonts w:ascii="Arial" w:hAnsi="Arial" w:cs="Arial"/>
          <w:sz w:val="24"/>
          <w:szCs w:val="24"/>
        </w:rPr>
        <w:t xml:space="preserve">According to the Altman Z-Score, the immediate bankruptcy will have low risk, mainly because of market-value-based elements. But calculations in the Appendix show that it is disproportionately contributed by such a headline strength of the equity market value element (X4), whereas operating profitability (X3) declined drastically in 2020 but then it shifted to the negative range in years of loss making. In the case of General Electronics, such an imbalance suggests that the Z-Score exaggerates the financial strength because it hides structural weaknesses in earnings and deteriorating retained profits. The negative </w:t>
      </w:r>
      <w:r w:rsidRPr="00ED518C">
        <w:rPr>
          <w:rFonts w:ascii="Arial" w:hAnsi="Arial" w:cs="Arial"/>
          <w:sz w:val="24"/>
          <w:szCs w:val="24"/>
        </w:rPr>
        <w:lastRenderedPageBreak/>
        <w:t>ROA and ROE would continue to lower the internal capital formation, which may quickly squeeze the Z-Score in case of future market confidence declining. As such, even with a positive numerical rating, General Electronics is at risk of a medium-term failure unless it starts generating profits and cash at a faster rate.</w:t>
      </w:r>
    </w:p>
    <w:p w14:paraId="6224656E" w14:textId="3D75A731" w:rsidR="002D4226" w:rsidRDefault="0094331B" w:rsidP="00EC2335">
      <w:pPr>
        <w:pStyle w:val="Heading1"/>
        <w:rPr>
          <w:b w:val="0"/>
        </w:rPr>
      </w:pPr>
      <w:bookmarkStart w:id="11" w:name="_Toc217280898"/>
      <w:r w:rsidRPr="0094331B">
        <w:t xml:space="preserve">2.0 </w:t>
      </w:r>
      <w:r w:rsidRPr="00EC2335">
        <w:t>Working</w:t>
      </w:r>
      <w:r w:rsidRPr="0094331B">
        <w:t xml:space="preserve"> Capital Management Analysis</w:t>
      </w:r>
      <w:bookmarkEnd w:id="11"/>
    </w:p>
    <w:p w14:paraId="73BDE1BD" w14:textId="77777777" w:rsidR="00EC2335" w:rsidRPr="00EC2335" w:rsidRDefault="00EC2335" w:rsidP="00EC2335">
      <w:pPr>
        <w:pStyle w:val="Heading2"/>
      </w:pPr>
      <w:bookmarkStart w:id="12" w:name="_Toc217280899"/>
      <w:r w:rsidRPr="00EC2335">
        <w:t>2.1 Assessment of the Cash Operating Cycle</w:t>
      </w:r>
      <w:bookmarkEnd w:id="12"/>
    </w:p>
    <w:p w14:paraId="568A0EF6"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The cash operating cycle (COC) measures the length of time a firm’s cash is committed to operational activities before it is recovered through customer receipts and is calculated as receivables days plus inventory days minus payables days (</w:t>
      </w:r>
      <w:proofErr w:type="spellStart"/>
      <w:r w:rsidRPr="00EC2335">
        <w:rPr>
          <w:rFonts w:ascii="Arial" w:hAnsi="Arial" w:cs="Arial"/>
        </w:rPr>
        <w:t>Atrill</w:t>
      </w:r>
      <w:proofErr w:type="spellEnd"/>
      <w:r w:rsidRPr="00EC2335">
        <w:rPr>
          <w:rFonts w:ascii="Arial" w:hAnsi="Arial" w:cs="Arial"/>
        </w:rPr>
        <w:t xml:space="preserve"> &amp; McLaney, 2017). For firms experiencing declining profitability and increasing leverage, an extended COC significantly elevates liquidity risk and dependence on external financing.</w:t>
      </w:r>
    </w:p>
    <w:p w14:paraId="096CE496"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Appendix B calculations show that General Electronics’ COC deteriorated materially from 112.12 days in 2020 to 138.66 days in 2024. This implies that cash is now tied up in operations for an additional 26.5 days, a development that is particularly concerning given the firm’s declining operating margins, weakening cash ratios and reduced operating cash flow coverage. Rather than reflecting a temporary post-pandemic disruption, the persistent lengthening of the COC indicates structural inefficiencies in working capital management.</w:t>
      </w:r>
    </w:p>
    <w:p w14:paraId="318A1394"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 xml:space="preserve">The primary driver of this deterioration is the sharp increase in receivables days, which rose from 76.86 days in 2020 to 105.54 days in 2024. This suggests weakened credit discipline, likely arising from the use of extended customer terms to </w:t>
      </w:r>
      <w:proofErr w:type="spellStart"/>
      <w:r w:rsidRPr="00EC2335">
        <w:rPr>
          <w:rFonts w:ascii="Arial" w:hAnsi="Arial" w:cs="Arial"/>
        </w:rPr>
        <w:t>stabilise</w:t>
      </w:r>
      <w:proofErr w:type="spellEnd"/>
      <w:r w:rsidRPr="00EC2335">
        <w:rPr>
          <w:rFonts w:ascii="Arial" w:hAnsi="Arial" w:cs="Arial"/>
        </w:rPr>
        <w:t xml:space="preserve"> revenues in a contracting market. While this approach may support short-term sales, it increases default risk and cash-flow volatility during economic downturns (Ismail &amp; Ahmed, 2023). For General Electronics, prolonged receivables directly amplified liquidity pressure at a time when internal cash generation was already deteriorating.</w:t>
      </w:r>
    </w:p>
    <w:p w14:paraId="191DDA60"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 xml:space="preserve">Inventory management further exacerbated the COC. Inventory days peaked at 131.04 days in 2022 before declining to 103.12 days in 2024. Although this reduction appears positive, Appendix data indicate that it coincided with declining sales volumes, implying </w:t>
      </w:r>
      <w:r w:rsidRPr="00EC2335">
        <w:rPr>
          <w:rFonts w:ascii="Arial" w:hAnsi="Arial" w:cs="Arial"/>
        </w:rPr>
        <w:lastRenderedPageBreak/>
        <w:t xml:space="preserve">demand contraction rather than genuine operational </w:t>
      </w:r>
      <w:proofErr w:type="spellStart"/>
      <w:r w:rsidRPr="00EC2335">
        <w:rPr>
          <w:rFonts w:ascii="Arial" w:hAnsi="Arial" w:cs="Arial"/>
        </w:rPr>
        <w:t>optimisation</w:t>
      </w:r>
      <w:proofErr w:type="spellEnd"/>
      <w:r w:rsidRPr="00EC2335">
        <w:rPr>
          <w:rFonts w:ascii="Arial" w:hAnsi="Arial" w:cs="Arial"/>
        </w:rPr>
        <w:t xml:space="preserve">. Inventory holding periods above 100 days represent a critical weakness in the consumer electronics industry, where rapid technological change heightens obsolescence and margin erosion risks (Morgan, 2025). By contrast, peers such as LG Electronics shortened inventory cycles through demand-driven planning and product </w:t>
      </w:r>
      <w:proofErr w:type="spellStart"/>
      <w:r w:rsidRPr="00EC2335">
        <w:rPr>
          <w:rFonts w:ascii="Arial" w:hAnsi="Arial" w:cs="Arial"/>
        </w:rPr>
        <w:t>rationalisation</w:t>
      </w:r>
      <w:proofErr w:type="spellEnd"/>
      <w:r w:rsidRPr="00EC2335">
        <w:rPr>
          <w:rFonts w:ascii="Arial" w:hAnsi="Arial" w:cs="Arial"/>
        </w:rPr>
        <w:t>, limiting cash lock-in and write-down exposure (LG Electronics, 2023).</w:t>
      </w:r>
    </w:p>
    <w:p w14:paraId="294F64E6" w14:textId="7E27FB7D" w:rsidR="00EC2335" w:rsidRPr="00EC2335" w:rsidRDefault="00EC2335" w:rsidP="00EC2335">
      <w:pPr>
        <w:pStyle w:val="NormalWeb"/>
        <w:spacing w:line="360" w:lineRule="auto"/>
        <w:jc w:val="both"/>
        <w:rPr>
          <w:rFonts w:ascii="Arial" w:hAnsi="Arial" w:cs="Arial"/>
        </w:rPr>
      </w:pPr>
      <w:r w:rsidRPr="00EC2335">
        <w:rPr>
          <w:rFonts w:ascii="Arial" w:hAnsi="Arial" w:cs="Arial"/>
        </w:rPr>
        <w:t xml:space="preserve">Payable days increased only modestly from 65 days in 2020 to 70 days in 2024, indicating that management did not actively use supplier financing to offset receivables and inventory inefficiencies. While excessive extension of payables may damage supplier relationships, the absence of strategic payables </w:t>
      </w:r>
      <w:proofErr w:type="spellStart"/>
      <w:r w:rsidRPr="00EC2335">
        <w:rPr>
          <w:rFonts w:ascii="Arial" w:hAnsi="Arial" w:cs="Arial"/>
        </w:rPr>
        <w:t>optimisation</w:t>
      </w:r>
      <w:proofErr w:type="spellEnd"/>
      <w:r w:rsidRPr="00EC2335">
        <w:rPr>
          <w:rFonts w:ascii="Arial" w:hAnsi="Arial" w:cs="Arial"/>
        </w:rPr>
        <w:t xml:space="preserve"> reflects weak integration of working capital levers. Overall, the lengthening COC has materially weakened General Electronics’ liquidity position and intensified financial risk.</w:t>
      </w:r>
    </w:p>
    <w:p w14:paraId="65DEA518" w14:textId="77777777" w:rsidR="00EC2335" w:rsidRPr="00EC2335" w:rsidRDefault="00EC2335" w:rsidP="00EC2335">
      <w:pPr>
        <w:pStyle w:val="Heading2"/>
      </w:pPr>
      <w:bookmarkStart w:id="13" w:name="_Toc217280900"/>
      <w:r w:rsidRPr="00EC2335">
        <w:t>2.2 Strategies to Improve Liquidity through Working Capital Reforms</w:t>
      </w:r>
      <w:bookmarkEnd w:id="13"/>
    </w:p>
    <w:p w14:paraId="297065E2"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To restore liquidity resilience, General Electronics must adopt a deliberately cash-focused working capital reform agenda. The first priority is receivables management. Credit terms should be segmented by customer risk profile, with tighter limits applied to low-margin or high-risk customers. Enhanced credit monitoring, automated invoicing and early-payment incentives would accelerate cash inflows without materially undermining sales volumes. Empirical evidence suggests that disciplined receivables governance can significantly shorten the cash cycle while maintaining revenue stability (</w:t>
      </w:r>
      <w:proofErr w:type="spellStart"/>
      <w:r w:rsidRPr="00EC2335">
        <w:rPr>
          <w:rFonts w:ascii="Arial" w:hAnsi="Arial" w:cs="Arial"/>
        </w:rPr>
        <w:t>Deloof</w:t>
      </w:r>
      <w:proofErr w:type="spellEnd"/>
      <w:r w:rsidRPr="00EC2335">
        <w:rPr>
          <w:rFonts w:ascii="Arial" w:hAnsi="Arial" w:cs="Arial"/>
        </w:rPr>
        <w:t xml:space="preserve">, 2003; </w:t>
      </w:r>
      <w:proofErr w:type="spellStart"/>
      <w:r w:rsidRPr="00EC2335">
        <w:rPr>
          <w:rFonts w:ascii="Arial" w:hAnsi="Arial" w:cs="Arial"/>
        </w:rPr>
        <w:t>Embat</w:t>
      </w:r>
      <w:proofErr w:type="spellEnd"/>
      <w:r w:rsidRPr="00EC2335">
        <w:rPr>
          <w:rFonts w:ascii="Arial" w:hAnsi="Arial" w:cs="Arial"/>
        </w:rPr>
        <w:t>, 2024).</w:t>
      </w:r>
    </w:p>
    <w:p w14:paraId="5801529C"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 xml:space="preserve">Second, inventory management must shift from reactive stock reductions to analytics-driven </w:t>
      </w:r>
      <w:proofErr w:type="spellStart"/>
      <w:r w:rsidRPr="00EC2335">
        <w:rPr>
          <w:rFonts w:ascii="Arial" w:hAnsi="Arial" w:cs="Arial"/>
        </w:rPr>
        <w:t>optimisation</w:t>
      </w:r>
      <w:proofErr w:type="spellEnd"/>
      <w:r w:rsidRPr="00EC2335">
        <w:rPr>
          <w:rFonts w:ascii="Arial" w:hAnsi="Arial" w:cs="Arial"/>
        </w:rPr>
        <w:t xml:space="preserve">. General Electronics should implement real-time demand forecasting, SKU </w:t>
      </w:r>
      <w:proofErr w:type="spellStart"/>
      <w:r w:rsidRPr="00EC2335">
        <w:rPr>
          <w:rFonts w:ascii="Arial" w:hAnsi="Arial" w:cs="Arial"/>
        </w:rPr>
        <w:t>rationalisation</w:t>
      </w:r>
      <w:proofErr w:type="spellEnd"/>
      <w:r w:rsidRPr="00EC2335">
        <w:rPr>
          <w:rFonts w:ascii="Arial" w:hAnsi="Arial" w:cs="Arial"/>
        </w:rPr>
        <w:t xml:space="preserve"> and shorter production runs aligned with product life cycles. Firms adopting such approaches typically reduce inventory days by 20–30% while improving service levels (</w:t>
      </w:r>
      <w:proofErr w:type="spellStart"/>
      <w:r w:rsidRPr="00EC2335">
        <w:rPr>
          <w:rFonts w:ascii="Arial" w:hAnsi="Arial" w:cs="Arial"/>
        </w:rPr>
        <w:t>Embat</w:t>
      </w:r>
      <w:proofErr w:type="spellEnd"/>
      <w:r w:rsidRPr="00EC2335">
        <w:rPr>
          <w:rFonts w:ascii="Arial" w:hAnsi="Arial" w:cs="Arial"/>
        </w:rPr>
        <w:t>, 2024). Given the firm’s exposure to rapid technological obsolescence, inventory strategy must be closely integrated with product innovation and portfolio management to prevent value erosion.</w:t>
      </w:r>
    </w:p>
    <w:p w14:paraId="45CB1DC3"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lastRenderedPageBreak/>
        <w:t xml:space="preserve">Third, payables management should become more strategic rather than passive. Selective extension of payment terms with financially robust suppliers could partially offset long receivables cycles without compromising supply-chain stability. This balanced approach aligns with best-practice cash </w:t>
      </w:r>
      <w:proofErr w:type="spellStart"/>
      <w:r w:rsidRPr="00EC2335">
        <w:rPr>
          <w:rFonts w:ascii="Arial" w:hAnsi="Arial" w:cs="Arial"/>
        </w:rPr>
        <w:t>optimisation</w:t>
      </w:r>
      <w:proofErr w:type="spellEnd"/>
      <w:r w:rsidRPr="00EC2335">
        <w:rPr>
          <w:rFonts w:ascii="Arial" w:hAnsi="Arial" w:cs="Arial"/>
        </w:rPr>
        <w:t xml:space="preserve"> models observed in international manufacturing firms (Morgan, 2025). Collectively, these reforms would release trapped cash from operations and reduce reliance on external short-term funding.</w:t>
      </w:r>
    </w:p>
    <w:p w14:paraId="1C419BAE" w14:textId="77777777" w:rsidR="00EC2335" w:rsidRPr="00EC2335" w:rsidRDefault="00EC2335" w:rsidP="00EC2335">
      <w:pPr>
        <w:pStyle w:val="Heading2"/>
      </w:pPr>
      <w:bookmarkStart w:id="14" w:name="_Toc217280901"/>
      <w:r w:rsidRPr="00EC2335">
        <w:t>2.3 Short-Term versus Long-Term Financing Options</w:t>
      </w:r>
      <w:bookmarkEnd w:id="14"/>
    </w:p>
    <w:p w14:paraId="1BFE33E3" w14:textId="77777777" w:rsidR="00EC2335" w:rsidRPr="00EC2335" w:rsidRDefault="00EC2335" w:rsidP="00EC2335">
      <w:pPr>
        <w:pStyle w:val="NormalWeb"/>
        <w:spacing w:line="360" w:lineRule="auto"/>
        <w:jc w:val="both"/>
        <w:rPr>
          <w:rFonts w:ascii="Arial" w:hAnsi="Arial" w:cs="Arial"/>
        </w:rPr>
      </w:pPr>
      <w:r w:rsidRPr="00EC2335">
        <w:rPr>
          <w:rFonts w:ascii="Arial" w:hAnsi="Arial" w:cs="Arial"/>
        </w:rPr>
        <w:t>The financing implications of General Electronics’ working capital position are significant. Prolonged reliance on short-term facilities such as revolving credit lines provides flexibility but exposes the firm to refinancing and interest-rate risk, particularly given its declining interest coverage and rising leverage. In a high-interest-rate environment, overdependence on short-term funding heightens liquidity vulnerability and financial distress risk (Keown et al., 2024).</w:t>
      </w:r>
    </w:p>
    <w:p w14:paraId="5F2A45A0" w14:textId="478DA81D" w:rsidR="00EC2335" w:rsidRPr="00EC2335" w:rsidRDefault="00EC2335" w:rsidP="00EC2335">
      <w:pPr>
        <w:pStyle w:val="NormalWeb"/>
        <w:spacing w:line="360" w:lineRule="auto"/>
        <w:jc w:val="both"/>
        <w:rPr>
          <w:rFonts w:ascii="Arial" w:hAnsi="Arial" w:cs="Arial"/>
        </w:rPr>
      </w:pPr>
      <w:r w:rsidRPr="00EC2335">
        <w:rPr>
          <w:rFonts w:ascii="Arial" w:hAnsi="Arial" w:cs="Arial"/>
        </w:rPr>
        <w:t xml:space="preserve">A more sustainable approach involves aligning the financing tenor with the nature of working capital requirements. Core, permanent working capital should be funded through longer-term financing, while short-term facilities should be reserved for seasonal fluctuations. Although long-term financing carries higher nominal costs, it reduces rollover risk, </w:t>
      </w:r>
      <w:proofErr w:type="spellStart"/>
      <w:r w:rsidRPr="00EC2335">
        <w:rPr>
          <w:rFonts w:ascii="Arial" w:hAnsi="Arial" w:cs="Arial"/>
        </w:rPr>
        <w:t>stabilises</w:t>
      </w:r>
      <w:proofErr w:type="spellEnd"/>
      <w:r w:rsidRPr="00EC2335">
        <w:rPr>
          <w:rFonts w:ascii="Arial" w:hAnsi="Arial" w:cs="Arial"/>
        </w:rPr>
        <w:t xml:space="preserve"> liquidity and enhances financial resilience. For General Electronics, </w:t>
      </w:r>
      <w:proofErr w:type="spellStart"/>
      <w:r w:rsidRPr="00EC2335">
        <w:rPr>
          <w:rFonts w:ascii="Arial" w:hAnsi="Arial" w:cs="Arial"/>
        </w:rPr>
        <w:t>prioritising</w:t>
      </w:r>
      <w:proofErr w:type="spellEnd"/>
      <w:r w:rsidRPr="00EC2335">
        <w:rPr>
          <w:rFonts w:ascii="Arial" w:hAnsi="Arial" w:cs="Arial"/>
        </w:rPr>
        <w:t xml:space="preserve"> stability over marginal cost savings is critical given its weakened profitability and cash-generation capacity.</w:t>
      </w:r>
    </w:p>
    <w:p w14:paraId="15D4D1E6" w14:textId="3B0072B4" w:rsidR="009D6356" w:rsidRDefault="00EC2335" w:rsidP="009D6356">
      <w:pPr>
        <w:spacing w:line="360" w:lineRule="auto"/>
        <w:jc w:val="both"/>
        <w:rPr>
          <w:rFonts w:ascii="Arial" w:hAnsi="Arial" w:cs="Arial"/>
          <w:sz w:val="24"/>
          <w:szCs w:val="24"/>
        </w:rPr>
      </w:pPr>
      <w:r w:rsidRPr="00EC2335">
        <w:rPr>
          <w:rFonts w:ascii="Arial" w:hAnsi="Arial" w:cs="Arial"/>
          <w:sz w:val="24"/>
          <w:szCs w:val="24"/>
        </w:rPr>
        <w:t xml:space="preserve">On the whole, the working capital issues of General Electronics are not symptomatic of the disruption in the industry but are indicative of weaknesses in the governance of the firm. Liquidity ailment and restrictive recovery will persist without a decisive reform, which locks-in the cash in the long-term. Nevertheless, a </w:t>
      </w:r>
      <w:proofErr w:type="spellStart"/>
      <w:r w:rsidRPr="00EC2335">
        <w:rPr>
          <w:rFonts w:ascii="Arial" w:hAnsi="Arial" w:cs="Arial"/>
          <w:sz w:val="24"/>
          <w:szCs w:val="24"/>
        </w:rPr>
        <w:t>focussed</w:t>
      </w:r>
      <w:proofErr w:type="spellEnd"/>
      <w:r w:rsidRPr="00EC2335">
        <w:rPr>
          <w:rFonts w:ascii="Arial" w:hAnsi="Arial" w:cs="Arial"/>
          <w:sz w:val="24"/>
          <w:szCs w:val="24"/>
        </w:rPr>
        <w:t xml:space="preserve"> working capital </w:t>
      </w:r>
      <w:proofErr w:type="spellStart"/>
      <w:r w:rsidRPr="00EC2335">
        <w:rPr>
          <w:rFonts w:ascii="Arial" w:hAnsi="Arial" w:cs="Arial"/>
          <w:sz w:val="24"/>
          <w:szCs w:val="24"/>
        </w:rPr>
        <w:t>optimisation</w:t>
      </w:r>
      <w:proofErr w:type="spellEnd"/>
      <w:r w:rsidRPr="00EC2335">
        <w:rPr>
          <w:rFonts w:ascii="Arial" w:hAnsi="Arial" w:cs="Arial"/>
          <w:sz w:val="24"/>
          <w:szCs w:val="24"/>
        </w:rPr>
        <w:t xml:space="preserve"> and an increased alignment of financing can be followed as one of the shortest and the least capital-intensive paths towards </w:t>
      </w:r>
      <w:proofErr w:type="spellStart"/>
      <w:r w:rsidRPr="00EC2335">
        <w:rPr>
          <w:rFonts w:ascii="Arial" w:hAnsi="Arial" w:cs="Arial"/>
          <w:sz w:val="24"/>
          <w:szCs w:val="24"/>
        </w:rPr>
        <w:t>stabilisation</w:t>
      </w:r>
      <w:proofErr w:type="spellEnd"/>
      <w:r w:rsidRPr="00EC2335">
        <w:rPr>
          <w:rFonts w:ascii="Arial" w:hAnsi="Arial" w:cs="Arial"/>
          <w:sz w:val="24"/>
          <w:szCs w:val="24"/>
        </w:rPr>
        <w:t xml:space="preserve"> of the financial position of the firm.</w:t>
      </w:r>
    </w:p>
    <w:p w14:paraId="307E53F9" w14:textId="4EC45136" w:rsidR="009D6356" w:rsidRDefault="00246965" w:rsidP="00133712">
      <w:pPr>
        <w:pStyle w:val="Heading1"/>
        <w:rPr>
          <w:b w:val="0"/>
        </w:rPr>
      </w:pPr>
      <w:bookmarkStart w:id="15" w:name="_Toc217280902"/>
      <w:r>
        <w:lastRenderedPageBreak/>
        <w:t xml:space="preserve">3.0 </w:t>
      </w:r>
      <w:r w:rsidR="001F294D" w:rsidRPr="001F294D">
        <w:t xml:space="preserve">Strategic </w:t>
      </w:r>
      <w:r w:rsidR="001F294D" w:rsidRPr="00133712">
        <w:t>Financial</w:t>
      </w:r>
      <w:r w:rsidR="001F294D" w:rsidRPr="001F294D">
        <w:t xml:space="preserve"> Restructuring Plan</w:t>
      </w:r>
      <w:bookmarkEnd w:id="15"/>
    </w:p>
    <w:p w14:paraId="07FC37A4" w14:textId="77A95316" w:rsidR="0088459D" w:rsidRPr="0088459D" w:rsidRDefault="00246965" w:rsidP="00246965">
      <w:pPr>
        <w:pStyle w:val="Heading2"/>
        <w:rPr>
          <w:b w:val="0"/>
        </w:rPr>
      </w:pPr>
      <w:bookmarkStart w:id="16" w:name="_Toc217280903"/>
      <w:r>
        <w:t xml:space="preserve">3.1 </w:t>
      </w:r>
      <w:r w:rsidR="00AB6465" w:rsidRPr="00AB6465">
        <w:t xml:space="preserve">Recommended Financial </w:t>
      </w:r>
      <w:r w:rsidR="00AB6465" w:rsidRPr="00246965">
        <w:t>Restructuring</w:t>
      </w:r>
      <w:r w:rsidR="00AB6465" w:rsidRPr="00AB6465">
        <w:t xml:space="preserve"> Options</w:t>
      </w:r>
      <w:bookmarkEnd w:id="16"/>
      <w:r w:rsidR="00AB6465" w:rsidRPr="00AB6465">
        <w:t xml:space="preserve"> </w:t>
      </w:r>
    </w:p>
    <w:p w14:paraId="6D3C11FD" w14:textId="243CA414" w:rsidR="00CE61A1" w:rsidRPr="00CE61A1" w:rsidRDefault="00CE61A1" w:rsidP="00CE61A1">
      <w:pPr>
        <w:spacing w:line="360" w:lineRule="auto"/>
        <w:jc w:val="both"/>
        <w:rPr>
          <w:rFonts w:ascii="Arial" w:hAnsi="Arial" w:cs="Arial"/>
          <w:sz w:val="24"/>
          <w:szCs w:val="24"/>
        </w:rPr>
      </w:pPr>
      <w:r w:rsidRPr="00CE61A1">
        <w:rPr>
          <w:rFonts w:ascii="Arial" w:hAnsi="Arial" w:cs="Arial"/>
          <w:sz w:val="24"/>
          <w:szCs w:val="24"/>
        </w:rPr>
        <w:t>The example prepared by General Electronics shows that the financial crisis of the company cannot be fixed by discrete actions only (Appendix C). The high leverage, negative operating earnings, and poor interest coverage are features of the 2024 financial position, which means that financial weakness instead of short-term underperformance prevails. Subsequently, the measure of restructuring effectiveness should not be based on the recovery of short-term profitability, but in terms of minimization of insolvency risk, rebalancing of the capital structure, and strategic flexibility resurgence. Such a package as selective divestiture, reinforced with equity and debt re-profiling in particular, as well as strategic collaboration being selective, is thus suggested.</w:t>
      </w:r>
    </w:p>
    <w:p w14:paraId="56280F1C" w14:textId="3C6A1700" w:rsidR="00CE61A1" w:rsidRPr="00CE61A1" w:rsidRDefault="00CE61A1" w:rsidP="00CE61A1">
      <w:pPr>
        <w:spacing w:line="360" w:lineRule="auto"/>
        <w:jc w:val="both"/>
        <w:rPr>
          <w:rFonts w:ascii="Arial" w:hAnsi="Arial" w:cs="Arial"/>
          <w:b/>
          <w:bCs/>
          <w:sz w:val="24"/>
          <w:szCs w:val="24"/>
        </w:rPr>
      </w:pPr>
      <w:r>
        <w:rPr>
          <w:rFonts w:ascii="Arial" w:hAnsi="Arial" w:cs="Arial"/>
          <w:b/>
          <w:bCs/>
          <w:sz w:val="24"/>
          <w:szCs w:val="24"/>
        </w:rPr>
        <w:t xml:space="preserve">Option </w:t>
      </w:r>
      <w:r w:rsidRPr="00CE61A1">
        <w:rPr>
          <w:rFonts w:ascii="Arial" w:hAnsi="Arial" w:cs="Arial"/>
          <w:b/>
          <w:bCs/>
          <w:sz w:val="24"/>
          <w:szCs w:val="24"/>
        </w:rPr>
        <w:t>1: Non-Core Assets Selective Divestiture</w:t>
      </w:r>
    </w:p>
    <w:p w14:paraId="6378F1A5" w14:textId="339962EF" w:rsidR="00CE61A1" w:rsidRPr="00CE61A1" w:rsidRDefault="00CE61A1" w:rsidP="00CE61A1">
      <w:pPr>
        <w:spacing w:line="360" w:lineRule="auto"/>
        <w:jc w:val="both"/>
        <w:rPr>
          <w:rFonts w:ascii="Arial" w:hAnsi="Arial" w:cs="Arial"/>
          <w:sz w:val="24"/>
          <w:szCs w:val="24"/>
        </w:rPr>
      </w:pPr>
      <w:r w:rsidRPr="00CE61A1">
        <w:rPr>
          <w:rFonts w:ascii="Arial" w:hAnsi="Arial" w:cs="Arial"/>
          <w:sz w:val="24"/>
          <w:szCs w:val="24"/>
        </w:rPr>
        <w:t xml:space="preserve">The reason why selective divestiture is a priority </w:t>
      </w:r>
      <w:proofErr w:type="spellStart"/>
      <w:r w:rsidRPr="00CE61A1">
        <w:rPr>
          <w:rFonts w:ascii="Arial" w:hAnsi="Arial" w:cs="Arial"/>
          <w:sz w:val="24"/>
          <w:szCs w:val="24"/>
        </w:rPr>
        <w:t>favours</w:t>
      </w:r>
      <w:proofErr w:type="spellEnd"/>
      <w:r w:rsidRPr="00CE61A1">
        <w:rPr>
          <w:rFonts w:ascii="Arial" w:hAnsi="Arial" w:cs="Arial"/>
          <w:sz w:val="24"/>
          <w:szCs w:val="24"/>
        </w:rPr>
        <w:t xml:space="preserve"> its timeliness and non-dilutive properties. As it can be seen in Appendix C, this decrease of the liabilities in the amount of 10,000 million has a material impact on the leverage as the debt-to-equity ratio shifts to 0.91, and the equity multiplier reduces to 1.91. This is confirmation of the fact that divestiture is a balance-sheet managerial rather than an operational simplification exercise. Keeping subsidiaries and structurally low-margin product lines that are not performing draws opportunity costs in terms of cash consumption and managerial diversion. Scale contraction under distress is </w:t>
      </w:r>
      <w:proofErr w:type="spellStart"/>
      <w:r w:rsidRPr="00CE61A1">
        <w:rPr>
          <w:rFonts w:ascii="Arial" w:hAnsi="Arial" w:cs="Arial"/>
          <w:sz w:val="24"/>
          <w:szCs w:val="24"/>
        </w:rPr>
        <w:t>rationalisation</w:t>
      </w:r>
      <w:proofErr w:type="spellEnd"/>
      <w:r w:rsidRPr="00CE61A1">
        <w:rPr>
          <w:rFonts w:ascii="Arial" w:hAnsi="Arial" w:cs="Arial"/>
          <w:sz w:val="24"/>
          <w:szCs w:val="24"/>
        </w:rPr>
        <w:t xml:space="preserve"> of risk in the midst of a crisis in the capital-intensive and highly competitive electronics markets, and not a failure in strategy. The trade-off between the constraint of future revenue potential and the maintenance of going-concern value is justified even in instances of divestiture where the former is less important than the latter.</w:t>
      </w:r>
    </w:p>
    <w:p w14:paraId="4214A155" w14:textId="1461CF21" w:rsidR="00CE61A1" w:rsidRPr="00CE61A1" w:rsidRDefault="00CE61A1" w:rsidP="00CE61A1">
      <w:pPr>
        <w:spacing w:line="360" w:lineRule="auto"/>
        <w:jc w:val="both"/>
        <w:rPr>
          <w:rFonts w:ascii="Arial" w:hAnsi="Arial" w:cs="Arial"/>
          <w:b/>
          <w:bCs/>
          <w:sz w:val="24"/>
          <w:szCs w:val="24"/>
        </w:rPr>
      </w:pPr>
      <w:r>
        <w:rPr>
          <w:rFonts w:ascii="Arial" w:hAnsi="Arial" w:cs="Arial"/>
          <w:b/>
          <w:bCs/>
          <w:sz w:val="24"/>
          <w:szCs w:val="24"/>
        </w:rPr>
        <w:t>O</w:t>
      </w:r>
      <w:r w:rsidRPr="00CE61A1">
        <w:rPr>
          <w:rFonts w:ascii="Arial" w:hAnsi="Arial" w:cs="Arial"/>
          <w:b/>
          <w:bCs/>
          <w:sz w:val="24"/>
          <w:szCs w:val="24"/>
        </w:rPr>
        <w:t xml:space="preserve">ption </w:t>
      </w:r>
      <w:r w:rsidR="00EC2335">
        <w:rPr>
          <w:rFonts w:ascii="Arial" w:hAnsi="Arial" w:cs="Arial"/>
          <w:b/>
          <w:bCs/>
          <w:sz w:val="24"/>
          <w:szCs w:val="24"/>
        </w:rPr>
        <w:t>2: Equity</w:t>
      </w:r>
      <w:r w:rsidRPr="00CE61A1">
        <w:rPr>
          <w:rFonts w:ascii="Arial" w:hAnsi="Arial" w:cs="Arial"/>
          <w:b/>
          <w:bCs/>
          <w:sz w:val="24"/>
          <w:szCs w:val="24"/>
        </w:rPr>
        <w:t xml:space="preserve"> injection along with debt re-profiling.</w:t>
      </w:r>
    </w:p>
    <w:p w14:paraId="15D2AAD1" w14:textId="544D97B9" w:rsidR="00CE61A1" w:rsidRPr="00CE61A1" w:rsidRDefault="00CE61A1" w:rsidP="00CE61A1">
      <w:pPr>
        <w:spacing w:line="360" w:lineRule="auto"/>
        <w:jc w:val="both"/>
        <w:rPr>
          <w:rFonts w:ascii="Arial" w:hAnsi="Arial" w:cs="Arial"/>
          <w:sz w:val="24"/>
          <w:szCs w:val="24"/>
        </w:rPr>
      </w:pPr>
      <w:r w:rsidRPr="00CE61A1">
        <w:rPr>
          <w:rFonts w:ascii="Arial" w:hAnsi="Arial" w:cs="Arial"/>
          <w:sz w:val="24"/>
          <w:szCs w:val="24"/>
        </w:rPr>
        <w:t xml:space="preserve">The simple divestiture cannot restore financial strength as it is demonstrated in Appendix C that operating losses remain at low leverage. The 22966 million equity injection boosts the equity of the stockholders to 176071 million and the equity-debt ratio cuts down to 0.48 as opposed to 0.53, which is substantial in enhancing the equity buffers. In a financial distress situation, equity issuance is a value-neutral action in that the issuance helps </w:t>
      </w:r>
      <w:r w:rsidRPr="00CE61A1">
        <w:rPr>
          <w:rFonts w:ascii="Arial" w:hAnsi="Arial" w:cs="Arial"/>
          <w:sz w:val="24"/>
          <w:szCs w:val="24"/>
        </w:rPr>
        <w:lastRenderedPageBreak/>
        <w:t xml:space="preserve">decrease the anticipated cost of bankruptcy and </w:t>
      </w:r>
      <w:proofErr w:type="spellStart"/>
      <w:r w:rsidRPr="00CE61A1">
        <w:rPr>
          <w:rFonts w:ascii="Arial" w:hAnsi="Arial" w:cs="Arial"/>
          <w:sz w:val="24"/>
          <w:szCs w:val="24"/>
        </w:rPr>
        <w:t>equalise</w:t>
      </w:r>
      <w:proofErr w:type="spellEnd"/>
      <w:r w:rsidRPr="00CE61A1">
        <w:rPr>
          <w:rFonts w:ascii="Arial" w:hAnsi="Arial" w:cs="Arial"/>
          <w:sz w:val="24"/>
          <w:szCs w:val="24"/>
        </w:rPr>
        <w:t xml:space="preserve"> the expectations of creditors. Despite the increase in the share base caused by a rights issue, the loss per share reduces, but the decrease is not as significant as in the case of the share price now is -1.85 to -1.61 in the case of dilution. Re-profiling of debt also decreases the refinancing risk because of cutting interest cost and alleviating covenant pressure. Collectively, they insulate weakness in short-term earning with solvency risk, and financial optionality returns and allows disciplined reorganization of operations, as opposed to fire-fighting cost measures.</w:t>
      </w:r>
    </w:p>
    <w:p w14:paraId="27DD0781" w14:textId="1B279C1F" w:rsidR="00CE61A1" w:rsidRPr="00CE61A1" w:rsidRDefault="00CE61A1" w:rsidP="00CE61A1">
      <w:pPr>
        <w:spacing w:line="360" w:lineRule="auto"/>
        <w:jc w:val="both"/>
        <w:rPr>
          <w:rFonts w:ascii="Arial" w:hAnsi="Arial" w:cs="Arial"/>
          <w:b/>
          <w:bCs/>
          <w:sz w:val="24"/>
          <w:szCs w:val="24"/>
        </w:rPr>
      </w:pPr>
      <w:r w:rsidRPr="00CE61A1">
        <w:rPr>
          <w:rFonts w:ascii="Arial" w:hAnsi="Arial" w:cs="Arial"/>
          <w:b/>
          <w:bCs/>
          <w:sz w:val="24"/>
          <w:szCs w:val="24"/>
        </w:rPr>
        <w:t xml:space="preserve">Option </w:t>
      </w:r>
      <w:r>
        <w:rPr>
          <w:rFonts w:ascii="Arial" w:hAnsi="Arial" w:cs="Arial"/>
          <w:b/>
          <w:bCs/>
          <w:sz w:val="24"/>
          <w:szCs w:val="24"/>
        </w:rPr>
        <w:t>3</w:t>
      </w:r>
      <w:r w:rsidRPr="00CE61A1">
        <w:rPr>
          <w:rFonts w:ascii="Arial" w:hAnsi="Arial" w:cs="Arial"/>
          <w:b/>
          <w:bCs/>
          <w:sz w:val="24"/>
          <w:szCs w:val="24"/>
        </w:rPr>
        <w:t>: Selective Strategic Alliances or Joint Ventures.</w:t>
      </w:r>
    </w:p>
    <w:p w14:paraId="6E73964E" w14:textId="7D413765" w:rsidR="00CE61A1" w:rsidRPr="00CE61A1" w:rsidRDefault="00CE61A1" w:rsidP="00CE61A1">
      <w:pPr>
        <w:spacing w:line="360" w:lineRule="auto"/>
        <w:jc w:val="both"/>
        <w:rPr>
          <w:rFonts w:ascii="Arial" w:hAnsi="Arial" w:cs="Arial"/>
          <w:sz w:val="24"/>
          <w:szCs w:val="24"/>
        </w:rPr>
      </w:pPr>
      <w:r w:rsidRPr="00CE61A1">
        <w:rPr>
          <w:rFonts w:ascii="Arial" w:hAnsi="Arial" w:cs="Arial"/>
          <w:sz w:val="24"/>
          <w:szCs w:val="24"/>
        </w:rPr>
        <w:t xml:space="preserve">According to Appendix C, balance-sheet repair can never fix the structural operational vulnerabilities. But any comprehensive mergers at this point would increase the risk of execution. Joint ventures and targeted alliances provide a less risky option of achieving scale, technology and distribution without a significant increment of leverage. These initiatives must be light in assets, performance based and rolled out after </w:t>
      </w:r>
      <w:proofErr w:type="spellStart"/>
      <w:r w:rsidRPr="00CE61A1">
        <w:rPr>
          <w:rFonts w:ascii="Arial" w:hAnsi="Arial" w:cs="Arial"/>
          <w:sz w:val="24"/>
          <w:szCs w:val="24"/>
        </w:rPr>
        <w:t>stabilisation</w:t>
      </w:r>
      <w:proofErr w:type="spellEnd"/>
      <w:r w:rsidRPr="00CE61A1">
        <w:rPr>
          <w:rFonts w:ascii="Arial" w:hAnsi="Arial" w:cs="Arial"/>
          <w:sz w:val="24"/>
          <w:szCs w:val="24"/>
        </w:rPr>
        <w:t xml:space="preserve"> of the financial position to ensure they do not compromise the reduction of risk that is </w:t>
      </w:r>
      <w:proofErr w:type="spellStart"/>
      <w:r w:rsidRPr="00CE61A1">
        <w:rPr>
          <w:rFonts w:ascii="Arial" w:hAnsi="Arial" w:cs="Arial"/>
          <w:sz w:val="24"/>
          <w:szCs w:val="24"/>
        </w:rPr>
        <w:t>realised</w:t>
      </w:r>
      <w:proofErr w:type="spellEnd"/>
      <w:r w:rsidRPr="00CE61A1">
        <w:rPr>
          <w:rFonts w:ascii="Arial" w:hAnsi="Arial" w:cs="Arial"/>
          <w:sz w:val="24"/>
          <w:szCs w:val="24"/>
        </w:rPr>
        <w:t xml:space="preserve"> in </w:t>
      </w:r>
      <w:proofErr w:type="spellStart"/>
      <w:r w:rsidRPr="00CE61A1">
        <w:rPr>
          <w:rFonts w:ascii="Arial" w:hAnsi="Arial" w:cs="Arial"/>
          <w:sz w:val="24"/>
          <w:szCs w:val="24"/>
        </w:rPr>
        <w:t>recapitalisation</w:t>
      </w:r>
      <w:proofErr w:type="spellEnd"/>
      <w:r w:rsidRPr="00CE61A1">
        <w:rPr>
          <w:rFonts w:ascii="Arial" w:hAnsi="Arial" w:cs="Arial"/>
          <w:sz w:val="24"/>
          <w:szCs w:val="24"/>
        </w:rPr>
        <w:t>.</w:t>
      </w:r>
    </w:p>
    <w:p w14:paraId="12A49951" w14:textId="208CBC55" w:rsidR="00CE61A1" w:rsidRPr="00CE61A1" w:rsidRDefault="00CE61A1" w:rsidP="00CE61A1">
      <w:pPr>
        <w:spacing w:line="360" w:lineRule="auto"/>
        <w:jc w:val="both"/>
        <w:rPr>
          <w:rFonts w:ascii="Arial" w:hAnsi="Arial" w:cs="Arial"/>
          <w:b/>
          <w:bCs/>
          <w:sz w:val="24"/>
          <w:szCs w:val="24"/>
        </w:rPr>
      </w:pPr>
      <w:r w:rsidRPr="00CE61A1">
        <w:rPr>
          <w:rFonts w:ascii="Arial" w:hAnsi="Arial" w:cs="Arial"/>
          <w:b/>
          <w:bCs/>
          <w:sz w:val="24"/>
          <w:szCs w:val="24"/>
        </w:rPr>
        <w:t>Integrated Assessment</w:t>
      </w:r>
    </w:p>
    <w:p w14:paraId="01B7878A" w14:textId="4F9A830E" w:rsidR="00D819B1" w:rsidRDefault="00CE61A1" w:rsidP="00CE61A1">
      <w:pPr>
        <w:spacing w:line="360" w:lineRule="auto"/>
        <w:jc w:val="both"/>
        <w:rPr>
          <w:rFonts w:ascii="Arial" w:hAnsi="Arial" w:cs="Arial"/>
          <w:sz w:val="24"/>
          <w:szCs w:val="24"/>
        </w:rPr>
      </w:pPr>
      <w:r w:rsidRPr="00CE61A1">
        <w:rPr>
          <w:rFonts w:ascii="Arial" w:hAnsi="Arial" w:cs="Arial"/>
          <w:sz w:val="24"/>
          <w:szCs w:val="24"/>
        </w:rPr>
        <w:t>In general, it can be affirmed that the restructuring package is a risk-containment and option-preservation plan so much more than a profit-</w:t>
      </w:r>
      <w:proofErr w:type="spellStart"/>
      <w:r w:rsidRPr="00CE61A1">
        <w:rPr>
          <w:rFonts w:ascii="Arial" w:hAnsi="Arial" w:cs="Arial"/>
          <w:sz w:val="24"/>
          <w:szCs w:val="24"/>
        </w:rPr>
        <w:t>maximisation</w:t>
      </w:r>
      <w:proofErr w:type="spellEnd"/>
      <w:r w:rsidRPr="00CE61A1">
        <w:rPr>
          <w:rFonts w:ascii="Arial" w:hAnsi="Arial" w:cs="Arial"/>
          <w:sz w:val="24"/>
          <w:szCs w:val="24"/>
        </w:rPr>
        <w:t xml:space="preserve"> move in the present, as evidenced by Appendix C. The original capital structure is re-optimized to minimize leverage, enhance equity depth and alleviate refinancing pressure; the reformed capital structure will enhance the financial bases required to recover operational sustainability.</w:t>
      </w:r>
    </w:p>
    <w:p w14:paraId="1D0AB030" w14:textId="06C276CD" w:rsidR="00722627" w:rsidRDefault="00246965" w:rsidP="00246965">
      <w:pPr>
        <w:pStyle w:val="Heading2"/>
        <w:rPr>
          <w:b w:val="0"/>
        </w:rPr>
      </w:pPr>
      <w:bookmarkStart w:id="17" w:name="_Toc217280904"/>
      <w:r>
        <w:t xml:space="preserve">3.2 </w:t>
      </w:r>
      <w:r w:rsidR="00722627" w:rsidRPr="00246965">
        <w:t>Evaluation</w:t>
      </w:r>
      <w:r w:rsidR="00722627" w:rsidRPr="00722627">
        <w:t xml:space="preserve"> of Impact on Shareholder Value, Debt Structure, and Operational Flexibility</w:t>
      </w:r>
      <w:bookmarkEnd w:id="17"/>
    </w:p>
    <w:p w14:paraId="160A4085" w14:textId="77777777" w:rsidR="004376FD" w:rsidRPr="004376FD" w:rsidRDefault="004376FD" w:rsidP="004376FD">
      <w:pPr>
        <w:spacing w:line="360" w:lineRule="auto"/>
        <w:jc w:val="both"/>
        <w:rPr>
          <w:rFonts w:ascii="Arial" w:hAnsi="Arial" w:cs="Arial"/>
          <w:b/>
          <w:bCs/>
          <w:sz w:val="24"/>
          <w:szCs w:val="24"/>
        </w:rPr>
      </w:pPr>
      <w:r w:rsidRPr="004376FD">
        <w:rPr>
          <w:rFonts w:ascii="Arial" w:hAnsi="Arial" w:cs="Arial"/>
          <w:b/>
          <w:bCs/>
          <w:sz w:val="24"/>
          <w:szCs w:val="24"/>
        </w:rPr>
        <w:t>Shareholder Value</w:t>
      </w:r>
    </w:p>
    <w:p w14:paraId="70069A15" w14:textId="16212BEE" w:rsidR="004376FD" w:rsidRPr="004376FD" w:rsidRDefault="004376FD" w:rsidP="004376FD">
      <w:pPr>
        <w:spacing w:line="360" w:lineRule="auto"/>
        <w:jc w:val="both"/>
        <w:rPr>
          <w:rFonts w:ascii="Arial" w:hAnsi="Arial" w:cs="Arial"/>
          <w:sz w:val="24"/>
          <w:szCs w:val="24"/>
        </w:rPr>
      </w:pPr>
      <w:r w:rsidRPr="004376FD">
        <w:rPr>
          <w:rFonts w:ascii="Arial" w:hAnsi="Arial" w:cs="Arial"/>
          <w:sz w:val="24"/>
          <w:szCs w:val="24"/>
        </w:rPr>
        <w:t xml:space="preserve">During financial hardships, the creation of value to shareholders needs to be redefined to cease short-term profit </w:t>
      </w:r>
      <w:proofErr w:type="spellStart"/>
      <w:r w:rsidRPr="004376FD">
        <w:rPr>
          <w:rFonts w:ascii="Arial" w:hAnsi="Arial" w:cs="Arial"/>
          <w:sz w:val="24"/>
          <w:szCs w:val="24"/>
        </w:rPr>
        <w:t>maximisation</w:t>
      </w:r>
      <w:proofErr w:type="spellEnd"/>
      <w:r w:rsidRPr="004376FD">
        <w:rPr>
          <w:rFonts w:ascii="Arial" w:hAnsi="Arial" w:cs="Arial"/>
          <w:sz w:val="24"/>
          <w:szCs w:val="24"/>
        </w:rPr>
        <w:t xml:space="preserve"> and to create value by safeguarding the values. When it threatens </w:t>
      </w:r>
      <w:proofErr w:type="spellStart"/>
      <w:r w:rsidRPr="004376FD">
        <w:rPr>
          <w:rFonts w:ascii="Arial" w:hAnsi="Arial" w:cs="Arial"/>
          <w:sz w:val="24"/>
          <w:szCs w:val="24"/>
        </w:rPr>
        <w:t>organisational</w:t>
      </w:r>
      <w:proofErr w:type="spellEnd"/>
      <w:r w:rsidRPr="004376FD">
        <w:rPr>
          <w:rFonts w:ascii="Arial" w:hAnsi="Arial" w:cs="Arial"/>
          <w:sz w:val="24"/>
          <w:szCs w:val="24"/>
        </w:rPr>
        <w:t xml:space="preserve"> survival and stockholder confidence, exclusive attention to the immediate shareholder payout, as Battilana et al. (2020) posit, might become value-</w:t>
      </w:r>
      <w:r w:rsidRPr="004376FD">
        <w:rPr>
          <w:rFonts w:ascii="Arial" w:hAnsi="Arial" w:cs="Arial"/>
          <w:sz w:val="24"/>
          <w:szCs w:val="24"/>
        </w:rPr>
        <w:lastRenderedPageBreak/>
        <w:t xml:space="preserve">destructive. Divestiture and deleveraging in this regard make the likelihood of financial distress lower and cushion the remaining equity value through a reduction in insolvency risk. Even though the issuance of equity dilutes ownership, pro forma results suggest that such a dilution is ameliorated by downside risk mitigation and higher loss per share, which justify the perception that firm value should be considered to be not only profit-based but also balance-sheet resilient and optionable to grow (Nur </w:t>
      </w:r>
      <w:proofErr w:type="spellStart"/>
      <w:r w:rsidRPr="004376FD">
        <w:rPr>
          <w:rFonts w:ascii="Arial" w:hAnsi="Arial" w:cs="Arial"/>
          <w:sz w:val="24"/>
          <w:szCs w:val="24"/>
        </w:rPr>
        <w:t>Wahyuni</w:t>
      </w:r>
      <w:proofErr w:type="spellEnd"/>
      <w:r w:rsidRPr="004376FD">
        <w:rPr>
          <w:rFonts w:ascii="Arial" w:hAnsi="Arial" w:cs="Arial"/>
          <w:sz w:val="24"/>
          <w:szCs w:val="24"/>
        </w:rPr>
        <w:t xml:space="preserve"> &amp; </w:t>
      </w:r>
      <w:proofErr w:type="spellStart"/>
      <w:r w:rsidRPr="004376FD">
        <w:rPr>
          <w:rFonts w:ascii="Arial" w:hAnsi="Arial" w:cs="Arial"/>
          <w:sz w:val="24"/>
          <w:szCs w:val="24"/>
        </w:rPr>
        <w:t>Gani</w:t>
      </w:r>
      <w:proofErr w:type="spellEnd"/>
      <w:r w:rsidRPr="004376FD">
        <w:rPr>
          <w:rFonts w:ascii="Arial" w:hAnsi="Arial" w:cs="Arial"/>
          <w:sz w:val="24"/>
          <w:szCs w:val="24"/>
        </w:rPr>
        <w:t>, 2022). The restructuring as such therefore gives emphasis on continuity of value rather than on short-term distributable gains.</w:t>
      </w:r>
    </w:p>
    <w:p w14:paraId="48521CED" w14:textId="77777777" w:rsidR="004376FD" w:rsidRPr="004376FD" w:rsidRDefault="004376FD" w:rsidP="004376FD">
      <w:pPr>
        <w:spacing w:line="360" w:lineRule="auto"/>
        <w:jc w:val="both"/>
        <w:rPr>
          <w:rFonts w:ascii="Arial" w:hAnsi="Arial" w:cs="Arial"/>
          <w:b/>
          <w:bCs/>
          <w:sz w:val="24"/>
          <w:szCs w:val="24"/>
        </w:rPr>
      </w:pPr>
      <w:r w:rsidRPr="004376FD">
        <w:rPr>
          <w:rFonts w:ascii="Arial" w:hAnsi="Arial" w:cs="Arial"/>
          <w:b/>
          <w:bCs/>
          <w:sz w:val="24"/>
          <w:szCs w:val="24"/>
        </w:rPr>
        <w:t>Debt Structure</w:t>
      </w:r>
    </w:p>
    <w:p w14:paraId="7583848C" w14:textId="4A5F6BA0" w:rsidR="004376FD" w:rsidRPr="004376FD" w:rsidRDefault="004376FD" w:rsidP="004376FD">
      <w:pPr>
        <w:spacing w:line="360" w:lineRule="auto"/>
        <w:jc w:val="both"/>
        <w:rPr>
          <w:rFonts w:ascii="Arial" w:hAnsi="Arial" w:cs="Arial"/>
          <w:sz w:val="24"/>
          <w:szCs w:val="24"/>
        </w:rPr>
      </w:pPr>
      <w:r w:rsidRPr="004376FD">
        <w:rPr>
          <w:rFonts w:ascii="Arial" w:hAnsi="Arial" w:cs="Arial"/>
          <w:sz w:val="24"/>
          <w:szCs w:val="24"/>
        </w:rPr>
        <w:t xml:space="preserve">The restructuring has beneficial effects in the debt profile of the firm as it reduces leverage and increases maturity, increasing the probability of reducing refinancing and covenant risk. As empirical studies show, high gearing increases the costs of financial distress and limits the managerial decision-making decisions (Nur </w:t>
      </w:r>
      <w:proofErr w:type="spellStart"/>
      <w:r w:rsidRPr="004376FD">
        <w:rPr>
          <w:rFonts w:ascii="Arial" w:hAnsi="Arial" w:cs="Arial"/>
          <w:sz w:val="24"/>
          <w:szCs w:val="24"/>
        </w:rPr>
        <w:t>Wahyuni</w:t>
      </w:r>
      <w:proofErr w:type="spellEnd"/>
      <w:r w:rsidRPr="004376FD">
        <w:rPr>
          <w:rFonts w:ascii="Arial" w:hAnsi="Arial" w:cs="Arial"/>
          <w:sz w:val="24"/>
          <w:szCs w:val="24"/>
        </w:rPr>
        <w:t xml:space="preserve"> &amp; </w:t>
      </w:r>
      <w:proofErr w:type="spellStart"/>
      <w:r w:rsidRPr="004376FD">
        <w:rPr>
          <w:rFonts w:ascii="Arial" w:hAnsi="Arial" w:cs="Arial"/>
          <w:sz w:val="24"/>
          <w:szCs w:val="24"/>
        </w:rPr>
        <w:t>Gani</w:t>
      </w:r>
      <w:proofErr w:type="spellEnd"/>
      <w:r w:rsidRPr="004376FD">
        <w:rPr>
          <w:rFonts w:ascii="Arial" w:hAnsi="Arial" w:cs="Arial"/>
          <w:sz w:val="24"/>
          <w:szCs w:val="24"/>
        </w:rPr>
        <w:t>, 2022). Through debt-equity rebalancing, General Electronics lessens the dominance of creditors and the workings of the distress increasing its perceived credit quality and ensuing access to long term funding than simply decreasing interest coverage.</w:t>
      </w:r>
    </w:p>
    <w:p w14:paraId="5180D270" w14:textId="77777777" w:rsidR="004376FD" w:rsidRPr="004376FD" w:rsidRDefault="004376FD" w:rsidP="004376FD">
      <w:pPr>
        <w:spacing w:line="360" w:lineRule="auto"/>
        <w:jc w:val="both"/>
        <w:rPr>
          <w:rFonts w:ascii="Arial" w:hAnsi="Arial" w:cs="Arial"/>
          <w:b/>
          <w:bCs/>
          <w:sz w:val="24"/>
          <w:szCs w:val="24"/>
        </w:rPr>
      </w:pPr>
      <w:r w:rsidRPr="004376FD">
        <w:rPr>
          <w:rFonts w:ascii="Arial" w:hAnsi="Arial" w:cs="Arial"/>
          <w:b/>
          <w:bCs/>
          <w:sz w:val="24"/>
          <w:szCs w:val="24"/>
        </w:rPr>
        <w:t>Operational Flexibility</w:t>
      </w:r>
    </w:p>
    <w:p w14:paraId="3C46833C" w14:textId="5615FBF6" w:rsidR="00722627" w:rsidRDefault="004376FD" w:rsidP="004376FD">
      <w:pPr>
        <w:spacing w:line="360" w:lineRule="auto"/>
        <w:jc w:val="both"/>
        <w:rPr>
          <w:rFonts w:ascii="Arial" w:hAnsi="Arial" w:cs="Arial"/>
          <w:sz w:val="24"/>
          <w:szCs w:val="24"/>
        </w:rPr>
      </w:pPr>
      <w:r w:rsidRPr="004376FD">
        <w:rPr>
          <w:rFonts w:ascii="Arial" w:hAnsi="Arial" w:cs="Arial"/>
          <w:sz w:val="24"/>
          <w:szCs w:val="24"/>
        </w:rPr>
        <w:t>Financial restructuring enhances operational flexibility because it releases the cash that is locked in the inefficient assets and makes the working capital tougher. Better liquidity means that operational shocks are less likely to be converted into financial distress, which Habib and Kayani (2022) say is associated with a strong connection with this variable. However, although divestiture decreases scale, it also increases rigidity against fixed-costs and facilitates more repositioning capital, enhancing the ability of the firm to act strategically to demand fluctuations, and innovation demands.</w:t>
      </w:r>
    </w:p>
    <w:p w14:paraId="1CE80739" w14:textId="0044C267" w:rsidR="004376FD" w:rsidRDefault="00246965" w:rsidP="00246965">
      <w:pPr>
        <w:pStyle w:val="Heading2"/>
        <w:rPr>
          <w:b w:val="0"/>
        </w:rPr>
      </w:pPr>
      <w:bookmarkStart w:id="18" w:name="_Toc217280905"/>
      <w:r>
        <w:t xml:space="preserve">3.3 </w:t>
      </w:r>
      <w:r w:rsidR="00A62FE2" w:rsidRPr="00246965">
        <w:t>International</w:t>
      </w:r>
      <w:r w:rsidR="00A62FE2" w:rsidRPr="00A62FE2">
        <w:t xml:space="preserve"> and Ethical Considerations</w:t>
      </w:r>
      <w:bookmarkEnd w:id="18"/>
    </w:p>
    <w:p w14:paraId="1CF8423D" w14:textId="77777777" w:rsidR="00187FBA" w:rsidRPr="00187FBA" w:rsidRDefault="00187FBA" w:rsidP="00187FBA"/>
    <w:p w14:paraId="03E6DD3A" w14:textId="77777777" w:rsidR="00294A1A" w:rsidRDefault="00861084" w:rsidP="00861084">
      <w:pPr>
        <w:spacing w:line="360" w:lineRule="auto"/>
        <w:jc w:val="both"/>
        <w:rPr>
          <w:rFonts w:ascii="Arial" w:hAnsi="Arial" w:cs="Arial"/>
          <w:b/>
          <w:bCs/>
          <w:sz w:val="24"/>
          <w:szCs w:val="24"/>
        </w:rPr>
      </w:pPr>
      <w:r w:rsidRPr="00861084">
        <w:rPr>
          <w:rFonts w:ascii="Arial" w:hAnsi="Arial" w:cs="Arial"/>
          <w:b/>
          <w:bCs/>
          <w:sz w:val="24"/>
          <w:szCs w:val="24"/>
        </w:rPr>
        <w:t>Taxation</w:t>
      </w:r>
    </w:p>
    <w:p w14:paraId="5475367D" w14:textId="7433D7B3" w:rsidR="00861084" w:rsidRPr="00294A1A" w:rsidRDefault="00861084" w:rsidP="00861084">
      <w:pPr>
        <w:spacing w:line="360" w:lineRule="auto"/>
        <w:jc w:val="both"/>
        <w:rPr>
          <w:rFonts w:ascii="Arial" w:hAnsi="Arial" w:cs="Arial"/>
          <w:b/>
          <w:bCs/>
          <w:sz w:val="24"/>
          <w:szCs w:val="24"/>
        </w:rPr>
      </w:pPr>
      <w:r w:rsidRPr="00861084">
        <w:rPr>
          <w:rFonts w:ascii="Arial" w:hAnsi="Arial" w:cs="Arial"/>
          <w:sz w:val="24"/>
          <w:szCs w:val="24"/>
        </w:rPr>
        <w:t xml:space="preserve">Divestitures and capital restructuring made across the international borders should be in accordance with the OECD BEPS principles and local transfer-pricing regulations. Lawful </w:t>
      </w:r>
      <w:r w:rsidRPr="00861084">
        <w:rPr>
          <w:rFonts w:ascii="Arial" w:hAnsi="Arial" w:cs="Arial"/>
          <w:sz w:val="24"/>
          <w:szCs w:val="24"/>
        </w:rPr>
        <w:lastRenderedPageBreak/>
        <w:t>structuring should be aimed at getting tax efficiency and not aggressive avoidance but the credibility of regulation</w:t>
      </w:r>
      <w:r w:rsidR="00294A1A">
        <w:rPr>
          <w:rFonts w:ascii="Arial" w:hAnsi="Arial" w:cs="Arial"/>
          <w:sz w:val="24"/>
          <w:szCs w:val="24"/>
        </w:rPr>
        <w:t xml:space="preserve"> </w:t>
      </w:r>
      <w:r w:rsidR="00294A1A" w:rsidRPr="00294A1A">
        <w:rPr>
          <w:rFonts w:ascii="Arial" w:hAnsi="Arial" w:cs="Arial"/>
          <w:sz w:val="24"/>
          <w:szCs w:val="24"/>
        </w:rPr>
        <w:t>(</w:t>
      </w:r>
      <w:proofErr w:type="spellStart"/>
      <w:r w:rsidR="00294A1A" w:rsidRPr="00294A1A">
        <w:rPr>
          <w:rFonts w:ascii="Arial" w:hAnsi="Arial" w:cs="Arial"/>
          <w:sz w:val="24"/>
          <w:szCs w:val="24"/>
        </w:rPr>
        <w:t>TaxTMI</w:t>
      </w:r>
      <w:proofErr w:type="spellEnd"/>
      <w:r w:rsidR="00294A1A" w:rsidRPr="00294A1A">
        <w:rPr>
          <w:rFonts w:ascii="Arial" w:hAnsi="Arial" w:cs="Arial"/>
          <w:sz w:val="24"/>
          <w:szCs w:val="24"/>
        </w:rPr>
        <w:t>, 2025)</w:t>
      </w:r>
      <w:r w:rsidR="00294A1A">
        <w:rPr>
          <w:rFonts w:ascii="Arial" w:hAnsi="Arial" w:cs="Arial"/>
          <w:sz w:val="24"/>
          <w:szCs w:val="24"/>
        </w:rPr>
        <w:t>.</w:t>
      </w:r>
    </w:p>
    <w:p w14:paraId="2FB82FBB" w14:textId="77777777" w:rsidR="00861084" w:rsidRPr="00294A1A" w:rsidRDefault="00861084" w:rsidP="00861084">
      <w:pPr>
        <w:spacing w:line="360" w:lineRule="auto"/>
        <w:jc w:val="both"/>
        <w:rPr>
          <w:rFonts w:ascii="Arial" w:hAnsi="Arial" w:cs="Arial"/>
          <w:b/>
          <w:bCs/>
          <w:sz w:val="24"/>
          <w:szCs w:val="24"/>
        </w:rPr>
      </w:pPr>
      <w:r w:rsidRPr="00294A1A">
        <w:rPr>
          <w:rFonts w:ascii="Arial" w:hAnsi="Arial" w:cs="Arial"/>
          <w:b/>
          <w:bCs/>
          <w:sz w:val="24"/>
          <w:szCs w:val="24"/>
        </w:rPr>
        <w:t>Currency Risk and Inflation</w:t>
      </w:r>
    </w:p>
    <w:p w14:paraId="091D9944" w14:textId="4B5E83C5" w:rsidR="00861084" w:rsidRPr="00861084" w:rsidRDefault="00861084" w:rsidP="00861084">
      <w:pPr>
        <w:spacing w:line="360" w:lineRule="auto"/>
        <w:jc w:val="both"/>
        <w:rPr>
          <w:rFonts w:ascii="Arial" w:hAnsi="Arial" w:cs="Arial"/>
          <w:sz w:val="24"/>
          <w:szCs w:val="24"/>
        </w:rPr>
      </w:pPr>
      <w:r w:rsidRPr="00861084">
        <w:rPr>
          <w:rFonts w:ascii="Arial" w:hAnsi="Arial" w:cs="Arial"/>
          <w:sz w:val="24"/>
          <w:szCs w:val="24"/>
        </w:rPr>
        <w:t>With the increasing foreign exchange losses, restructuring should also include new improvements in hedging and where possible, local-currency financing</w:t>
      </w:r>
      <w:r w:rsidR="007E19F1">
        <w:rPr>
          <w:rFonts w:ascii="Arial" w:hAnsi="Arial" w:cs="Arial"/>
          <w:sz w:val="24"/>
          <w:szCs w:val="24"/>
        </w:rPr>
        <w:t xml:space="preserve"> </w:t>
      </w:r>
      <w:r w:rsidR="007E19F1" w:rsidRPr="007E19F1">
        <w:rPr>
          <w:rFonts w:ascii="Arial" w:hAnsi="Arial" w:cs="Arial"/>
          <w:sz w:val="24"/>
          <w:szCs w:val="24"/>
        </w:rPr>
        <w:t>(Jabal and Allawi, 2020)</w:t>
      </w:r>
      <w:r w:rsidR="007E19F1">
        <w:rPr>
          <w:rFonts w:ascii="Arial" w:hAnsi="Arial" w:cs="Arial"/>
          <w:sz w:val="24"/>
          <w:szCs w:val="24"/>
        </w:rPr>
        <w:t>.</w:t>
      </w:r>
      <w:r w:rsidRPr="00861084">
        <w:rPr>
          <w:rFonts w:ascii="Arial" w:hAnsi="Arial" w:cs="Arial"/>
          <w:sz w:val="24"/>
          <w:szCs w:val="24"/>
        </w:rPr>
        <w:t xml:space="preserve"> Costs pressures due to inflation necessitate conservative scenario planning of restructuring models.</w:t>
      </w:r>
    </w:p>
    <w:p w14:paraId="4F8D8252" w14:textId="77777777" w:rsidR="00861084" w:rsidRPr="007E19F1" w:rsidRDefault="00861084" w:rsidP="00861084">
      <w:pPr>
        <w:spacing w:line="360" w:lineRule="auto"/>
        <w:jc w:val="both"/>
        <w:rPr>
          <w:rFonts w:ascii="Arial" w:hAnsi="Arial" w:cs="Arial"/>
          <w:b/>
          <w:bCs/>
          <w:sz w:val="24"/>
          <w:szCs w:val="24"/>
        </w:rPr>
      </w:pPr>
      <w:r w:rsidRPr="007E19F1">
        <w:rPr>
          <w:rFonts w:ascii="Arial" w:hAnsi="Arial" w:cs="Arial"/>
          <w:b/>
          <w:bCs/>
          <w:sz w:val="24"/>
          <w:szCs w:val="24"/>
        </w:rPr>
        <w:t>Corporate Social Responsibility (CSR).</w:t>
      </w:r>
    </w:p>
    <w:p w14:paraId="1B401EA8" w14:textId="64A130F1" w:rsidR="00861084" w:rsidRPr="00861084" w:rsidRDefault="00861084" w:rsidP="00861084">
      <w:pPr>
        <w:spacing w:line="360" w:lineRule="auto"/>
        <w:jc w:val="both"/>
        <w:rPr>
          <w:rFonts w:ascii="Arial" w:hAnsi="Arial" w:cs="Arial"/>
          <w:sz w:val="24"/>
          <w:szCs w:val="24"/>
        </w:rPr>
      </w:pPr>
      <w:r w:rsidRPr="00861084">
        <w:rPr>
          <w:rFonts w:ascii="Arial" w:hAnsi="Arial" w:cs="Arial"/>
          <w:sz w:val="24"/>
          <w:szCs w:val="24"/>
        </w:rPr>
        <w:t>Organization involves ethical restructuring, which demands clear communication between the stakeholders, fairness in the redundancy process, and retraining in case workforce is inevitable</w:t>
      </w:r>
      <w:r w:rsidR="00B27756">
        <w:rPr>
          <w:rFonts w:ascii="Arial" w:hAnsi="Arial" w:cs="Arial"/>
          <w:sz w:val="24"/>
          <w:szCs w:val="24"/>
        </w:rPr>
        <w:t xml:space="preserve"> </w:t>
      </w:r>
      <w:r w:rsidR="00B27756" w:rsidRPr="00B27756">
        <w:rPr>
          <w:rFonts w:ascii="Arial" w:hAnsi="Arial" w:cs="Arial"/>
          <w:sz w:val="24"/>
          <w:szCs w:val="24"/>
        </w:rPr>
        <w:t>(</w:t>
      </w:r>
      <w:proofErr w:type="spellStart"/>
      <w:r w:rsidR="00B27756" w:rsidRPr="00B27756">
        <w:rPr>
          <w:rFonts w:ascii="Arial" w:hAnsi="Arial" w:cs="Arial"/>
          <w:sz w:val="24"/>
          <w:szCs w:val="24"/>
        </w:rPr>
        <w:t>Haliward</w:t>
      </w:r>
      <w:proofErr w:type="spellEnd"/>
      <w:r w:rsidR="00B27756" w:rsidRPr="00B27756">
        <w:rPr>
          <w:rFonts w:ascii="Arial" w:hAnsi="Arial" w:cs="Arial"/>
          <w:sz w:val="24"/>
          <w:szCs w:val="24"/>
        </w:rPr>
        <w:t xml:space="preserve"> Library and Zu, 2022)</w:t>
      </w:r>
      <w:r w:rsidR="00B27756">
        <w:rPr>
          <w:rFonts w:ascii="Arial" w:hAnsi="Arial" w:cs="Arial"/>
          <w:sz w:val="24"/>
          <w:szCs w:val="24"/>
        </w:rPr>
        <w:t>.</w:t>
      </w:r>
      <w:r w:rsidRPr="00861084">
        <w:rPr>
          <w:rFonts w:ascii="Arial" w:hAnsi="Arial" w:cs="Arial"/>
          <w:sz w:val="24"/>
          <w:szCs w:val="24"/>
        </w:rPr>
        <w:t xml:space="preserve"> The reputational capital and long-term right to continue operating are safeguarded by responsible restructuring </w:t>
      </w:r>
    </w:p>
    <w:p w14:paraId="05E4C23E" w14:textId="77777777" w:rsidR="00861084" w:rsidRPr="00B27756" w:rsidRDefault="00861084" w:rsidP="00861084">
      <w:pPr>
        <w:spacing w:line="360" w:lineRule="auto"/>
        <w:jc w:val="both"/>
        <w:rPr>
          <w:rFonts w:ascii="Arial" w:hAnsi="Arial" w:cs="Arial"/>
          <w:b/>
          <w:bCs/>
          <w:sz w:val="24"/>
          <w:szCs w:val="24"/>
        </w:rPr>
      </w:pPr>
      <w:r w:rsidRPr="00B27756">
        <w:rPr>
          <w:rFonts w:ascii="Arial" w:hAnsi="Arial" w:cs="Arial"/>
          <w:b/>
          <w:bCs/>
          <w:sz w:val="24"/>
          <w:szCs w:val="24"/>
        </w:rPr>
        <w:t>Governance</w:t>
      </w:r>
    </w:p>
    <w:p w14:paraId="763BB1CB" w14:textId="37530B13" w:rsidR="00187FBA" w:rsidRDefault="00861084" w:rsidP="00861084">
      <w:pPr>
        <w:spacing w:line="360" w:lineRule="auto"/>
        <w:jc w:val="both"/>
        <w:rPr>
          <w:rFonts w:ascii="Arial" w:hAnsi="Arial" w:cs="Arial"/>
          <w:sz w:val="24"/>
          <w:szCs w:val="24"/>
        </w:rPr>
      </w:pPr>
      <w:r w:rsidRPr="00861084">
        <w:rPr>
          <w:rFonts w:ascii="Arial" w:hAnsi="Arial" w:cs="Arial"/>
          <w:sz w:val="24"/>
          <w:szCs w:val="24"/>
        </w:rPr>
        <w:t xml:space="preserve">Better transparency and elimination of agency effects in restructuring are ensured by an increased level of oversight with an independent director and involvement of the creditors </w:t>
      </w:r>
      <w:r w:rsidR="00BB7DAC" w:rsidRPr="00BB7DAC">
        <w:rPr>
          <w:rFonts w:ascii="Arial" w:hAnsi="Arial" w:cs="Arial"/>
          <w:sz w:val="24"/>
          <w:szCs w:val="24"/>
        </w:rPr>
        <w:t>(Ramadan and Morshed, 2024)</w:t>
      </w:r>
      <w:r w:rsidR="00BB7DAC">
        <w:rPr>
          <w:rFonts w:ascii="Arial" w:hAnsi="Arial" w:cs="Arial"/>
          <w:sz w:val="24"/>
          <w:szCs w:val="24"/>
        </w:rPr>
        <w:t>.</w:t>
      </w:r>
    </w:p>
    <w:p w14:paraId="2D71A738" w14:textId="5067D245" w:rsidR="00763996" w:rsidRDefault="00246965" w:rsidP="00246965">
      <w:pPr>
        <w:pStyle w:val="Heading2"/>
        <w:rPr>
          <w:b w:val="0"/>
        </w:rPr>
      </w:pPr>
      <w:r>
        <w:t xml:space="preserve"> </w:t>
      </w:r>
      <w:bookmarkStart w:id="19" w:name="_Toc217280906"/>
      <w:r>
        <w:t xml:space="preserve">3.4 </w:t>
      </w:r>
      <w:r w:rsidR="00763996" w:rsidRPr="00763996">
        <w:t xml:space="preserve">Implementation Roadmap </w:t>
      </w:r>
      <w:r w:rsidR="00763996" w:rsidRPr="00246965">
        <w:t>and</w:t>
      </w:r>
      <w:r w:rsidR="00763996" w:rsidRPr="00763996">
        <w:t xml:space="preserve"> Performance Metrics</w:t>
      </w:r>
      <w:bookmarkEnd w:id="19"/>
    </w:p>
    <w:p w14:paraId="25D9D8E0" w14:textId="3CD08EE2" w:rsidR="00763996" w:rsidRDefault="00AB6D55" w:rsidP="00AB6D55">
      <w:pPr>
        <w:spacing w:line="360" w:lineRule="auto"/>
        <w:jc w:val="both"/>
        <w:rPr>
          <w:rFonts w:ascii="Arial" w:hAnsi="Arial" w:cs="Arial"/>
          <w:sz w:val="24"/>
          <w:szCs w:val="24"/>
        </w:rPr>
      </w:pPr>
      <w:r w:rsidRPr="00AB6D55">
        <w:rPr>
          <w:rFonts w:ascii="Arial" w:hAnsi="Arial" w:cs="Arial"/>
          <w:sz w:val="24"/>
          <w:szCs w:val="24"/>
        </w:rPr>
        <w:t xml:space="preserve">The reorganization ought to be performed in a regionally and danger stepped roadmap to prevent the accumulating economic tension. Phase 1 (03 months) focuses more on liquidity </w:t>
      </w:r>
      <w:proofErr w:type="spellStart"/>
      <w:r w:rsidRPr="00AB6D55">
        <w:rPr>
          <w:rFonts w:ascii="Arial" w:hAnsi="Arial" w:cs="Arial"/>
          <w:sz w:val="24"/>
          <w:szCs w:val="24"/>
        </w:rPr>
        <w:t>stabilisation</w:t>
      </w:r>
      <w:proofErr w:type="spellEnd"/>
      <w:r w:rsidRPr="00AB6D55">
        <w:rPr>
          <w:rFonts w:ascii="Arial" w:hAnsi="Arial" w:cs="Arial"/>
          <w:sz w:val="24"/>
          <w:szCs w:val="24"/>
        </w:rPr>
        <w:t xml:space="preserve"> by debt forbearance and high-certainty divestitures implemented quickly as it appreciates that preserving cash takes precedence over value creation at this phase. Phase 2 (3-9 months) involves wholesale repair of the balance sheet by way of substantive equity issue and debt re-profiling to recover creditworthiness and lower rollover risk prior to engaging in strategic initiatives. Phase 3 (924 months) focuses on disciplined operational convergence and capital allocation and is measured by future-looking KPIs, such as sustained interest coverage greater than 3x, debt to capital, less than 50 per cent, and low working capital intensity as a structure.</w:t>
      </w:r>
    </w:p>
    <w:p w14:paraId="2928F8D0" w14:textId="05C4888B" w:rsidR="00AB6D55" w:rsidRDefault="00246965" w:rsidP="00246965">
      <w:pPr>
        <w:pStyle w:val="Heading1"/>
        <w:rPr>
          <w:b w:val="0"/>
        </w:rPr>
      </w:pPr>
      <w:bookmarkStart w:id="20" w:name="_Toc217280907"/>
      <w:r>
        <w:lastRenderedPageBreak/>
        <w:t xml:space="preserve">4.0 </w:t>
      </w:r>
      <w:r w:rsidR="00711F6E" w:rsidRPr="00246965">
        <w:t>Investment</w:t>
      </w:r>
      <w:r w:rsidR="00711F6E" w:rsidRPr="00711F6E">
        <w:t xml:space="preserve"> Appraisal and Capital Budgeting Analysis</w:t>
      </w:r>
      <w:bookmarkEnd w:id="20"/>
    </w:p>
    <w:p w14:paraId="637EEC12" w14:textId="638511A3" w:rsidR="00B0416D" w:rsidRPr="00B0416D" w:rsidRDefault="00B0416D" w:rsidP="00B0416D">
      <w:pPr>
        <w:spacing w:line="360" w:lineRule="auto"/>
        <w:jc w:val="both"/>
        <w:rPr>
          <w:rFonts w:ascii="Arial" w:eastAsiaTheme="majorEastAsia" w:hAnsi="Arial" w:cs="Arial"/>
          <w:sz w:val="24"/>
          <w:szCs w:val="24"/>
        </w:rPr>
      </w:pPr>
      <w:r w:rsidRPr="00B0416D">
        <w:rPr>
          <w:rFonts w:ascii="Arial" w:eastAsiaTheme="majorEastAsia" w:hAnsi="Arial" w:cs="Arial"/>
          <w:sz w:val="24"/>
          <w:szCs w:val="24"/>
        </w:rPr>
        <w:t>Considering the reduced profitability, constrained liquidity and increased financial risk at General Electronics, policies to be implemented in making investment decisions should be focused on capital efficiency, increased cash recoveries in shortest time and management of downside risks other than headline scale. In this context, the appraisal is aimed at Payback Period (PBP), Profitability Index (PI) and Internal rate of Return (IRR), which in this context are especially relevant in capital rationing and financial distress.</w:t>
      </w:r>
    </w:p>
    <w:p w14:paraId="27945C4E" w14:textId="1C9914A0" w:rsidR="00374F65" w:rsidRDefault="00246965" w:rsidP="00246965">
      <w:pPr>
        <w:pStyle w:val="Heading2"/>
        <w:rPr>
          <w:b w:val="0"/>
        </w:rPr>
      </w:pPr>
      <w:bookmarkStart w:id="21" w:name="_Toc217280908"/>
      <w:r>
        <w:t xml:space="preserve">4.1 </w:t>
      </w:r>
      <w:r w:rsidR="00F217C3" w:rsidRPr="00F217C3">
        <w:t xml:space="preserve">Payback Period (PBP) </w:t>
      </w:r>
      <w:r w:rsidR="00F217C3" w:rsidRPr="00246965">
        <w:t>Analysis</w:t>
      </w:r>
      <w:bookmarkEnd w:id="21"/>
    </w:p>
    <w:p w14:paraId="03CB6ECA" w14:textId="121EDEB3" w:rsidR="002A3095" w:rsidRPr="002A3095" w:rsidRDefault="002A3095" w:rsidP="002A3095">
      <w:pPr>
        <w:spacing w:line="360" w:lineRule="auto"/>
        <w:jc w:val="both"/>
        <w:rPr>
          <w:rFonts w:ascii="Arial" w:hAnsi="Arial" w:cs="Arial"/>
          <w:sz w:val="24"/>
          <w:szCs w:val="24"/>
        </w:rPr>
      </w:pPr>
      <w:r w:rsidRPr="002A3095">
        <w:rPr>
          <w:rFonts w:ascii="Arial" w:hAnsi="Arial" w:cs="Arial"/>
          <w:sz w:val="24"/>
          <w:szCs w:val="24"/>
        </w:rPr>
        <w:t>The payback period (PBP) is the time it takes to recover the initial investment on cumulative cash inflows and it is especially effective in the management of firms facing a liquidity strain. According to Boardman et al. (2006), although PBP theoretically has less merit in comparison with discounted cash flow techniques, it is still a readily applicable metric on the risk associated with the short-term investment.</w:t>
      </w:r>
    </w:p>
    <w:p w14:paraId="19694A00" w14:textId="5510256F" w:rsidR="002A3095" w:rsidRPr="002A3095" w:rsidRDefault="002A3095" w:rsidP="002A3095">
      <w:pPr>
        <w:spacing w:line="360" w:lineRule="auto"/>
        <w:jc w:val="both"/>
        <w:rPr>
          <w:rFonts w:ascii="Arial" w:hAnsi="Arial" w:cs="Arial"/>
          <w:sz w:val="24"/>
          <w:szCs w:val="24"/>
        </w:rPr>
      </w:pPr>
      <w:r w:rsidRPr="002A3095">
        <w:rPr>
          <w:rFonts w:ascii="Arial" w:hAnsi="Arial" w:cs="Arial"/>
          <w:sz w:val="24"/>
          <w:szCs w:val="24"/>
        </w:rPr>
        <w:t xml:space="preserve">The shortest payback is 3.4 years in Project A, and it shows a stable and front-loaded inflow, which has good liquidity recovery and less long-duration risk. The cash flows in later years, however, decline and this restricts the upside post-recovery. Project C will </w:t>
      </w:r>
      <w:r w:rsidR="00EC2335" w:rsidRPr="002A3095">
        <w:rPr>
          <w:rFonts w:ascii="Arial" w:hAnsi="Arial" w:cs="Arial"/>
          <w:sz w:val="24"/>
          <w:szCs w:val="24"/>
        </w:rPr>
        <w:t>pay off</w:t>
      </w:r>
      <w:r w:rsidRPr="002A3095">
        <w:rPr>
          <w:rFonts w:ascii="Arial" w:hAnsi="Arial" w:cs="Arial"/>
          <w:sz w:val="24"/>
          <w:szCs w:val="24"/>
        </w:rPr>
        <w:t xml:space="preserve"> in 3.6 years, yet the back-loaded inflows will ensure that the project recovers, with more than 60 percent of the payback in Years 3–4. This makes pre-breakeven more vulnerable to the operations and market risks, but it has higher surplus cash after recovery hence higher long-term value. Project B, which has a 5 years payback, has sluggish, constant inflows, which further capital lock-in and makes the project more prone to financial pressure.</w:t>
      </w:r>
    </w:p>
    <w:p w14:paraId="2AEF028C" w14:textId="4F0F4FD3" w:rsidR="00F83FB8" w:rsidRPr="00187FBA" w:rsidRDefault="002A3095" w:rsidP="00187FBA">
      <w:pPr>
        <w:spacing w:line="360" w:lineRule="auto"/>
        <w:jc w:val="both"/>
        <w:rPr>
          <w:rFonts w:ascii="Arial" w:hAnsi="Arial" w:cs="Arial"/>
          <w:sz w:val="24"/>
          <w:szCs w:val="24"/>
        </w:rPr>
      </w:pPr>
      <w:r w:rsidRPr="002A3095">
        <w:rPr>
          <w:rFonts w:ascii="Arial" w:hAnsi="Arial" w:cs="Arial"/>
          <w:sz w:val="24"/>
          <w:szCs w:val="24"/>
        </w:rPr>
        <w:t>In general, PBP does not make the best decision when deal</w:t>
      </w:r>
      <w:r>
        <w:rPr>
          <w:rFonts w:ascii="Arial" w:hAnsi="Arial" w:cs="Arial"/>
          <w:sz w:val="24"/>
          <w:szCs w:val="24"/>
        </w:rPr>
        <w:t>ing</w:t>
      </w:r>
      <w:r w:rsidRPr="002A3095">
        <w:rPr>
          <w:rFonts w:ascii="Arial" w:hAnsi="Arial" w:cs="Arial"/>
          <w:sz w:val="24"/>
          <w:szCs w:val="24"/>
        </w:rPr>
        <w:t xml:space="preserve"> with liquidity needs of Project A and underestimation of the long-term potential of Project C: this tool is suited only to screening risks, not to making decisions.</w:t>
      </w:r>
    </w:p>
    <w:p w14:paraId="226E4D53" w14:textId="19F04418" w:rsidR="00F83FB8" w:rsidRDefault="00246965" w:rsidP="00246965">
      <w:pPr>
        <w:pStyle w:val="Heading2"/>
        <w:rPr>
          <w:b w:val="0"/>
        </w:rPr>
      </w:pPr>
      <w:bookmarkStart w:id="22" w:name="_Toc217280909"/>
      <w:r>
        <w:t xml:space="preserve">4.2 </w:t>
      </w:r>
      <w:r w:rsidR="00F83FB8" w:rsidRPr="00246965">
        <w:t>Profitability</w:t>
      </w:r>
      <w:r w:rsidR="00F83FB8" w:rsidRPr="00F83FB8">
        <w:t xml:space="preserve"> Index (PI) Analysis</w:t>
      </w:r>
      <w:bookmarkEnd w:id="22"/>
      <w:r w:rsidR="00F83FB8" w:rsidRPr="00F83FB8">
        <w:t xml:space="preserve"> </w:t>
      </w:r>
    </w:p>
    <w:p w14:paraId="3EE3C9CA" w14:textId="6778FC85" w:rsidR="00C335E8" w:rsidRPr="00C335E8" w:rsidRDefault="00C335E8" w:rsidP="00C335E8">
      <w:pPr>
        <w:spacing w:line="360" w:lineRule="auto"/>
        <w:jc w:val="both"/>
        <w:rPr>
          <w:rFonts w:ascii="Arial" w:hAnsi="Arial" w:cs="Arial"/>
          <w:sz w:val="24"/>
          <w:szCs w:val="24"/>
        </w:rPr>
      </w:pPr>
      <w:r w:rsidRPr="00C335E8">
        <w:rPr>
          <w:rFonts w:ascii="Arial" w:hAnsi="Arial" w:cs="Arial"/>
          <w:sz w:val="24"/>
          <w:szCs w:val="24"/>
        </w:rPr>
        <w:t xml:space="preserve">The Profitability Index (PI) is a value indicator showing how efficiently investments work in relation to present value (PV) of cash inflows to initial investment and decision-making on capital allocation (Doi.org, 2022). </w:t>
      </w:r>
    </w:p>
    <w:p w14:paraId="60A93222" w14:textId="58782C3B" w:rsidR="00C335E8" w:rsidRPr="00C335E8" w:rsidRDefault="00C335E8" w:rsidP="00C335E8">
      <w:pPr>
        <w:spacing w:line="360" w:lineRule="auto"/>
        <w:jc w:val="both"/>
        <w:rPr>
          <w:rFonts w:ascii="Arial" w:hAnsi="Arial" w:cs="Arial"/>
          <w:sz w:val="24"/>
          <w:szCs w:val="24"/>
        </w:rPr>
      </w:pPr>
      <w:r w:rsidRPr="00C335E8">
        <w:rPr>
          <w:rFonts w:ascii="Arial" w:hAnsi="Arial" w:cs="Arial"/>
          <w:sz w:val="24"/>
          <w:szCs w:val="24"/>
        </w:rPr>
        <w:lastRenderedPageBreak/>
        <w:t>The project C is the most advantageous in terms of its value proposal where PI = 1.4 26 is high which shows enormous PV inflows in comparison to a moderate start-up investment. This indicates a high long-term profitability and strong potential of returns making it appealing in terms of growth-based or value-oriented approach. Project A has PI of 1.048 which is marginally above the breakeven level. Although it is producing positive value, the fact that it is running with a small margin implies low efficiency, where immediate liquidity is preferred to maximum value extraction. Project B on the other hand has a PI of 0.993, which is slightly below 1 which means the inflows are not enough to recover the investment fully when discounted. This points to poor performances and strategic risk especially in capital-constrained environment.</w:t>
      </w:r>
    </w:p>
    <w:p w14:paraId="582C4E1C" w14:textId="55F51D2A" w:rsidR="00374F65" w:rsidRDefault="00C335E8" w:rsidP="00C335E8">
      <w:pPr>
        <w:spacing w:line="360" w:lineRule="auto"/>
        <w:jc w:val="both"/>
        <w:rPr>
          <w:rFonts w:ascii="Arial" w:hAnsi="Arial" w:cs="Arial"/>
          <w:sz w:val="24"/>
          <w:szCs w:val="24"/>
        </w:rPr>
      </w:pPr>
      <w:r w:rsidRPr="00C335E8">
        <w:rPr>
          <w:rFonts w:ascii="Arial" w:hAnsi="Arial" w:cs="Arial"/>
          <w:sz w:val="24"/>
          <w:szCs w:val="24"/>
        </w:rPr>
        <w:t>In general, the trend addresses the issues of PI that focuses on value creation and rewarding projects with back-loaded, high-return, such as C, and selecting the one with low-margin or marginally recovering projects, such as B.</w:t>
      </w:r>
    </w:p>
    <w:p w14:paraId="034416E0" w14:textId="15C8A358" w:rsidR="004A611A" w:rsidRDefault="00246965" w:rsidP="00246965">
      <w:pPr>
        <w:pStyle w:val="Heading2"/>
        <w:rPr>
          <w:b w:val="0"/>
        </w:rPr>
      </w:pPr>
      <w:bookmarkStart w:id="23" w:name="_Toc217280910"/>
      <w:r>
        <w:t xml:space="preserve">4.3 </w:t>
      </w:r>
      <w:r w:rsidR="00021D9B" w:rsidRPr="00021D9B">
        <w:t>Internal Rate of Return (IRR)</w:t>
      </w:r>
      <w:bookmarkEnd w:id="23"/>
      <w:r w:rsidR="00021D9B" w:rsidRPr="00021D9B">
        <w:t xml:space="preserve"> </w:t>
      </w:r>
    </w:p>
    <w:p w14:paraId="1533D308" w14:textId="41AF53FC" w:rsidR="009B38D0" w:rsidRPr="009B38D0" w:rsidRDefault="009B38D0" w:rsidP="009B38D0">
      <w:pPr>
        <w:spacing w:line="360" w:lineRule="auto"/>
        <w:jc w:val="both"/>
        <w:rPr>
          <w:rFonts w:ascii="Arial" w:hAnsi="Arial" w:cs="Arial"/>
          <w:sz w:val="24"/>
          <w:szCs w:val="24"/>
        </w:rPr>
      </w:pPr>
      <w:r w:rsidRPr="009B38D0">
        <w:rPr>
          <w:rFonts w:ascii="Arial" w:hAnsi="Arial" w:cs="Arial"/>
          <w:sz w:val="24"/>
          <w:szCs w:val="24"/>
        </w:rPr>
        <w:t xml:space="preserve">The Internal rate of Return (IRR) is a discount rate where net present value of cash flows of a project </w:t>
      </w:r>
      <w:r w:rsidR="00365132" w:rsidRPr="009B38D0">
        <w:rPr>
          <w:rFonts w:ascii="Arial" w:hAnsi="Arial" w:cs="Arial"/>
          <w:sz w:val="24"/>
          <w:szCs w:val="24"/>
        </w:rPr>
        <w:t>has</w:t>
      </w:r>
      <w:r w:rsidRPr="009B38D0">
        <w:rPr>
          <w:rFonts w:ascii="Arial" w:hAnsi="Arial" w:cs="Arial"/>
          <w:sz w:val="24"/>
          <w:szCs w:val="24"/>
        </w:rPr>
        <w:t xml:space="preserve"> a net present value (NPV) value of zero and is used as the rate of investment attractiveness (Sun, 2022). The projects that have IRRs that are higher than the required rate of return of the firm are usually considered viable.</w:t>
      </w:r>
    </w:p>
    <w:p w14:paraId="366C0226" w14:textId="689B43FE" w:rsidR="0088459D" w:rsidRPr="009B38D0" w:rsidRDefault="009B38D0" w:rsidP="009B38D0">
      <w:pPr>
        <w:spacing w:line="360" w:lineRule="auto"/>
        <w:jc w:val="both"/>
        <w:rPr>
          <w:rFonts w:ascii="Arial" w:hAnsi="Arial" w:cs="Arial"/>
          <w:sz w:val="24"/>
          <w:szCs w:val="24"/>
        </w:rPr>
      </w:pPr>
      <w:r w:rsidRPr="009B38D0">
        <w:rPr>
          <w:rFonts w:ascii="Arial" w:hAnsi="Arial" w:cs="Arial"/>
          <w:sz w:val="24"/>
          <w:szCs w:val="24"/>
        </w:rPr>
        <w:t>The IRR of project C is impressive, with the project having high efficiency to translate investment into prospective cash flows of 28.6 percent. What it means is that that even when discounting is done conservatively, the project would give huge returns and the project would be a good option to be strategic or to grow aggressively. Project A, 10.7 IRR is a bit above usability cost of capital limits, indicating an average profitability and risk worth taking; it can be applicable to the companies that focus on predictable payouts or solvency. On the other hand, the IRR rate of 9.8 in Project B is not high and may even be lower than the operating hurdle rate of the firm, which shows that little value-generating is created and the opportunity cost of taking the project is high.</w:t>
      </w:r>
    </w:p>
    <w:p w14:paraId="1D92CF53" w14:textId="278C5F76" w:rsidR="0025573A" w:rsidRDefault="009B38D0" w:rsidP="009B38D0">
      <w:pPr>
        <w:spacing w:line="360" w:lineRule="auto"/>
        <w:jc w:val="both"/>
        <w:rPr>
          <w:rFonts w:ascii="Arial" w:hAnsi="Arial" w:cs="Arial"/>
          <w:sz w:val="24"/>
          <w:szCs w:val="24"/>
        </w:rPr>
      </w:pPr>
      <w:r w:rsidRPr="009B38D0">
        <w:rPr>
          <w:rFonts w:ascii="Arial" w:hAnsi="Arial" w:cs="Arial"/>
          <w:sz w:val="24"/>
          <w:szCs w:val="24"/>
        </w:rPr>
        <w:t xml:space="preserve">In general, IRR analysis supplements any value-based measures of performance, such as PI by paying attention to efficiency of returns. C is the predominant, A provides balance </w:t>
      </w:r>
      <w:r w:rsidRPr="009B38D0">
        <w:rPr>
          <w:rFonts w:ascii="Arial" w:hAnsi="Arial" w:cs="Arial"/>
          <w:sz w:val="24"/>
          <w:szCs w:val="24"/>
        </w:rPr>
        <w:lastRenderedPageBreak/>
        <w:t>between risk and liquidity, and B is weaker in its strategies, which justify the necessity to use the IRR with cash flow timing and risk consideration.</w:t>
      </w:r>
    </w:p>
    <w:p w14:paraId="5486485B" w14:textId="344D5B50" w:rsidR="0088459D" w:rsidRPr="00246965" w:rsidRDefault="00246965" w:rsidP="00246965">
      <w:pPr>
        <w:pStyle w:val="Heading2"/>
        <w:rPr>
          <w:b w:val="0"/>
        </w:rPr>
      </w:pPr>
      <w:bookmarkStart w:id="24" w:name="_Toc217280911"/>
      <w:r>
        <w:t xml:space="preserve">4.4 </w:t>
      </w:r>
      <w:r w:rsidR="0088459D" w:rsidRPr="00246965">
        <w:t>Accounting</w:t>
      </w:r>
      <w:r w:rsidR="0088459D" w:rsidRPr="0088459D">
        <w:t xml:space="preserve"> Rate of Return (ARR)</w:t>
      </w:r>
      <w:bookmarkEnd w:id="24"/>
    </w:p>
    <w:p w14:paraId="7B9BE62C" w14:textId="275A7A62" w:rsidR="003A4DE8" w:rsidRPr="003A4DE8" w:rsidRDefault="003A4DE8" w:rsidP="003A4DE8">
      <w:pPr>
        <w:spacing w:line="360" w:lineRule="auto"/>
        <w:jc w:val="both"/>
        <w:rPr>
          <w:rFonts w:ascii="Arial" w:hAnsi="Arial" w:cs="Arial"/>
          <w:sz w:val="24"/>
          <w:szCs w:val="24"/>
        </w:rPr>
      </w:pPr>
      <w:r w:rsidRPr="003A4DE8">
        <w:rPr>
          <w:rFonts w:ascii="Arial" w:hAnsi="Arial" w:cs="Arial"/>
          <w:sz w:val="24"/>
          <w:szCs w:val="24"/>
        </w:rPr>
        <w:t>The Accounting Rate of Return (ARR) compares average accounting profit to the original investment and is especially applicable in the case of General Electronics considering recent losses in operations and the increased interest by the investors, lenders and credit rating partners. ARR is of utility to a CFO mostly as a pointer of how the proposed investments can allow reported profitability and stabilize earnings optics in the short and medium term.</w:t>
      </w:r>
    </w:p>
    <w:p w14:paraId="26DA1F38" w14:textId="77777777" w:rsidR="003A4DE8" w:rsidRPr="003A4DE8" w:rsidRDefault="003A4DE8" w:rsidP="003A4DE8">
      <w:pPr>
        <w:spacing w:line="360" w:lineRule="auto"/>
        <w:jc w:val="both"/>
        <w:rPr>
          <w:rFonts w:ascii="Arial" w:hAnsi="Arial" w:cs="Arial"/>
          <w:sz w:val="24"/>
          <w:szCs w:val="24"/>
        </w:rPr>
      </w:pPr>
      <w:r w:rsidRPr="003A4DE8">
        <w:rPr>
          <w:rFonts w:ascii="Arial" w:hAnsi="Arial" w:cs="Arial"/>
          <w:sz w:val="24"/>
          <w:szCs w:val="24"/>
        </w:rPr>
        <w:t>According to the Appendix D, Project C is the most effective in terms of ARR, approximately 10 percent, which is significantly better than Project A with its around 7percent ARR. Project B produces no ARR since operating inflows only cover the depreciation showing no contribution to the earnings recovery or strengthening of the balance sheet. Based on this, Project C remains the only solution that can make a meaningful contribution to the restoration of profitability whilst Project B does not warrant investment of capital given the current financial limitations.</w:t>
      </w:r>
    </w:p>
    <w:p w14:paraId="42F50874" w14:textId="6D97906F" w:rsidR="003A4DE8" w:rsidRDefault="003A4DE8" w:rsidP="00EC2335">
      <w:pPr>
        <w:spacing w:line="360" w:lineRule="auto"/>
        <w:jc w:val="both"/>
        <w:rPr>
          <w:rFonts w:ascii="Arial" w:hAnsi="Arial" w:cs="Arial"/>
          <w:sz w:val="24"/>
          <w:szCs w:val="24"/>
        </w:rPr>
      </w:pPr>
      <w:r w:rsidRPr="003A4DE8">
        <w:rPr>
          <w:rFonts w:ascii="Arial" w:hAnsi="Arial" w:cs="Arial"/>
          <w:sz w:val="24"/>
          <w:szCs w:val="24"/>
        </w:rPr>
        <w:t>Nevertheless, the fact that ARR uses accounting profits as an indicator of cash generation and does not consider when and whether returns will occur and how much, greatly diminishes the usefulness of ARR as a decision measure in its own right. Considering both liquidity pressures and high leverage levels, ARR is not the primary screening tool General Electronics should implement, but it must be combined with cash-based screening tools, like NPV and IRR to make sure that capital is allocated to the projects that contribute to financial resilience and shareholder value in the most effective way possible.</w:t>
      </w:r>
    </w:p>
    <w:p w14:paraId="662402D2" w14:textId="3D4A5E75" w:rsidR="00794C5D" w:rsidRDefault="00246965" w:rsidP="00246965">
      <w:pPr>
        <w:pStyle w:val="Heading2"/>
        <w:rPr>
          <w:b w:val="0"/>
        </w:rPr>
      </w:pPr>
      <w:bookmarkStart w:id="25" w:name="_Toc217280912"/>
      <w:r>
        <w:t xml:space="preserve">4.5 </w:t>
      </w:r>
      <w:r w:rsidR="00794C5D" w:rsidRPr="00794C5D">
        <w:t xml:space="preserve">Net </w:t>
      </w:r>
      <w:r w:rsidR="00794C5D" w:rsidRPr="00246965">
        <w:t>Present</w:t>
      </w:r>
      <w:r w:rsidR="00794C5D" w:rsidRPr="00794C5D">
        <w:t xml:space="preserve"> Value (NPV)</w:t>
      </w:r>
      <w:bookmarkEnd w:id="25"/>
    </w:p>
    <w:p w14:paraId="25944154" w14:textId="77777777" w:rsidR="002C35F1" w:rsidRPr="002C35F1" w:rsidRDefault="002C35F1" w:rsidP="002C35F1"/>
    <w:p w14:paraId="561F3644" w14:textId="7D639599" w:rsidR="002C35F1" w:rsidRPr="002C35F1" w:rsidRDefault="002C35F1" w:rsidP="002C35F1">
      <w:pPr>
        <w:spacing w:line="360" w:lineRule="auto"/>
        <w:jc w:val="both"/>
        <w:rPr>
          <w:rFonts w:ascii="Arial" w:hAnsi="Arial" w:cs="Arial"/>
          <w:sz w:val="24"/>
          <w:szCs w:val="24"/>
        </w:rPr>
      </w:pPr>
      <w:r w:rsidRPr="002C35F1">
        <w:rPr>
          <w:rFonts w:ascii="Arial" w:hAnsi="Arial" w:cs="Arial"/>
          <w:sz w:val="24"/>
          <w:szCs w:val="24"/>
        </w:rPr>
        <w:t xml:space="preserve">The level of contribution of each project to the shareholder value will be determined using Net Present Value (NPV) where future cash inflows will be discounted using the required rate of return in General Electronics of 10% and then compared to the amount of cash invested in the project. Due to the poor profitability level and growing capital constraint, </w:t>
      </w:r>
      <w:r w:rsidRPr="002C35F1">
        <w:rPr>
          <w:rFonts w:ascii="Arial" w:hAnsi="Arial" w:cs="Arial"/>
          <w:sz w:val="24"/>
          <w:szCs w:val="24"/>
        </w:rPr>
        <w:lastRenderedPageBreak/>
        <w:t xml:space="preserve">NPV is the best primary decision criterion as it directly quantifies the value creation and is consistent with the shareholder wealth </w:t>
      </w:r>
      <w:proofErr w:type="spellStart"/>
      <w:r w:rsidRPr="002C35F1">
        <w:rPr>
          <w:rFonts w:ascii="Arial" w:hAnsi="Arial" w:cs="Arial"/>
          <w:sz w:val="24"/>
          <w:szCs w:val="24"/>
        </w:rPr>
        <w:t>maximisation</w:t>
      </w:r>
      <w:proofErr w:type="spellEnd"/>
      <w:r w:rsidRPr="002C35F1">
        <w:rPr>
          <w:rFonts w:ascii="Arial" w:hAnsi="Arial" w:cs="Arial"/>
          <w:sz w:val="24"/>
          <w:szCs w:val="24"/>
        </w:rPr>
        <w:t>.</w:t>
      </w:r>
    </w:p>
    <w:p w14:paraId="557A9EB4" w14:textId="6B0A18BA" w:rsidR="002C35F1" w:rsidRPr="002C35F1" w:rsidRDefault="002C35F1" w:rsidP="002C35F1">
      <w:pPr>
        <w:spacing w:line="360" w:lineRule="auto"/>
        <w:jc w:val="both"/>
        <w:rPr>
          <w:rFonts w:ascii="Arial" w:hAnsi="Arial" w:cs="Arial"/>
          <w:sz w:val="24"/>
          <w:szCs w:val="24"/>
        </w:rPr>
      </w:pPr>
      <w:r w:rsidRPr="002C35F1">
        <w:rPr>
          <w:rFonts w:ascii="Arial" w:hAnsi="Arial" w:cs="Arial"/>
          <w:sz w:val="24"/>
          <w:szCs w:val="24"/>
        </w:rPr>
        <w:t>Project C will yield the highest present value of inflows of 10% discount rate of £71.28 million, and hence provide a high NPV of £21.28 million. This means that value is created substantially and offers a substantial cushion against forecasting and estimation risk plus makes Project C the most financially appealing choice. Project A generates a slightly low positive NPV at just £1.92 million, where discounted inflows are at 41.92 million implying a low value-adding activity and the sensitivity to variations in most assumptions is high. Conversely, Project B has a negative NPV of -0.21 million because discounted inflows of 29.79M do not completely offset the initial investment which is a negative implication on shareholder value.</w:t>
      </w:r>
    </w:p>
    <w:p w14:paraId="6DEA563B" w14:textId="5C274EE2" w:rsidR="002C35F1" w:rsidRPr="00794C5D" w:rsidRDefault="002C35F1" w:rsidP="002C35F1">
      <w:pPr>
        <w:spacing w:line="360" w:lineRule="auto"/>
        <w:jc w:val="both"/>
        <w:rPr>
          <w:rFonts w:ascii="Arial" w:hAnsi="Arial" w:cs="Arial"/>
          <w:sz w:val="24"/>
          <w:szCs w:val="24"/>
        </w:rPr>
      </w:pPr>
      <w:r w:rsidRPr="002C35F1">
        <w:rPr>
          <w:rFonts w:ascii="Arial" w:hAnsi="Arial" w:cs="Arial"/>
          <w:sz w:val="24"/>
          <w:szCs w:val="24"/>
        </w:rPr>
        <w:t>The NPV findings in general point towards the fact that Project C is the most preferred and Project A can be considered only with reservations but Project B should not be accepted at the present financial and risk conditions.</w:t>
      </w:r>
    </w:p>
    <w:p w14:paraId="3F58B911" w14:textId="02972D6F" w:rsidR="0025573A" w:rsidRDefault="00246965" w:rsidP="00246965">
      <w:pPr>
        <w:pStyle w:val="Heading2"/>
        <w:rPr>
          <w:b w:val="0"/>
        </w:rPr>
      </w:pPr>
      <w:bookmarkStart w:id="26" w:name="_Toc217280913"/>
      <w:r>
        <w:t xml:space="preserve">4.6 </w:t>
      </w:r>
      <w:r w:rsidR="0025573A" w:rsidRPr="0025573A">
        <w:t xml:space="preserve">Capital </w:t>
      </w:r>
      <w:r w:rsidR="0025573A" w:rsidRPr="00246965">
        <w:t>Rationing</w:t>
      </w:r>
      <w:r w:rsidR="0025573A" w:rsidRPr="0025573A">
        <w:t xml:space="preserve"> and Final Recommendation</w:t>
      </w:r>
      <w:bookmarkEnd w:id="26"/>
    </w:p>
    <w:p w14:paraId="23C3F6BC" w14:textId="072342BD" w:rsidR="0025573A" w:rsidRDefault="00E66AF4" w:rsidP="00E66AF4">
      <w:pPr>
        <w:spacing w:line="360" w:lineRule="auto"/>
        <w:jc w:val="both"/>
        <w:rPr>
          <w:rFonts w:ascii="Arial" w:hAnsi="Arial" w:cs="Arial"/>
          <w:sz w:val="24"/>
          <w:szCs w:val="24"/>
        </w:rPr>
      </w:pPr>
      <w:r w:rsidRPr="00E66AF4">
        <w:rPr>
          <w:rFonts w:ascii="Arial" w:hAnsi="Arial" w:cs="Arial"/>
          <w:sz w:val="24"/>
          <w:szCs w:val="24"/>
        </w:rPr>
        <w:t xml:space="preserve">Since there is a ceiling of 60 million pounds to be invested in a given project, only a single project can be undertaken, and alternatives cannot be done because of the existence of a capital limit. Viewing the alternatives critically, the better choice goes to Project C. It provides the best Profitability Index (1.426), and Internal rate of return (28.6), which shows the excellent performance in terms of investment to value and cash growth in the long run. </w:t>
      </w:r>
      <w:r w:rsidR="00EC2335">
        <w:rPr>
          <w:rFonts w:ascii="Arial" w:hAnsi="Arial" w:cs="Arial"/>
          <w:sz w:val="24"/>
          <w:szCs w:val="24"/>
        </w:rPr>
        <w:t xml:space="preserve">On the other hand, </w:t>
      </w:r>
      <w:r w:rsidR="00246965" w:rsidRPr="00E66AF4">
        <w:rPr>
          <w:rFonts w:ascii="Arial" w:hAnsi="Arial" w:cs="Arial"/>
          <w:sz w:val="24"/>
          <w:szCs w:val="24"/>
        </w:rPr>
        <w:t>the</w:t>
      </w:r>
      <w:r w:rsidRPr="00E66AF4">
        <w:rPr>
          <w:rFonts w:ascii="Arial" w:hAnsi="Arial" w:cs="Arial"/>
          <w:sz w:val="24"/>
          <w:szCs w:val="24"/>
        </w:rPr>
        <w:t xml:space="preserve"> first project (Project A) offers better inflows that are </w:t>
      </w:r>
      <w:proofErr w:type="spellStart"/>
      <w:r w:rsidRPr="00E66AF4">
        <w:rPr>
          <w:rFonts w:ascii="Arial" w:hAnsi="Arial" w:cs="Arial"/>
          <w:sz w:val="24"/>
          <w:szCs w:val="24"/>
        </w:rPr>
        <w:t>safier</w:t>
      </w:r>
      <w:proofErr w:type="spellEnd"/>
      <w:r w:rsidRPr="00E66AF4">
        <w:rPr>
          <w:rFonts w:ascii="Arial" w:hAnsi="Arial" w:cs="Arial"/>
          <w:sz w:val="24"/>
          <w:szCs w:val="24"/>
        </w:rPr>
        <w:t xml:space="preserve">, less risky, but lower payback with a marginally positive PI (see Table 1), thus not optimal in terms of focusing on the capital efficiency and long-term returns. Project B is not performing so well through PBP, PI, and IRR measurement, which are poor cash recovery and low strategic value. Thus, in the case of capital rationing and recovery-oriented approach, Project C will be the best compromise between risk and reward with Projects A and B being postponed or discarded in favor of conserving capital and </w:t>
      </w:r>
      <w:proofErr w:type="spellStart"/>
      <w:r w:rsidRPr="00E66AF4">
        <w:rPr>
          <w:rFonts w:ascii="Arial" w:hAnsi="Arial" w:cs="Arial"/>
          <w:sz w:val="24"/>
          <w:szCs w:val="24"/>
        </w:rPr>
        <w:t>optimising</w:t>
      </w:r>
      <w:proofErr w:type="spellEnd"/>
      <w:r w:rsidRPr="00E66AF4">
        <w:rPr>
          <w:rFonts w:ascii="Arial" w:hAnsi="Arial" w:cs="Arial"/>
          <w:sz w:val="24"/>
          <w:szCs w:val="24"/>
        </w:rPr>
        <w:t xml:space="preserve"> value creation.</w:t>
      </w:r>
    </w:p>
    <w:p w14:paraId="1EEDFD29" w14:textId="206B9EDA" w:rsidR="00794C5D" w:rsidRDefault="00246965" w:rsidP="00246965">
      <w:pPr>
        <w:pStyle w:val="Heading2"/>
        <w:rPr>
          <w:b w:val="0"/>
        </w:rPr>
      </w:pPr>
      <w:bookmarkStart w:id="27" w:name="_Toc217280914"/>
      <w:r>
        <w:lastRenderedPageBreak/>
        <w:t xml:space="preserve">4.6 </w:t>
      </w:r>
      <w:r w:rsidR="00794C5D" w:rsidRPr="00246965">
        <w:t>Recommendation</w:t>
      </w:r>
      <w:r w:rsidR="00794C5D" w:rsidRPr="00794C5D">
        <w:t xml:space="preserve"> Justification: Financial Resilience and Risk</w:t>
      </w:r>
      <w:bookmarkEnd w:id="27"/>
      <w:r w:rsidR="00794C5D" w:rsidRPr="00794C5D">
        <w:t xml:space="preserve"> </w:t>
      </w:r>
    </w:p>
    <w:p w14:paraId="54B923D9" w14:textId="0AE6F098" w:rsidR="00794C5D" w:rsidRPr="00794C5D" w:rsidRDefault="00794C5D" w:rsidP="00794C5D">
      <w:pPr>
        <w:spacing w:line="360" w:lineRule="auto"/>
        <w:jc w:val="both"/>
        <w:rPr>
          <w:rFonts w:ascii="Arial" w:hAnsi="Arial" w:cs="Arial"/>
          <w:sz w:val="24"/>
          <w:szCs w:val="24"/>
        </w:rPr>
      </w:pPr>
      <w:r w:rsidRPr="00794C5D">
        <w:rPr>
          <w:rFonts w:ascii="Arial" w:hAnsi="Arial" w:cs="Arial"/>
          <w:sz w:val="24"/>
          <w:szCs w:val="24"/>
        </w:rPr>
        <w:t xml:space="preserve">This Project C suggestion to take priority is validated in comparison to the poor financial performance of General Electronics and the increased threat environment after the COVID-19. The falling profitability, negative payback on equity, and uncertain earnings have shown that the company has a small ability to bear low or uncertain value creation projects (Rashid, 2021; </w:t>
      </w:r>
      <w:proofErr w:type="spellStart"/>
      <w:r w:rsidRPr="00794C5D">
        <w:rPr>
          <w:rFonts w:ascii="Arial" w:hAnsi="Arial" w:cs="Arial"/>
          <w:sz w:val="24"/>
          <w:szCs w:val="24"/>
        </w:rPr>
        <w:t>Ramdhan</w:t>
      </w:r>
      <w:proofErr w:type="spellEnd"/>
      <w:r w:rsidRPr="00794C5D">
        <w:rPr>
          <w:rFonts w:ascii="Arial" w:hAnsi="Arial" w:cs="Arial"/>
          <w:sz w:val="24"/>
          <w:szCs w:val="24"/>
        </w:rPr>
        <w:t xml:space="preserve"> et al., 2025). Here, it is important to have a project with a high positive NPV and high initial cash inflows that would counter the loss of credibility on earnings and long-term value creation (</w:t>
      </w:r>
      <w:proofErr w:type="spellStart"/>
      <w:r w:rsidRPr="00794C5D">
        <w:rPr>
          <w:rFonts w:ascii="Arial" w:hAnsi="Arial" w:cs="Arial"/>
          <w:sz w:val="24"/>
          <w:szCs w:val="24"/>
        </w:rPr>
        <w:t>Schoenmaker</w:t>
      </w:r>
      <w:proofErr w:type="spellEnd"/>
      <w:r w:rsidRPr="00794C5D">
        <w:rPr>
          <w:rFonts w:ascii="Arial" w:hAnsi="Arial" w:cs="Arial"/>
          <w:sz w:val="24"/>
          <w:szCs w:val="24"/>
        </w:rPr>
        <w:t xml:space="preserve"> and </w:t>
      </w:r>
      <w:proofErr w:type="spellStart"/>
      <w:r w:rsidRPr="00794C5D">
        <w:rPr>
          <w:rFonts w:ascii="Arial" w:hAnsi="Arial" w:cs="Arial"/>
          <w:sz w:val="24"/>
          <w:szCs w:val="24"/>
        </w:rPr>
        <w:t>Schramade</w:t>
      </w:r>
      <w:proofErr w:type="spellEnd"/>
      <w:r w:rsidRPr="00794C5D">
        <w:rPr>
          <w:rFonts w:ascii="Arial" w:hAnsi="Arial" w:cs="Arial"/>
          <w:sz w:val="24"/>
          <w:szCs w:val="24"/>
        </w:rPr>
        <w:t>, 2019).</w:t>
      </w:r>
    </w:p>
    <w:p w14:paraId="0A500A73" w14:textId="58A8A513" w:rsidR="00794C5D" w:rsidRPr="00794C5D" w:rsidRDefault="00794C5D" w:rsidP="00794C5D">
      <w:pPr>
        <w:spacing w:line="360" w:lineRule="auto"/>
        <w:jc w:val="both"/>
        <w:rPr>
          <w:rFonts w:ascii="Arial" w:hAnsi="Arial" w:cs="Arial"/>
          <w:sz w:val="24"/>
          <w:szCs w:val="24"/>
        </w:rPr>
      </w:pPr>
      <w:r w:rsidRPr="00794C5D">
        <w:rPr>
          <w:rFonts w:ascii="Arial" w:hAnsi="Arial" w:cs="Arial"/>
          <w:sz w:val="24"/>
          <w:szCs w:val="24"/>
        </w:rPr>
        <w:t>Liquidity-wise, General Electronics has long cash conversion cycles and limited internal financing ability, which is worsened by post-pandemic disruptions to the supply chain and notoriously unstable consumer demand (Mohsin et al., 2021; Morgan, 2025). The more robust and faster cash inflow profile of project C aids in the alleviation of liquidity pressure and dependence on external debt in comparison to marginal projects that may lead to the exacerbation of working capital (</w:t>
      </w:r>
      <w:proofErr w:type="spellStart"/>
      <w:r w:rsidRPr="00794C5D">
        <w:rPr>
          <w:rFonts w:ascii="Arial" w:hAnsi="Arial" w:cs="Arial"/>
          <w:sz w:val="24"/>
          <w:szCs w:val="24"/>
        </w:rPr>
        <w:t>Effendie</w:t>
      </w:r>
      <w:proofErr w:type="spellEnd"/>
      <w:r w:rsidRPr="00794C5D">
        <w:rPr>
          <w:rFonts w:ascii="Arial" w:hAnsi="Arial" w:cs="Arial"/>
          <w:sz w:val="24"/>
          <w:szCs w:val="24"/>
        </w:rPr>
        <w:t xml:space="preserve"> et al., 2022; Ramadan and </w:t>
      </w:r>
      <w:proofErr w:type="spellStart"/>
      <w:r w:rsidRPr="00794C5D">
        <w:rPr>
          <w:rFonts w:ascii="Arial" w:hAnsi="Arial" w:cs="Arial"/>
          <w:sz w:val="24"/>
          <w:szCs w:val="24"/>
        </w:rPr>
        <w:t>Gani</w:t>
      </w:r>
      <w:proofErr w:type="spellEnd"/>
      <w:r w:rsidRPr="00794C5D">
        <w:rPr>
          <w:rFonts w:ascii="Arial" w:hAnsi="Arial" w:cs="Arial"/>
          <w:sz w:val="24"/>
          <w:szCs w:val="24"/>
        </w:rPr>
        <w:t>, 2024).</w:t>
      </w:r>
    </w:p>
    <w:p w14:paraId="5BAE7000" w14:textId="69D71921" w:rsidR="00794C5D" w:rsidRPr="00794C5D" w:rsidRDefault="00794C5D" w:rsidP="00794C5D">
      <w:pPr>
        <w:spacing w:line="360" w:lineRule="auto"/>
        <w:jc w:val="both"/>
        <w:rPr>
          <w:rFonts w:ascii="Arial" w:hAnsi="Arial" w:cs="Arial"/>
          <w:sz w:val="24"/>
          <w:szCs w:val="24"/>
        </w:rPr>
      </w:pPr>
      <w:r w:rsidRPr="00794C5D">
        <w:rPr>
          <w:rFonts w:ascii="Arial" w:hAnsi="Arial" w:cs="Arial"/>
          <w:sz w:val="24"/>
          <w:szCs w:val="24"/>
        </w:rPr>
        <w:t xml:space="preserve">This recommendation is also supported by the risk considerations. The consumer electronics and semiconductor value chain </w:t>
      </w:r>
      <w:r w:rsidR="00365132" w:rsidRPr="00794C5D">
        <w:rPr>
          <w:rFonts w:ascii="Arial" w:hAnsi="Arial" w:cs="Arial"/>
          <w:sz w:val="24"/>
          <w:szCs w:val="24"/>
        </w:rPr>
        <w:t>are</w:t>
      </w:r>
      <w:r w:rsidRPr="00794C5D">
        <w:rPr>
          <w:rFonts w:ascii="Arial" w:hAnsi="Arial" w:cs="Arial"/>
          <w:sz w:val="24"/>
          <w:szCs w:val="24"/>
        </w:rPr>
        <w:t xml:space="preserve"> still impacted by global economic uncertainty, exchange rate volatility, and geopolitical disruptions, which increase the risk of earnings to companies with low margins (Jabal and Allawi, 2020; </w:t>
      </w:r>
      <w:proofErr w:type="spellStart"/>
      <w:r w:rsidRPr="00794C5D">
        <w:rPr>
          <w:rFonts w:ascii="Arial" w:hAnsi="Arial" w:cs="Arial"/>
          <w:sz w:val="24"/>
          <w:szCs w:val="24"/>
        </w:rPr>
        <w:t>Ngui</w:t>
      </w:r>
      <w:proofErr w:type="spellEnd"/>
      <w:r w:rsidRPr="00794C5D">
        <w:rPr>
          <w:rFonts w:ascii="Arial" w:hAnsi="Arial" w:cs="Arial"/>
          <w:sz w:val="24"/>
          <w:szCs w:val="24"/>
        </w:rPr>
        <w:t xml:space="preserve"> Jia </w:t>
      </w:r>
      <w:proofErr w:type="spellStart"/>
      <w:r w:rsidRPr="00794C5D">
        <w:rPr>
          <w:rFonts w:ascii="Arial" w:hAnsi="Arial" w:cs="Arial"/>
          <w:sz w:val="24"/>
          <w:szCs w:val="24"/>
        </w:rPr>
        <w:t>En</w:t>
      </w:r>
      <w:proofErr w:type="spellEnd"/>
      <w:r w:rsidRPr="00794C5D">
        <w:rPr>
          <w:rFonts w:ascii="Arial" w:hAnsi="Arial" w:cs="Arial"/>
          <w:sz w:val="24"/>
          <w:szCs w:val="24"/>
        </w:rPr>
        <w:t xml:space="preserve"> and Malek, 2021). The larger value buffer in project C will provide greater resilience to these shocks, and the socially responsible and legally sound restructuring goals and purposes (Library and Zu; </w:t>
      </w:r>
      <w:proofErr w:type="spellStart"/>
      <w:r w:rsidRPr="00794C5D">
        <w:rPr>
          <w:rFonts w:ascii="Arial" w:hAnsi="Arial" w:cs="Arial"/>
          <w:sz w:val="24"/>
          <w:szCs w:val="24"/>
        </w:rPr>
        <w:t>TaxTMI</w:t>
      </w:r>
      <w:proofErr w:type="spellEnd"/>
      <w:r w:rsidRPr="00794C5D">
        <w:rPr>
          <w:rFonts w:ascii="Arial" w:hAnsi="Arial" w:cs="Arial"/>
          <w:sz w:val="24"/>
          <w:szCs w:val="24"/>
        </w:rPr>
        <w:t>, 2025). In general, Project C is the most balanced to recover finances, safeguard liquidity, and reduce risks in the post-COVID environment.</w:t>
      </w:r>
    </w:p>
    <w:p w14:paraId="0A2164E3" w14:textId="21A84851" w:rsidR="00A931D2" w:rsidRPr="00246965" w:rsidRDefault="00A931D2" w:rsidP="00246965">
      <w:pPr>
        <w:pStyle w:val="Heading1"/>
      </w:pPr>
      <w:bookmarkStart w:id="28" w:name="_Toc217280915"/>
      <w:r w:rsidRPr="00A931D2">
        <w:t>Conclusion</w:t>
      </w:r>
      <w:bookmarkEnd w:id="28"/>
    </w:p>
    <w:p w14:paraId="1B834C66" w14:textId="762DC776" w:rsidR="0074795A" w:rsidRPr="0074795A" w:rsidRDefault="0074795A" w:rsidP="0074795A">
      <w:pPr>
        <w:spacing w:line="360" w:lineRule="auto"/>
        <w:jc w:val="both"/>
        <w:rPr>
          <w:rFonts w:ascii="Arial" w:hAnsi="Arial" w:cs="Arial"/>
          <w:sz w:val="24"/>
          <w:szCs w:val="24"/>
        </w:rPr>
      </w:pPr>
      <w:r w:rsidRPr="0074795A">
        <w:rPr>
          <w:rFonts w:ascii="Arial" w:hAnsi="Arial" w:cs="Arial"/>
          <w:sz w:val="24"/>
          <w:szCs w:val="24"/>
        </w:rPr>
        <w:t>This is a report that has provided a financial and strategic review of General Electronics during 2020</w:t>
      </w:r>
      <w:r>
        <w:rPr>
          <w:rFonts w:ascii="Arial" w:hAnsi="Arial" w:cs="Arial"/>
          <w:sz w:val="24"/>
          <w:szCs w:val="24"/>
        </w:rPr>
        <w:t>-</w:t>
      </w:r>
      <w:r w:rsidRPr="0074795A">
        <w:rPr>
          <w:rFonts w:ascii="Arial" w:hAnsi="Arial" w:cs="Arial"/>
          <w:sz w:val="24"/>
          <w:szCs w:val="24"/>
        </w:rPr>
        <w:t xml:space="preserve">24 and has shown that the company has significant operational and financial pressure. Ratio and cash flow analyses indicated a decrease in revenues, a consistent decrease in operating earnings, liquidity deterioration, an increasing adverse interest cover, and increased leverage because of a decline in the amount of equity. Though the Altman Z-Score findings indicate that the company has a low bankruptcy probability in the </w:t>
      </w:r>
      <w:r w:rsidRPr="0074795A">
        <w:rPr>
          <w:rFonts w:ascii="Arial" w:hAnsi="Arial" w:cs="Arial"/>
          <w:sz w:val="24"/>
          <w:szCs w:val="24"/>
        </w:rPr>
        <w:lastRenderedPageBreak/>
        <w:t>short term, the fact that it continues to make losses and fails to manage its working capital optimally raises the insolvency risk in the long term considerably.</w:t>
      </w:r>
    </w:p>
    <w:p w14:paraId="74585D23" w14:textId="7CFA0CEF" w:rsidR="0074795A" w:rsidRDefault="0074795A">
      <w:pPr>
        <w:rPr>
          <w:rFonts w:ascii="Arial" w:hAnsi="Arial" w:cs="Arial"/>
          <w:sz w:val="24"/>
          <w:szCs w:val="24"/>
        </w:rPr>
      </w:pPr>
      <w:r>
        <w:rPr>
          <w:rFonts w:ascii="Arial" w:hAnsi="Arial" w:cs="Arial"/>
          <w:sz w:val="24"/>
          <w:szCs w:val="24"/>
        </w:rPr>
        <w:br w:type="page"/>
      </w:r>
    </w:p>
    <w:p w14:paraId="1FCF2B88" w14:textId="486E7D2B" w:rsidR="0074795A" w:rsidRDefault="0074795A" w:rsidP="00246965">
      <w:pPr>
        <w:pStyle w:val="Heading1"/>
      </w:pPr>
      <w:bookmarkStart w:id="29" w:name="_Toc217280916"/>
      <w:r w:rsidRPr="00246965">
        <w:lastRenderedPageBreak/>
        <w:t>References</w:t>
      </w:r>
      <w:bookmarkEnd w:id="29"/>
    </w:p>
    <w:p w14:paraId="6E7B0D64" w14:textId="77777777" w:rsidR="001E4625" w:rsidRDefault="001E4625" w:rsidP="001E4625">
      <w:pPr>
        <w:spacing w:line="360" w:lineRule="auto"/>
        <w:jc w:val="both"/>
      </w:pPr>
    </w:p>
    <w:p w14:paraId="7F47A81D"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AFP (2025) </w:t>
      </w:r>
      <w:r w:rsidRPr="001E4625">
        <w:rPr>
          <w:rFonts w:ascii="Arial" w:hAnsi="Arial" w:cs="Arial"/>
          <w:i/>
          <w:iCs/>
          <w:sz w:val="24"/>
          <w:szCs w:val="24"/>
        </w:rPr>
        <w:t>Trending topics in treasury and finance</w:t>
      </w:r>
      <w:r w:rsidRPr="001E4625">
        <w:rPr>
          <w:rFonts w:ascii="Arial" w:hAnsi="Arial" w:cs="Arial"/>
          <w:sz w:val="24"/>
          <w:szCs w:val="24"/>
        </w:rPr>
        <w:t xml:space="preserve">. Available at: </w:t>
      </w:r>
      <w:hyperlink r:id="rId9" w:tgtFrame="_new" w:history="1">
        <w:r w:rsidRPr="001E4625">
          <w:rPr>
            <w:rStyle w:val="Hyperlink"/>
            <w:rFonts w:ascii="Arial" w:hAnsi="Arial" w:cs="Arial"/>
            <w:sz w:val="24"/>
            <w:szCs w:val="24"/>
          </w:rPr>
          <w:t>www.financialprofessionals.org/training-resources/resources/articles/Details/beyond-the-balance-sheet-the-strategic-role-of-today-s-cfo</w:t>
        </w:r>
      </w:hyperlink>
      <w:r w:rsidRPr="001E4625">
        <w:rPr>
          <w:rFonts w:ascii="Arial" w:hAnsi="Arial" w:cs="Arial"/>
          <w:sz w:val="24"/>
          <w:szCs w:val="24"/>
        </w:rPr>
        <w:t xml:space="preserve"> (Accessed: 21 December 2025).</w:t>
      </w:r>
    </w:p>
    <w:p w14:paraId="7B09606F"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Almehrzi</w:t>
      </w:r>
      <w:proofErr w:type="spellEnd"/>
      <w:r w:rsidRPr="001E4625">
        <w:rPr>
          <w:rFonts w:ascii="Arial" w:hAnsi="Arial" w:cs="Arial"/>
          <w:sz w:val="24"/>
          <w:szCs w:val="24"/>
        </w:rPr>
        <w:t xml:space="preserve">, A.K., et al. (2025) ‘A comparative financial analysis of LG and Samsung’, </w:t>
      </w:r>
      <w:r w:rsidRPr="001E4625">
        <w:rPr>
          <w:rFonts w:ascii="Arial" w:hAnsi="Arial" w:cs="Arial"/>
          <w:i/>
          <w:iCs/>
          <w:sz w:val="24"/>
          <w:szCs w:val="24"/>
        </w:rPr>
        <w:t>SSRN Electronic Journal</w:t>
      </w:r>
      <w:r w:rsidRPr="001E4625">
        <w:rPr>
          <w:rFonts w:ascii="Arial" w:hAnsi="Arial" w:cs="Arial"/>
          <w:sz w:val="24"/>
          <w:szCs w:val="24"/>
        </w:rPr>
        <w:t xml:space="preserve">. Available at: </w:t>
      </w:r>
      <w:hyperlink r:id="rId10" w:tgtFrame="_new" w:history="1">
        <w:r w:rsidRPr="001E4625">
          <w:rPr>
            <w:rStyle w:val="Hyperlink"/>
            <w:rFonts w:ascii="Arial" w:hAnsi="Arial" w:cs="Arial"/>
            <w:sz w:val="24"/>
            <w:szCs w:val="24"/>
          </w:rPr>
          <w:t>https://doi.org/10.2139/ssrn.5073801</w:t>
        </w:r>
      </w:hyperlink>
      <w:r w:rsidRPr="001E4625">
        <w:rPr>
          <w:rFonts w:ascii="Arial" w:hAnsi="Arial" w:cs="Arial"/>
          <w:sz w:val="24"/>
          <w:szCs w:val="24"/>
        </w:rPr>
        <w:t>.</w:t>
      </w:r>
    </w:p>
    <w:p w14:paraId="31C584ED" w14:textId="77777777" w:rsidR="00246965" w:rsidRPr="00365132" w:rsidRDefault="00246965" w:rsidP="002D5DD5">
      <w:pPr>
        <w:widowControl w:val="0"/>
        <w:spacing w:line="360" w:lineRule="auto"/>
        <w:ind w:left="720" w:hanging="720"/>
        <w:rPr>
          <w:rFonts w:ascii="Arial" w:hAnsi="Arial" w:cs="Arial"/>
          <w:sz w:val="24"/>
          <w:szCs w:val="24"/>
        </w:rPr>
      </w:pPr>
      <w:proofErr w:type="spellStart"/>
      <w:r w:rsidRPr="00365132">
        <w:rPr>
          <w:rFonts w:ascii="Arial" w:hAnsi="Arial" w:cs="Arial"/>
          <w:sz w:val="24"/>
          <w:szCs w:val="24"/>
          <w:lang w:val="en-GB"/>
        </w:rPr>
        <w:t>Atrill</w:t>
      </w:r>
      <w:proofErr w:type="spellEnd"/>
      <w:r w:rsidRPr="00365132">
        <w:rPr>
          <w:rFonts w:ascii="Arial" w:hAnsi="Arial" w:cs="Arial"/>
          <w:sz w:val="24"/>
          <w:szCs w:val="24"/>
          <w:lang w:val="en-GB"/>
        </w:rPr>
        <w:t>, P., &amp; McLaney, E. (2017). Chapter 3. Accounting and Finance for Non-Specialists (10th Edition, pp. 72-112). Pearson Education. ISBN: 9781292135601.</w:t>
      </w:r>
    </w:p>
    <w:p w14:paraId="018942A8"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Barman, R.D. (2023) ‘Financial statement: A tools to evaluate business performance’, </w:t>
      </w:r>
      <w:r w:rsidRPr="001E4625">
        <w:rPr>
          <w:rFonts w:ascii="Arial" w:hAnsi="Arial" w:cs="Arial"/>
          <w:i/>
          <w:iCs/>
          <w:sz w:val="24"/>
          <w:szCs w:val="24"/>
        </w:rPr>
        <w:t>Business Management and Economics Engineering</w:t>
      </w:r>
      <w:r w:rsidRPr="001E4625">
        <w:rPr>
          <w:rFonts w:ascii="Arial" w:hAnsi="Arial" w:cs="Arial"/>
          <w:sz w:val="24"/>
          <w:szCs w:val="24"/>
        </w:rPr>
        <w:t>, 21(2), pp. 819–835.</w:t>
      </w:r>
    </w:p>
    <w:p w14:paraId="09CED03F"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Battilana, J., et al. (2020) ‘Beyond shareholder value maximization: Accounting for financial/social trade-offs in dual-purpose companies’, </w:t>
      </w:r>
      <w:r w:rsidRPr="001E4625">
        <w:rPr>
          <w:rFonts w:ascii="Arial" w:hAnsi="Arial" w:cs="Arial"/>
          <w:i/>
          <w:iCs/>
          <w:sz w:val="24"/>
          <w:szCs w:val="24"/>
        </w:rPr>
        <w:t>Academy of Management Review</w:t>
      </w:r>
      <w:r w:rsidRPr="001E4625">
        <w:rPr>
          <w:rFonts w:ascii="Arial" w:hAnsi="Arial" w:cs="Arial"/>
          <w:sz w:val="24"/>
          <w:szCs w:val="24"/>
        </w:rPr>
        <w:t xml:space="preserve">, 47(2), pp. 237–258. </w:t>
      </w:r>
      <w:hyperlink r:id="rId11" w:tgtFrame="_new" w:history="1">
        <w:r w:rsidRPr="001E4625">
          <w:rPr>
            <w:rStyle w:val="Hyperlink"/>
            <w:rFonts w:ascii="Arial" w:hAnsi="Arial" w:cs="Arial"/>
            <w:sz w:val="24"/>
            <w:szCs w:val="24"/>
          </w:rPr>
          <w:t>https://doi.org/10.5465/amr.2019.0386</w:t>
        </w:r>
      </w:hyperlink>
      <w:r w:rsidRPr="001E4625">
        <w:rPr>
          <w:rFonts w:ascii="Arial" w:hAnsi="Arial" w:cs="Arial"/>
          <w:sz w:val="24"/>
          <w:szCs w:val="24"/>
        </w:rPr>
        <w:t>.</w:t>
      </w:r>
    </w:p>
    <w:p w14:paraId="5E17B09E" w14:textId="77777777" w:rsidR="00246965" w:rsidRPr="00365132" w:rsidRDefault="00246965" w:rsidP="002D5DD5">
      <w:pPr>
        <w:widowControl w:val="0"/>
        <w:spacing w:line="360" w:lineRule="auto"/>
        <w:ind w:left="720" w:hanging="720"/>
        <w:rPr>
          <w:rFonts w:ascii="Arial" w:hAnsi="Arial" w:cs="Arial"/>
          <w:sz w:val="24"/>
          <w:szCs w:val="24"/>
        </w:rPr>
      </w:pPr>
      <w:r w:rsidRPr="00365132">
        <w:rPr>
          <w:rFonts w:ascii="Arial" w:hAnsi="Arial" w:cs="Arial"/>
          <w:sz w:val="24"/>
          <w:szCs w:val="24"/>
          <w:lang w:val="en-GB"/>
        </w:rPr>
        <w:t xml:space="preserve">Berk, J. and </w:t>
      </w:r>
      <w:proofErr w:type="spellStart"/>
      <w:r w:rsidRPr="00365132">
        <w:rPr>
          <w:rFonts w:ascii="Arial" w:hAnsi="Arial" w:cs="Arial"/>
          <w:sz w:val="24"/>
          <w:szCs w:val="24"/>
          <w:lang w:val="en-GB"/>
        </w:rPr>
        <w:t>DeMarzo</w:t>
      </w:r>
      <w:proofErr w:type="spellEnd"/>
      <w:r w:rsidRPr="00365132">
        <w:rPr>
          <w:rFonts w:ascii="Arial" w:hAnsi="Arial" w:cs="Arial"/>
          <w:sz w:val="24"/>
          <w:szCs w:val="24"/>
          <w:lang w:val="en-GB"/>
        </w:rPr>
        <w:t>, P. (2020). Corporate Finance (5th Global Edition). Pearson Education, ISBN: 9781292304151.</w:t>
      </w:r>
    </w:p>
    <w:p w14:paraId="4DDF776D"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Boardman, C.M., et al. (2006) ‘The role of the payback period in the theory and application of duration to capital budgeting’, </w:t>
      </w:r>
      <w:r w:rsidRPr="001E4625">
        <w:rPr>
          <w:rFonts w:ascii="Arial" w:hAnsi="Arial" w:cs="Arial"/>
          <w:i/>
          <w:iCs/>
          <w:sz w:val="24"/>
          <w:szCs w:val="24"/>
        </w:rPr>
        <w:t>Journal of Business Finance &amp; Accounting</w:t>
      </w:r>
      <w:r w:rsidRPr="001E4625">
        <w:rPr>
          <w:rFonts w:ascii="Arial" w:hAnsi="Arial" w:cs="Arial"/>
          <w:sz w:val="24"/>
          <w:szCs w:val="24"/>
        </w:rPr>
        <w:t xml:space="preserve">, 9(4), pp. 511–522. </w:t>
      </w:r>
      <w:hyperlink r:id="rId12" w:tgtFrame="_new" w:history="1">
        <w:r w:rsidRPr="001E4625">
          <w:rPr>
            <w:rStyle w:val="Hyperlink"/>
            <w:rFonts w:ascii="Arial" w:hAnsi="Arial" w:cs="Arial"/>
            <w:sz w:val="24"/>
            <w:szCs w:val="24"/>
          </w:rPr>
          <w:t>https://doi.org/10.1111/j.1468-5957.1982.tb01012.x</w:t>
        </w:r>
      </w:hyperlink>
      <w:r w:rsidRPr="001E4625">
        <w:rPr>
          <w:rFonts w:ascii="Arial" w:hAnsi="Arial" w:cs="Arial"/>
          <w:sz w:val="24"/>
          <w:szCs w:val="24"/>
        </w:rPr>
        <w:t>.</w:t>
      </w:r>
    </w:p>
    <w:p w14:paraId="10F56079" w14:textId="77777777" w:rsidR="00246965" w:rsidRPr="00246965" w:rsidRDefault="00246965" w:rsidP="00246965">
      <w:pPr>
        <w:pStyle w:val="NormalWeb"/>
        <w:spacing w:line="360" w:lineRule="auto"/>
        <w:ind w:left="720" w:hanging="720"/>
        <w:jc w:val="both"/>
        <w:rPr>
          <w:rFonts w:ascii="Arial" w:hAnsi="Arial" w:cs="Arial"/>
        </w:rPr>
      </w:pPr>
      <w:r w:rsidRPr="00246965">
        <w:rPr>
          <w:rFonts w:ascii="Arial" w:hAnsi="Arial" w:cs="Arial"/>
        </w:rPr>
        <w:t xml:space="preserve">Dell Technologies Inc. (2024). </w:t>
      </w:r>
      <w:r w:rsidRPr="00246965">
        <w:rPr>
          <w:rStyle w:val="Emphasis"/>
          <w:rFonts w:ascii="Arial" w:hAnsi="Arial" w:cs="Arial"/>
        </w:rPr>
        <w:t>Form 10-K annual report for the fiscal year ended February 2, 2024</w:t>
      </w:r>
      <w:r w:rsidRPr="00246965">
        <w:rPr>
          <w:rFonts w:ascii="Arial" w:hAnsi="Arial" w:cs="Arial"/>
        </w:rPr>
        <w:t>. Dell Technologies Inc.</w:t>
      </w:r>
    </w:p>
    <w:p w14:paraId="3082CD90"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Effendie</w:t>
      </w:r>
      <w:proofErr w:type="spellEnd"/>
      <w:r w:rsidRPr="001E4625">
        <w:rPr>
          <w:rFonts w:ascii="Arial" w:hAnsi="Arial" w:cs="Arial"/>
          <w:sz w:val="24"/>
          <w:szCs w:val="24"/>
        </w:rPr>
        <w:t xml:space="preserve">, M., et al. (2022) ‘Analysis of the effect of liquidity ratios, solvency and activity on the financial performance of the company’, </w:t>
      </w:r>
      <w:proofErr w:type="spellStart"/>
      <w:r w:rsidRPr="001E4625">
        <w:rPr>
          <w:rFonts w:ascii="Arial" w:hAnsi="Arial" w:cs="Arial"/>
          <w:i/>
          <w:iCs/>
          <w:sz w:val="24"/>
          <w:szCs w:val="24"/>
        </w:rPr>
        <w:t>Dinasti</w:t>
      </w:r>
      <w:proofErr w:type="spellEnd"/>
      <w:r w:rsidRPr="001E4625">
        <w:rPr>
          <w:rFonts w:ascii="Arial" w:hAnsi="Arial" w:cs="Arial"/>
          <w:i/>
          <w:iCs/>
          <w:sz w:val="24"/>
          <w:szCs w:val="24"/>
        </w:rPr>
        <w:t xml:space="preserve"> International Journal of Economics, Finance &amp; Accounting</w:t>
      </w:r>
      <w:r w:rsidRPr="001E4625">
        <w:rPr>
          <w:rFonts w:ascii="Arial" w:hAnsi="Arial" w:cs="Arial"/>
          <w:sz w:val="24"/>
          <w:szCs w:val="24"/>
        </w:rPr>
        <w:t xml:space="preserve">, 3(5), pp. 541–550. </w:t>
      </w:r>
      <w:hyperlink r:id="rId13" w:tgtFrame="_new" w:history="1">
        <w:r w:rsidRPr="001E4625">
          <w:rPr>
            <w:rStyle w:val="Hyperlink"/>
            <w:rFonts w:ascii="Arial" w:hAnsi="Arial" w:cs="Arial"/>
            <w:sz w:val="24"/>
            <w:szCs w:val="24"/>
          </w:rPr>
          <w:t>https://doi.org/10.38035/dijefa.v3i5.1507</w:t>
        </w:r>
      </w:hyperlink>
      <w:r w:rsidRPr="001E4625">
        <w:rPr>
          <w:rFonts w:ascii="Arial" w:hAnsi="Arial" w:cs="Arial"/>
          <w:sz w:val="24"/>
          <w:szCs w:val="24"/>
        </w:rPr>
        <w:t>.</w:t>
      </w:r>
    </w:p>
    <w:p w14:paraId="2514CB5B"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lastRenderedPageBreak/>
        <w:t>Embat</w:t>
      </w:r>
      <w:proofErr w:type="spellEnd"/>
      <w:r w:rsidRPr="001E4625">
        <w:rPr>
          <w:rFonts w:ascii="Arial" w:hAnsi="Arial" w:cs="Arial"/>
          <w:sz w:val="24"/>
          <w:szCs w:val="24"/>
        </w:rPr>
        <w:t xml:space="preserve"> (2024) </w:t>
      </w:r>
      <w:r w:rsidRPr="001E4625">
        <w:rPr>
          <w:rFonts w:ascii="Arial" w:hAnsi="Arial" w:cs="Arial"/>
          <w:i/>
          <w:iCs/>
          <w:sz w:val="24"/>
          <w:szCs w:val="24"/>
        </w:rPr>
        <w:t xml:space="preserve">Working capital </w:t>
      </w:r>
      <w:proofErr w:type="spellStart"/>
      <w:r w:rsidRPr="001E4625">
        <w:rPr>
          <w:rFonts w:ascii="Arial" w:hAnsi="Arial" w:cs="Arial"/>
          <w:i/>
          <w:iCs/>
          <w:sz w:val="24"/>
          <w:szCs w:val="24"/>
        </w:rPr>
        <w:t>optimisation</w:t>
      </w:r>
      <w:proofErr w:type="spellEnd"/>
      <w:r w:rsidRPr="001E4625">
        <w:rPr>
          <w:rFonts w:ascii="Arial" w:hAnsi="Arial" w:cs="Arial"/>
          <w:i/>
          <w:iCs/>
          <w:sz w:val="24"/>
          <w:szCs w:val="24"/>
        </w:rPr>
        <w:t xml:space="preserve"> strategies</w:t>
      </w:r>
      <w:r w:rsidRPr="001E4625">
        <w:rPr>
          <w:rFonts w:ascii="Arial" w:hAnsi="Arial" w:cs="Arial"/>
          <w:sz w:val="24"/>
          <w:szCs w:val="24"/>
        </w:rPr>
        <w:t xml:space="preserve">. Available at: </w:t>
      </w:r>
      <w:hyperlink r:id="rId14" w:tgtFrame="_new" w:history="1">
        <w:r w:rsidRPr="001E4625">
          <w:rPr>
            <w:rStyle w:val="Hyperlink"/>
            <w:rFonts w:ascii="Arial" w:hAnsi="Arial" w:cs="Arial"/>
            <w:sz w:val="24"/>
            <w:szCs w:val="24"/>
          </w:rPr>
          <w:t>www.embat.io/en/blog/working-capital-optimisation-strategies</w:t>
        </w:r>
      </w:hyperlink>
      <w:r w:rsidRPr="001E4625">
        <w:rPr>
          <w:rFonts w:ascii="Arial" w:hAnsi="Arial" w:cs="Arial"/>
          <w:sz w:val="24"/>
          <w:szCs w:val="24"/>
        </w:rPr>
        <w:t xml:space="preserve"> (Accessed: 21 December 2025).</w:t>
      </w:r>
    </w:p>
    <w:p w14:paraId="29CA24D2"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Flevy</w:t>
      </w:r>
      <w:proofErr w:type="spellEnd"/>
      <w:r w:rsidRPr="001E4625">
        <w:rPr>
          <w:rFonts w:ascii="Arial" w:hAnsi="Arial" w:cs="Arial"/>
          <w:sz w:val="24"/>
          <w:szCs w:val="24"/>
        </w:rPr>
        <w:t xml:space="preserve"> (2024) </w:t>
      </w:r>
      <w:r w:rsidRPr="001E4625">
        <w:rPr>
          <w:rFonts w:ascii="Arial" w:hAnsi="Arial" w:cs="Arial"/>
          <w:i/>
          <w:iCs/>
          <w:sz w:val="24"/>
          <w:szCs w:val="24"/>
        </w:rPr>
        <w:t>Consumer electronics industry value chain: Deep dive</w:t>
      </w:r>
      <w:r w:rsidRPr="001E4625">
        <w:rPr>
          <w:rFonts w:ascii="Arial" w:hAnsi="Arial" w:cs="Arial"/>
          <w:sz w:val="24"/>
          <w:szCs w:val="24"/>
        </w:rPr>
        <w:t>. Available at: flevy.com/blog/consumer-electronics-industry-value-chain-deep-dive (Accessed: 21 December 2025).</w:t>
      </w:r>
    </w:p>
    <w:p w14:paraId="4AF3600F"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Habib, A.M. and Kayani, U.N. (2022) ‘Does the efficiency of working capital management affect a firm’s financial distress? Evidence from UAE’, </w:t>
      </w:r>
      <w:r w:rsidRPr="001E4625">
        <w:rPr>
          <w:rFonts w:ascii="Arial" w:hAnsi="Arial" w:cs="Arial"/>
          <w:i/>
          <w:iCs/>
          <w:sz w:val="24"/>
          <w:szCs w:val="24"/>
        </w:rPr>
        <w:t>Corporate Governance: The International Journal of Business in Society</w:t>
      </w:r>
      <w:r w:rsidRPr="001E4625">
        <w:rPr>
          <w:rFonts w:ascii="Arial" w:hAnsi="Arial" w:cs="Arial"/>
          <w:sz w:val="24"/>
          <w:szCs w:val="24"/>
        </w:rPr>
        <w:t xml:space="preserve">. </w:t>
      </w:r>
      <w:hyperlink r:id="rId15" w:tgtFrame="_new" w:history="1">
        <w:r w:rsidRPr="001E4625">
          <w:rPr>
            <w:rStyle w:val="Hyperlink"/>
            <w:rFonts w:ascii="Arial" w:hAnsi="Arial" w:cs="Arial"/>
            <w:sz w:val="24"/>
            <w:szCs w:val="24"/>
          </w:rPr>
          <w:t>https://doi.org/10.1108/cg-12-2021-0440</w:t>
        </w:r>
      </w:hyperlink>
      <w:r w:rsidRPr="001E4625">
        <w:rPr>
          <w:rFonts w:ascii="Arial" w:hAnsi="Arial" w:cs="Arial"/>
          <w:sz w:val="24"/>
          <w:szCs w:val="24"/>
        </w:rPr>
        <w:t>.</w:t>
      </w:r>
    </w:p>
    <w:p w14:paraId="75B8FC22" w14:textId="77777777" w:rsidR="00246965" w:rsidRPr="00246965" w:rsidRDefault="00246965" w:rsidP="00246965">
      <w:pPr>
        <w:pStyle w:val="NormalWeb"/>
        <w:spacing w:line="360" w:lineRule="auto"/>
        <w:ind w:left="720" w:hanging="720"/>
        <w:jc w:val="both"/>
        <w:rPr>
          <w:rFonts w:ascii="Arial" w:hAnsi="Arial" w:cs="Arial"/>
        </w:rPr>
      </w:pPr>
      <w:r w:rsidRPr="00246965">
        <w:rPr>
          <w:rFonts w:ascii="Arial" w:hAnsi="Arial" w:cs="Arial"/>
        </w:rPr>
        <w:t xml:space="preserve">HP Inc. (2024). </w:t>
      </w:r>
      <w:r w:rsidRPr="00246965">
        <w:rPr>
          <w:rStyle w:val="Emphasis"/>
          <w:rFonts w:ascii="Arial" w:hAnsi="Arial" w:cs="Arial"/>
        </w:rPr>
        <w:t>Annual report and Form 10-K for the fiscal year ended October 31, 2023</w:t>
      </w:r>
      <w:r w:rsidRPr="00246965">
        <w:rPr>
          <w:rFonts w:ascii="Arial" w:hAnsi="Arial" w:cs="Arial"/>
        </w:rPr>
        <w:t>. HP Inc.</w:t>
      </w:r>
    </w:p>
    <w:p w14:paraId="54AD98A4" w14:textId="77777777" w:rsidR="00246965" w:rsidRPr="00246965" w:rsidRDefault="00246965" w:rsidP="00246965">
      <w:pPr>
        <w:pStyle w:val="NormalWeb"/>
        <w:spacing w:line="360" w:lineRule="auto"/>
        <w:ind w:left="720" w:hanging="720"/>
        <w:jc w:val="both"/>
        <w:rPr>
          <w:rFonts w:ascii="Arial" w:hAnsi="Arial" w:cs="Arial"/>
        </w:rPr>
      </w:pPr>
      <w:r w:rsidRPr="00246965">
        <w:rPr>
          <w:rFonts w:ascii="Arial" w:hAnsi="Arial" w:cs="Arial"/>
        </w:rPr>
        <w:t xml:space="preserve">International Monetary Fund. (2024). </w:t>
      </w:r>
      <w:r w:rsidRPr="00246965">
        <w:rPr>
          <w:rStyle w:val="Emphasis"/>
          <w:rFonts w:ascii="Arial" w:hAnsi="Arial" w:cs="Arial"/>
        </w:rPr>
        <w:t>World economic outlook: Navigating global divergences</w:t>
      </w:r>
      <w:r w:rsidRPr="00246965">
        <w:rPr>
          <w:rFonts w:ascii="Arial" w:hAnsi="Arial" w:cs="Arial"/>
        </w:rPr>
        <w:t>. International Monetary Fund.</w:t>
      </w:r>
    </w:p>
    <w:p w14:paraId="22C5A1D3"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Ismail, S. and Ahmed, E. (2023) ‘The impact of liquidity risk, credit risk, and operational risk on financial stability in conventional banks in Jordan’, </w:t>
      </w:r>
      <w:r w:rsidRPr="001E4625">
        <w:rPr>
          <w:rFonts w:ascii="Arial" w:hAnsi="Arial" w:cs="Arial"/>
          <w:i/>
          <w:iCs/>
          <w:sz w:val="24"/>
          <w:szCs w:val="24"/>
        </w:rPr>
        <w:t>Uncertain Supply Chain Management</w:t>
      </w:r>
      <w:r w:rsidRPr="001E4625">
        <w:rPr>
          <w:rFonts w:ascii="Arial" w:hAnsi="Arial" w:cs="Arial"/>
          <w:sz w:val="24"/>
          <w:szCs w:val="24"/>
        </w:rPr>
        <w:t xml:space="preserve">, 11(2), pp. 433–442. </w:t>
      </w:r>
      <w:hyperlink r:id="rId16" w:tgtFrame="_new" w:history="1">
        <w:r w:rsidRPr="001E4625">
          <w:rPr>
            <w:rStyle w:val="Hyperlink"/>
            <w:rFonts w:ascii="Arial" w:hAnsi="Arial" w:cs="Arial"/>
            <w:sz w:val="24"/>
            <w:szCs w:val="24"/>
          </w:rPr>
          <w:t>https://doi.org/10.5267/j.uscm.2023.3.006</w:t>
        </w:r>
      </w:hyperlink>
      <w:r w:rsidRPr="001E4625">
        <w:rPr>
          <w:rFonts w:ascii="Arial" w:hAnsi="Arial" w:cs="Arial"/>
          <w:sz w:val="24"/>
          <w:szCs w:val="24"/>
        </w:rPr>
        <w:t>.</w:t>
      </w:r>
    </w:p>
    <w:p w14:paraId="12DDD1C1"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Jabal, S.N. and Allawi, K.M. (2020) ‘The impact of risk of exchange rate fluctuations on corporate profits: A review’, </w:t>
      </w:r>
      <w:r w:rsidRPr="001E4625">
        <w:rPr>
          <w:rFonts w:ascii="Arial" w:hAnsi="Arial" w:cs="Arial"/>
          <w:i/>
          <w:iCs/>
          <w:sz w:val="24"/>
          <w:szCs w:val="24"/>
        </w:rPr>
        <w:t>International Journal of Research in Social Sciences and Humanities</w:t>
      </w:r>
      <w:r w:rsidRPr="001E4625">
        <w:rPr>
          <w:rFonts w:ascii="Arial" w:hAnsi="Arial" w:cs="Arial"/>
          <w:sz w:val="24"/>
          <w:szCs w:val="24"/>
        </w:rPr>
        <w:t xml:space="preserve">, 10(4), pp. 451–459. </w:t>
      </w:r>
      <w:hyperlink r:id="rId17" w:tgtFrame="_new" w:history="1">
        <w:r w:rsidRPr="001E4625">
          <w:rPr>
            <w:rStyle w:val="Hyperlink"/>
            <w:rFonts w:ascii="Arial" w:hAnsi="Arial" w:cs="Arial"/>
            <w:sz w:val="24"/>
            <w:szCs w:val="24"/>
          </w:rPr>
          <w:t>https://doi.org/10.37648/ijrssh.v10i04.043</w:t>
        </w:r>
      </w:hyperlink>
      <w:r w:rsidRPr="001E4625">
        <w:rPr>
          <w:rFonts w:ascii="Arial" w:hAnsi="Arial" w:cs="Arial"/>
          <w:sz w:val="24"/>
          <w:szCs w:val="24"/>
        </w:rPr>
        <w:t>.</w:t>
      </w:r>
    </w:p>
    <w:p w14:paraId="62C49222" w14:textId="77777777" w:rsidR="00246965" w:rsidRPr="00365132" w:rsidRDefault="00246965" w:rsidP="002D5DD5">
      <w:pPr>
        <w:widowControl w:val="0"/>
        <w:spacing w:line="360" w:lineRule="auto"/>
        <w:ind w:left="720" w:hanging="720"/>
        <w:rPr>
          <w:rFonts w:ascii="Arial" w:hAnsi="Arial" w:cs="Arial"/>
          <w:sz w:val="24"/>
          <w:szCs w:val="24"/>
        </w:rPr>
      </w:pPr>
      <w:r w:rsidRPr="00365132">
        <w:rPr>
          <w:rFonts w:ascii="Arial" w:hAnsi="Arial" w:cs="Arial"/>
          <w:sz w:val="24"/>
          <w:szCs w:val="24"/>
          <w:lang w:val="en-GB"/>
        </w:rPr>
        <w:t>Keown, A.J., Martin, J.D., and Petty, J.W. (2024). Foundation of Finance (10th Global Edition). Pearson Education. ISBN: 9781292742168.</w:t>
      </w:r>
    </w:p>
    <w:p w14:paraId="2A2704F5" w14:textId="77777777" w:rsidR="00246965" w:rsidRPr="00246965" w:rsidRDefault="00246965" w:rsidP="00246965">
      <w:pPr>
        <w:pStyle w:val="NormalWeb"/>
        <w:spacing w:line="360" w:lineRule="auto"/>
        <w:ind w:left="720" w:hanging="720"/>
        <w:jc w:val="both"/>
        <w:rPr>
          <w:rFonts w:ascii="Arial" w:hAnsi="Arial" w:cs="Arial"/>
        </w:rPr>
      </w:pPr>
      <w:r w:rsidRPr="00246965">
        <w:rPr>
          <w:rFonts w:ascii="Arial" w:hAnsi="Arial" w:cs="Arial"/>
        </w:rPr>
        <w:t xml:space="preserve">LG Electronics Inc. (2023). </w:t>
      </w:r>
      <w:r w:rsidRPr="00246965">
        <w:rPr>
          <w:rStyle w:val="Emphasis"/>
          <w:rFonts w:ascii="Arial" w:hAnsi="Arial" w:cs="Arial"/>
        </w:rPr>
        <w:t>LG Electronics annual report 2023</w:t>
      </w:r>
      <w:r w:rsidRPr="00246965">
        <w:rPr>
          <w:rFonts w:ascii="Arial" w:hAnsi="Arial" w:cs="Arial"/>
        </w:rPr>
        <w:t>. LG Electronics Inc.</w:t>
      </w:r>
    </w:p>
    <w:p w14:paraId="35F60658"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Library, H. and Zu, L. (n.d.) </w:t>
      </w:r>
      <w:r w:rsidRPr="001E4625">
        <w:rPr>
          <w:rFonts w:ascii="Arial" w:hAnsi="Arial" w:cs="Arial"/>
          <w:i/>
          <w:iCs/>
          <w:sz w:val="24"/>
          <w:szCs w:val="24"/>
        </w:rPr>
        <w:t>Socially responsible restructuring and firm’s performance: Evidence from Chinese enterprises</w:t>
      </w:r>
      <w:r w:rsidRPr="001E4625">
        <w:rPr>
          <w:rFonts w:ascii="Arial" w:hAnsi="Arial" w:cs="Arial"/>
          <w:sz w:val="24"/>
          <w:szCs w:val="24"/>
        </w:rPr>
        <w:t>.</w:t>
      </w:r>
    </w:p>
    <w:p w14:paraId="3A5E218E"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lastRenderedPageBreak/>
        <w:t xml:space="preserve">Mohsin, A.K.M., et al. (2021) ‘Impact of COVID-19 pandemic on consumer economy: Countermeasures analysis’, </w:t>
      </w:r>
      <w:r w:rsidRPr="001E4625">
        <w:rPr>
          <w:rFonts w:ascii="Arial" w:hAnsi="Arial" w:cs="Arial"/>
          <w:i/>
          <w:iCs/>
          <w:sz w:val="24"/>
          <w:szCs w:val="24"/>
        </w:rPr>
        <w:t>SAGE Open</w:t>
      </w:r>
      <w:r w:rsidRPr="001E4625">
        <w:rPr>
          <w:rFonts w:ascii="Arial" w:hAnsi="Arial" w:cs="Arial"/>
          <w:sz w:val="24"/>
          <w:szCs w:val="24"/>
        </w:rPr>
        <w:t xml:space="preserve">, 11(2). </w:t>
      </w:r>
      <w:hyperlink r:id="rId18" w:tgtFrame="_new" w:history="1">
        <w:r w:rsidRPr="001E4625">
          <w:rPr>
            <w:rStyle w:val="Hyperlink"/>
            <w:rFonts w:ascii="Arial" w:hAnsi="Arial" w:cs="Arial"/>
            <w:sz w:val="24"/>
            <w:szCs w:val="24"/>
          </w:rPr>
          <w:t>https://doi.org/10.1177/21582440211008875</w:t>
        </w:r>
      </w:hyperlink>
      <w:r w:rsidRPr="001E4625">
        <w:rPr>
          <w:rFonts w:ascii="Arial" w:hAnsi="Arial" w:cs="Arial"/>
          <w:sz w:val="24"/>
          <w:szCs w:val="24"/>
        </w:rPr>
        <w:t>.</w:t>
      </w:r>
    </w:p>
    <w:p w14:paraId="483A1848"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Morgan, J.P. (2025) </w:t>
      </w:r>
      <w:r w:rsidRPr="001E4625">
        <w:rPr>
          <w:rFonts w:ascii="Arial" w:hAnsi="Arial" w:cs="Arial"/>
          <w:i/>
          <w:iCs/>
          <w:sz w:val="24"/>
          <w:szCs w:val="24"/>
        </w:rPr>
        <w:t>Understanding and optimizing your cash conversion cycle (CCC)</w:t>
      </w:r>
      <w:r w:rsidRPr="001E4625">
        <w:rPr>
          <w:rFonts w:ascii="Arial" w:hAnsi="Arial" w:cs="Arial"/>
          <w:sz w:val="24"/>
          <w:szCs w:val="24"/>
        </w:rPr>
        <w:t xml:space="preserve">. Available at: </w:t>
      </w:r>
      <w:hyperlink r:id="rId19" w:tgtFrame="_new" w:history="1">
        <w:r w:rsidRPr="001E4625">
          <w:rPr>
            <w:rStyle w:val="Hyperlink"/>
            <w:rFonts w:ascii="Arial" w:hAnsi="Arial" w:cs="Arial"/>
            <w:sz w:val="24"/>
            <w:szCs w:val="24"/>
          </w:rPr>
          <w:t>www.jpmorgan.com/insights/treasury/receivables/understanding-and-optimizing-your-cash-conversion-cycle</w:t>
        </w:r>
      </w:hyperlink>
      <w:r w:rsidRPr="001E4625">
        <w:rPr>
          <w:rFonts w:ascii="Arial" w:hAnsi="Arial" w:cs="Arial"/>
          <w:sz w:val="24"/>
          <w:szCs w:val="24"/>
        </w:rPr>
        <w:t xml:space="preserve"> (Accessed: 21 December 2025).</w:t>
      </w:r>
    </w:p>
    <w:p w14:paraId="77C257DF"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Ngui</w:t>
      </w:r>
      <w:proofErr w:type="spellEnd"/>
      <w:r w:rsidRPr="001E4625">
        <w:rPr>
          <w:rFonts w:ascii="Arial" w:hAnsi="Arial" w:cs="Arial"/>
          <w:sz w:val="24"/>
          <w:szCs w:val="24"/>
        </w:rPr>
        <w:t xml:space="preserve"> Jia </w:t>
      </w:r>
      <w:proofErr w:type="spellStart"/>
      <w:r w:rsidRPr="001E4625">
        <w:rPr>
          <w:rFonts w:ascii="Arial" w:hAnsi="Arial" w:cs="Arial"/>
          <w:sz w:val="24"/>
          <w:szCs w:val="24"/>
        </w:rPr>
        <w:t>En</w:t>
      </w:r>
      <w:proofErr w:type="spellEnd"/>
      <w:r w:rsidRPr="001E4625">
        <w:rPr>
          <w:rFonts w:ascii="Arial" w:hAnsi="Arial" w:cs="Arial"/>
          <w:sz w:val="24"/>
          <w:szCs w:val="24"/>
        </w:rPr>
        <w:t xml:space="preserve">, J. and Abd. Malek, N.I. (2021) ‘Capital structure and firm performance of technology sector in Malaysia’, </w:t>
      </w:r>
      <w:r w:rsidRPr="001E4625">
        <w:rPr>
          <w:rFonts w:ascii="Arial" w:hAnsi="Arial" w:cs="Arial"/>
          <w:i/>
          <w:iCs/>
          <w:sz w:val="24"/>
          <w:szCs w:val="24"/>
        </w:rPr>
        <w:t>International Journal of Academic Research in Accounting, Finance and Management Sciences</w:t>
      </w:r>
      <w:r w:rsidRPr="001E4625">
        <w:rPr>
          <w:rFonts w:ascii="Arial" w:hAnsi="Arial" w:cs="Arial"/>
          <w:sz w:val="24"/>
          <w:szCs w:val="24"/>
        </w:rPr>
        <w:t xml:space="preserve">, 11(3). </w:t>
      </w:r>
      <w:hyperlink r:id="rId20" w:tgtFrame="_new" w:history="1">
        <w:r w:rsidRPr="001E4625">
          <w:rPr>
            <w:rStyle w:val="Hyperlink"/>
            <w:rFonts w:ascii="Arial" w:hAnsi="Arial" w:cs="Arial"/>
            <w:sz w:val="24"/>
            <w:szCs w:val="24"/>
          </w:rPr>
          <w:t>https://doi.org/10.6007/ijarafms/v11-i3/10660</w:t>
        </w:r>
      </w:hyperlink>
      <w:r w:rsidRPr="001E4625">
        <w:rPr>
          <w:rFonts w:ascii="Arial" w:hAnsi="Arial" w:cs="Arial"/>
          <w:sz w:val="24"/>
          <w:szCs w:val="24"/>
        </w:rPr>
        <w:t>.</w:t>
      </w:r>
    </w:p>
    <w:p w14:paraId="75B1FE6B"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Nur </w:t>
      </w:r>
      <w:proofErr w:type="spellStart"/>
      <w:r w:rsidRPr="001E4625">
        <w:rPr>
          <w:rFonts w:ascii="Arial" w:hAnsi="Arial" w:cs="Arial"/>
          <w:sz w:val="24"/>
          <w:szCs w:val="24"/>
        </w:rPr>
        <w:t>Wahyuni</w:t>
      </w:r>
      <w:proofErr w:type="spellEnd"/>
      <w:r w:rsidRPr="001E4625">
        <w:rPr>
          <w:rFonts w:ascii="Arial" w:hAnsi="Arial" w:cs="Arial"/>
          <w:sz w:val="24"/>
          <w:szCs w:val="24"/>
        </w:rPr>
        <w:t xml:space="preserve"> and </w:t>
      </w:r>
      <w:proofErr w:type="spellStart"/>
      <w:r w:rsidRPr="001E4625">
        <w:rPr>
          <w:rFonts w:ascii="Arial" w:hAnsi="Arial" w:cs="Arial"/>
          <w:sz w:val="24"/>
          <w:szCs w:val="24"/>
        </w:rPr>
        <w:t>Gani</w:t>
      </w:r>
      <w:proofErr w:type="spellEnd"/>
      <w:r w:rsidRPr="001E4625">
        <w:rPr>
          <w:rFonts w:ascii="Arial" w:hAnsi="Arial" w:cs="Arial"/>
          <w:sz w:val="24"/>
          <w:szCs w:val="24"/>
        </w:rPr>
        <w:t xml:space="preserve">, A.A. (2022) ‘Reviewing the firm value in terms of profit, debt, and growth’, </w:t>
      </w:r>
      <w:proofErr w:type="spellStart"/>
      <w:r w:rsidRPr="001E4625">
        <w:rPr>
          <w:rFonts w:ascii="Arial" w:hAnsi="Arial" w:cs="Arial"/>
          <w:i/>
          <w:iCs/>
          <w:sz w:val="24"/>
          <w:szCs w:val="24"/>
        </w:rPr>
        <w:t>Jurnal</w:t>
      </w:r>
      <w:proofErr w:type="spellEnd"/>
      <w:r w:rsidRPr="001E4625">
        <w:rPr>
          <w:rFonts w:ascii="Arial" w:hAnsi="Arial" w:cs="Arial"/>
          <w:i/>
          <w:iCs/>
          <w:sz w:val="24"/>
          <w:szCs w:val="24"/>
        </w:rPr>
        <w:t xml:space="preserve"> </w:t>
      </w:r>
      <w:proofErr w:type="spellStart"/>
      <w:r w:rsidRPr="001E4625">
        <w:rPr>
          <w:rFonts w:ascii="Arial" w:hAnsi="Arial" w:cs="Arial"/>
          <w:i/>
          <w:iCs/>
          <w:sz w:val="24"/>
          <w:szCs w:val="24"/>
        </w:rPr>
        <w:t>Manajemen</w:t>
      </w:r>
      <w:proofErr w:type="spellEnd"/>
      <w:r w:rsidRPr="001E4625">
        <w:rPr>
          <w:rFonts w:ascii="Arial" w:hAnsi="Arial" w:cs="Arial"/>
          <w:sz w:val="24"/>
          <w:szCs w:val="24"/>
        </w:rPr>
        <w:t xml:space="preserve">, 26(1), pp. 121–139. </w:t>
      </w:r>
      <w:hyperlink r:id="rId21" w:tgtFrame="_new" w:history="1">
        <w:r w:rsidRPr="001E4625">
          <w:rPr>
            <w:rStyle w:val="Hyperlink"/>
            <w:rFonts w:ascii="Arial" w:hAnsi="Arial" w:cs="Arial"/>
            <w:sz w:val="24"/>
            <w:szCs w:val="24"/>
          </w:rPr>
          <w:t>https://doi.org/10.24912/jm.v26i1.843</w:t>
        </w:r>
      </w:hyperlink>
      <w:r w:rsidRPr="001E4625">
        <w:rPr>
          <w:rFonts w:ascii="Arial" w:hAnsi="Arial" w:cs="Arial"/>
          <w:sz w:val="24"/>
          <w:szCs w:val="24"/>
        </w:rPr>
        <w:t>.</w:t>
      </w:r>
    </w:p>
    <w:p w14:paraId="487A4B2D"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Ramadan, A. and Morshed, A. (2024) ‘Optimizing retail prosperity: Strategic working capital management and its impact on the global economy’, </w:t>
      </w:r>
      <w:r w:rsidRPr="001E4625">
        <w:rPr>
          <w:rFonts w:ascii="Arial" w:hAnsi="Arial" w:cs="Arial"/>
          <w:i/>
          <w:iCs/>
          <w:sz w:val="24"/>
          <w:szCs w:val="24"/>
        </w:rPr>
        <w:t>Journal of Infrastructure, Policy and Development</w:t>
      </w:r>
      <w:r w:rsidRPr="001E4625">
        <w:rPr>
          <w:rFonts w:ascii="Arial" w:hAnsi="Arial" w:cs="Arial"/>
          <w:sz w:val="24"/>
          <w:szCs w:val="24"/>
        </w:rPr>
        <w:t xml:space="preserve">, 8(5), p. 3827. </w:t>
      </w:r>
      <w:hyperlink r:id="rId22" w:tgtFrame="_new" w:history="1">
        <w:r w:rsidRPr="001E4625">
          <w:rPr>
            <w:rStyle w:val="Hyperlink"/>
            <w:rFonts w:ascii="Arial" w:hAnsi="Arial" w:cs="Arial"/>
            <w:sz w:val="24"/>
            <w:szCs w:val="24"/>
          </w:rPr>
          <w:t>https://doi.org/10.24294/jipd.v8i5.3827</w:t>
        </w:r>
      </w:hyperlink>
      <w:r w:rsidRPr="001E4625">
        <w:rPr>
          <w:rFonts w:ascii="Arial" w:hAnsi="Arial" w:cs="Arial"/>
          <w:sz w:val="24"/>
          <w:szCs w:val="24"/>
        </w:rPr>
        <w:t>.</w:t>
      </w:r>
    </w:p>
    <w:p w14:paraId="16A2E460"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Ramdhan</w:t>
      </w:r>
      <w:proofErr w:type="spellEnd"/>
      <w:r w:rsidRPr="001E4625">
        <w:rPr>
          <w:rFonts w:ascii="Arial" w:hAnsi="Arial" w:cs="Arial"/>
          <w:sz w:val="24"/>
          <w:szCs w:val="24"/>
        </w:rPr>
        <w:t xml:space="preserve">, A.N., et al. (2025) ‘Profitability ratio analysis to measure the financial performance of food and beverage companies for the period of 2020–2023’, </w:t>
      </w:r>
      <w:r w:rsidRPr="001E4625">
        <w:rPr>
          <w:rFonts w:ascii="Arial" w:hAnsi="Arial" w:cs="Arial"/>
          <w:i/>
          <w:iCs/>
          <w:sz w:val="24"/>
          <w:szCs w:val="24"/>
        </w:rPr>
        <w:t>IJEBD</w:t>
      </w:r>
      <w:r w:rsidRPr="001E4625">
        <w:rPr>
          <w:rFonts w:ascii="Arial" w:hAnsi="Arial" w:cs="Arial"/>
          <w:sz w:val="24"/>
          <w:szCs w:val="24"/>
        </w:rPr>
        <w:t xml:space="preserve">, 8(2). </w:t>
      </w:r>
      <w:hyperlink r:id="rId23" w:tgtFrame="_new" w:history="1">
        <w:r w:rsidRPr="001E4625">
          <w:rPr>
            <w:rStyle w:val="Hyperlink"/>
            <w:rFonts w:ascii="Arial" w:hAnsi="Arial" w:cs="Arial"/>
            <w:sz w:val="24"/>
            <w:szCs w:val="24"/>
          </w:rPr>
          <w:t>https://doi.org/10.29138/ijebd.v8i2.3234</w:t>
        </w:r>
      </w:hyperlink>
      <w:r w:rsidRPr="001E4625">
        <w:rPr>
          <w:rFonts w:ascii="Arial" w:hAnsi="Arial" w:cs="Arial"/>
          <w:sz w:val="24"/>
          <w:szCs w:val="24"/>
        </w:rPr>
        <w:t>.</w:t>
      </w:r>
    </w:p>
    <w:p w14:paraId="0220075A"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Rashid, C.A. (2021) ‘The efficiency of financial ratios analysis to evaluate company’s profitability’. Available at: </w:t>
      </w:r>
      <w:hyperlink r:id="rId24" w:tgtFrame="_new" w:history="1">
        <w:r w:rsidRPr="001E4625">
          <w:rPr>
            <w:rStyle w:val="Hyperlink"/>
            <w:rFonts w:ascii="Arial" w:hAnsi="Arial" w:cs="Arial"/>
            <w:sz w:val="24"/>
            <w:szCs w:val="24"/>
          </w:rPr>
          <w:t>www.researchgate.net</w:t>
        </w:r>
      </w:hyperlink>
      <w:r w:rsidRPr="001E4625">
        <w:rPr>
          <w:rFonts w:ascii="Arial" w:hAnsi="Arial" w:cs="Arial"/>
          <w:sz w:val="24"/>
          <w:szCs w:val="24"/>
        </w:rPr>
        <w:t xml:space="preserve"> (Accessed: 21 December 2025).</w:t>
      </w:r>
    </w:p>
    <w:p w14:paraId="21C6BE52"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Schoenmaker</w:t>
      </w:r>
      <w:proofErr w:type="spellEnd"/>
      <w:r w:rsidRPr="001E4625">
        <w:rPr>
          <w:rFonts w:ascii="Arial" w:hAnsi="Arial" w:cs="Arial"/>
          <w:sz w:val="24"/>
          <w:szCs w:val="24"/>
        </w:rPr>
        <w:t xml:space="preserve">, D. and </w:t>
      </w:r>
      <w:proofErr w:type="spellStart"/>
      <w:r w:rsidRPr="001E4625">
        <w:rPr>
          <w:rFonts w:ascii="Arial" w:hAnsi="Arial" w:cs="Arial"/>
          <w:sz w:val="24"/>
          <w:szCs w:val="24"/>
        </w:rPr>
        <w:t>Schramade</w:t>
      </w:r>
      <w:proofErr w:type="spellEnd"/>
      <w:r w:rsidRPr="001E4625">
        <w:rPr>
          <w:rFonts w:ascii="Arial" w:hAnsi="Arial" w:cs="Arial"/>
          <w:sz w:val="24"/>
          <w:szCs w:val="24"/>
        </w:rPr>
        <w:t xml:space="preserve">, W. (2019) ‘Investing for long-term value creation’, </w:t>
      </w:r>
      <w:r w:rsidRPr="001E4625">
        <w:rPr>
          <w:rFonts w:ascii="Arial" w:hAnsi="Arial" w:cs="Arial"/>
          <w:i/>
          <w:iCs/>
          <w:sz w:val="24"/>
          <w:szCs w:val="24"/>
        </w:rPr>
        <w:t>Journal of Sustainable Finance &amp; Investment</w:t>
      </w:r>
      <w:r w:rsidRPr="001E4625">
        <w:rPr>
          <w:rFonts w:ascii="Arial" w:hAnsi="Arial" w:cs="Arial"/>
          <w:sz w:val="24"/>
          <w:szCs w:val="24"/>
        </w:rPr>
        <w:t xml:space="preserve">, 9(4), pp. 356–377. </w:t>
      </w:r>
      <w:hyperlink r:id="rId25" w:tgtFrame="_new" w:history="1">
        <w:r w:rsidRPr="001E4625">
          <w:rPr>
            <w:rStyle w:val="Hyperlink"/>
            <w:rFonts w:ascii="Arial" w:hAnsi="Arial" w:cs="Arial"/>
            <w:sz w:val="24"/>
            <w:szCs w:val="24"/>
          </w:rPr>
          <w:t>https://doi.org/10.1080/20430795.2019.1625012</w:t>
        </w:r>
      </w:hyperlink>
      <w:r w:rsidRPr="001E4625">
        <w:rPr>
          <w:rFonts w:ascii="Arial" w:hAnsi="Arial" w:cs="Arial"/>
          <w:sz w:val="24"/>
          <w:szCs w:val="24"/>
        </w:rPr>
        <w:t>.</w:t>
      </w:r>
    </w:p>
    <w:p w14:paraId="6080133A"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Sharma, V. and </w:t>
      </w:r>
      <w:proofErr w:type="spellStart"/>
      <w:r w:rsidRPr="001E4625">
        <w:rPr>
          <w:rFonts w:ascii="Arial" w:hAnsi="Arial" w:cs="Arial"/>
          <w:sz w:val="24"/>
          <w:szCs w:val="24"/>
        </w:rPr>
        <w:t>Chowhan</w:t>
      </w:r>
      <w:proofErr w:type="spellEnd"/>
      <w:r w:rsidRPr="001E4625">
        <w:rPr>
          <w:rFonts w:ascii="Arial" w:hAnsi="Arial" w:cs="Arial"/>
          <w:sz w:val="24"/>
          <w:szCs w:val="24"/>
        </w:rPr>
        <w:t xml:space="preserve">, S.S. (2014) ‘Impact of operational efficiency with ratio analysis: A study’, </w:t>
      </w:r>
      <w:r w:rsidRPr="001E4625">
        <w:rPr>
          <w:rFonts w:ascii="Arial" w:hAnsi="Arial" w:cs="Arial"/>
          <w:i/>
          <w:iCs/>
          <w:sz w:val="24"/>
          <w:szCs w:val="24"/>
        </w:rPr>
        <w:t>SSRN Electronic Journal</w:t>
      </w:r>
      <w:r w:rsidRPr="001E4625">
        <w:rPr>
          <w:rFonts w:ascii="Arial" w:hAnsi="Arial" w:cs="Arial"/>
          <w:sz w:val="24"/>
          <w:szCs w:val="24"/>
        </w:rPr>
        <w:t xml:space="preserve">. </w:t>
      </w:r>
      <w:hyperlink r:id="rId26" w:tgtFrame="_new" w:history="1">
        <w:r w:rsidRPr="001E4625">
          <w:rPr>
            <w:rStyle w:val="Hyperlink"/>
            <w:rFonts w:ascii="Arial" w:hAnsi="Arial" w:cs="Arial"/>
            <w:sz w:val="24"/>
            <w:szCs w:val="24"/>
          </w:rPr>
          <w:t>https://doi.org/10.2139/ssrn.2542042</w:t>
        </w:r>
      </w:hyperlink>
      <w:r w:rsidRPr="001E4625">
        <w:rPr>
          <w:rFonts w:ascii="Arial" w:hAnsi="Arial" w:cs="Arial"/>
          <w:sz w:val="24"/>
          <w:szCs w:val="24"/>
        </w:rPr>
        <w:t>.</w:t>
      </w:r>
    </w:p>
    <w:p w14:paraId="2C6E74D5"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lastRenderedPageBreak/>
        <w:t>Siyanbola</w:t>
      </w:r>
      <w:proofErr w:type="spellEnd"/>
      <w:r w:rsidRPr="001E4625">
        <w:rPr>
          <w:rFonts w:ascii="Arial" w:hAnsi="Arial" w:cs="Arial"/>
          <w:sz w:val="24"/>
          <w:szCs w:val="24"/>
        </w:rPr>
        <w:t xml:space="preserve">, T.T., et al. (2015) ‘Impact of gearing on performance of companies’, </w:t>
      </w:r>
      <w:r w:rsidRPr="001E4625">
        <w:rPr>
          <w:rFonts w:ascii="Arial" w:hAnsi="Arial" w:cs="Arial"/>
          <w:i/>
          <w:iCs/>
          <w:sz w:val="24"/>
          <w:szCs w:val="24"/>
        </w:rPr>
        <w:t>Arabian Journal of Business and Management Review</w:t>
      </w:r>
      <w:r w:rsidRPr="001E4625">
        <w:rPr>
          <w:rFonts w:ascii="Arial" w:hAnsi="Arial" w:cs="Arial"/>
          <w:sz w:val="24"/>
          <w:szCs w:val="24"/>
        </w:rPr>
        <w:t>, 3(1), pp. 68–80.</w:t>
      </w:r>
    </w:p>
    <w:p w14:paraId="2484E446"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Sodhi, M.S. and Lee, S. (2007) ‘An analysis of sources of risk in the consumer electronics industry’, </w:t>
      </w:r>
      <w:r w:rsidRPr="001E4625">
        <w:rPr>
          <w:rFonts w:ascii="Arial" w:hAnsi="Arial" w:cs="Arial"/>
          <w:i/>
          <w:iCs/>
          <w:sz w:val="24"/>
          <w:szCs w:val="24"/>
        </w:rPr>
        <w:t>Journal of the Operational Research Society</w:t>
      </w:r>
      <w:r w:rsidRPr="001E4625">
        <w:rPr>
          <w:rFonts w:ascii="Arial" w:hAnsi="Arial" w:cs="Arial"/>
          <w:sz w:val="24"/>
          <w:szCs w:val="24"/>
        </w:rPr>
        <w:t xml:space="preserve">, 58(11), pp. 1430–1439. </w:t>
      </w:r>
      <w:hyperlink r:id="rId27" w:tgtFrame="_new" w:history="1">
        <w:r w:rsidRPr="001E4625">
          <w:rPr>
            <w:rStyle w:val="Hyperlink"/>
            <w:rFonts w:ascii="Arial" w:hAnsi="Arial" w:cs="Arial"/>
            <w:sz w:val="24"/>
            <w:szCs w:val="24"/>
          </w:rPr>
          <w:t>https://doi.org/10.1057/palgrave.jors.2602410</w:t>
        </w:r>
      </w:hyperlink>
      <w:r w:rsidRPr="001E4625">
        <w:rPr>
          <w:rFonts w:ascii="Arial" w:hAnsi="Arial" w:cs="Arial"/>
          <w:sz w:val="24"/>
          <w:szCs w:val="24"/>
        </w:rPr>
        <w:t>.</w:t>
      </w:r>
    </w:p>
    <w:p w14:paraId="1936238E" w14:textId="77777777" w:rsidR="00246965" w:rsidRPr="00246965" w:rsidRDefault="00246965" w:rsidP="00246965">
      <w:pPr>
        <w:pStyle w:val="NormalWeb"/>
        <w:spacing w:line="360" w:lineRule="auto"/>
        <w:ind w:left="720" w:hanging="720"/>
        <w:jc w:val="both"/>
        <w:rPr>
          <w:rFonts w:ascii="Arial" w:hAnsi="Arial" w:cs="Arial"/>
        </w:rPr>
      </w:pPr>
      <w:r w:rsidRPr="00246965">
        <w:rPr>
          <w:rFonts w:ascii="Arial" w:hAnsi="Arial" w:cs="Arial"/>
        </w:rPr>
        <w:t xml:space="preserve">Sony Group Corporation. (2023). </w:t>
      </w:r>
      <w:r w:rsidRPr="00246965">
        <w:rPr>
          <w:rStyle w:val="Emphasis"/>
          <w:rFonts w:ascii="Arial" w:hAnsi="Arial" w:cs="Arial"/>
        </w:rPr>
        <w:t>Sony Group integrated report 2023</w:t>
      </w:r>
      <w:r w:rsidRPr="00246965">
        <w:rPr>
          <w:rFonts w:ascii="Arial" w:hAnsi="Arial" w:cs="Arial"/>
        </w:rPr>
        <w:t>. Sony Group Corporation.</w:t>
      </w:r>
    </w:p>
    <w:p w14:paraId="4CFEB50F"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Sun, Q. (2022) ‘Application analysis of internal rate of return capital budgeting method in project investment decision-making’, </w:t>
      </w:r>
      <w:r w:rsidRPr="001E4625">
        <w:rPr>
          <w:rFonts w:ascii="Arial" w:hAnsi="Arial" w:cs="Arial"/>
          <w:i/>
          <w:iCs/>
          <w:sz w:val="24"/>
          <w:szCs w:val="24"/>
        </w:rPr>
        <w:t>BCP Business &amp; Management</w:t>
      </w:r>
      <w:r w:rsidRPr="001E4625">
        <w:rPr>
          <w:rFonts w:ascii="Arial" w:hAnsi="Arial" w:cs="Arial"/>
          <w:sz w:val="24"/>
          <w:szCs w:val="24"/>
        </w:rPr>
        <w:t xml:space="preserve">, 35, pp. 6–10. </w:t>
      </w:r>
      <w:hyperlink r:id="rId28" w:tgtFrame="_new" w:history="1">
        <w:r w:rsidRPr="001E4625">
          <w:rPr>
            <w:rStyle w:val="Hyperlink"/>
            <w:rFonts w:ascii="Arial" w:hAnsi="Arial" w:cs="Arial"/>
            <w:sz w:val="24"/>
            <w:szCs w:val="24"/>
          </w:rPr>
          <w:t>https://doi.org/10.54691/bcpbm.v35i.3219</w:t>
        </w:r>
      </w:hyperlink>
      <w:r w:rsidRPr="001E4625">
        <w:rPr>
          <w:rFonts w:ascii="Arial" w:hAnsi="Arial" w:cs="Arial"/>
          <w:sz w:val="24"/>
          <w:szCs w:val="24"/>
        </w:rPr>
        <w:t>.</w:t>
      </w:r>
    </w:p>
    <w:p w14:paraId="6274DC4F" w14:textId="77777777" w:rsidR="00246965" w:rsidRPr="00246965" w:rsidRDefault="00246965" w:rsidP="00246965">
      <w:pPr>
        <w:pStyle w:val="NormalWeb"/>
        <w:spacing w:line="360" w:lineRule="auto"/>
        <w:ind w:left="720" w:hanging="720"/>
        <w:jc w:val="both"/>
        <w:rPr>
          <w:rFonts w:ascii="Arial" w:hAnsi="Arial" w:cs="Arial"/>
        </w:rPr>
      </w:pPr>
      <w:r w:rsidRPr="00246965">
        <w:rPr>
          <w:rFonts w:ascii="Arial" w:hAnsi="Arial" w:cs="Arial"/>
        </w:rPr>
        <w:t xml:space="preserve">Taiwan Semiconductor Manufacturing Company Ltd. (2024). </w:t>
      </w:r>
      <w:r w:rsidRPr="00246965">
        <w:rPr>
          <w:rStyle w:val="Emphasis"/>
          <w:rFonts w:ascii="Arial" w:hAnsi="Arial" w:cs="Arial"/>
        </w:rPr>
        <w:t>TSMC annual report 2024</w:t>
      </w:r>
      <w:r w:rsidRPr="00246965">
        <w:rPr>
          <w:rFonts w:ascii="Arial" w:hAnsi="Arial" w:cs="Arial"/>
        </w:rPr>
        <w:t>. Taiwan Semiconductor Manufacturing Company Ltd.</w:t>
      </w:r>
    </w:p>
    <w:p w14:paraId="3834B710" w14:textId="77777777" w:rsidR="00246965" w:rsidRPr="001E462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TaxTMI</w:t>
      </w:r>
      <w:proofErr w:type="spellEnd"/>
      <w:r w:rsidRPr="001E4625">
        <w:rPr>
          <w:rFonts w:ascii="Arial" w:hAnsi="Arial" w:cs="Arial"/>
          <w:sz w:val="24"/>
          <w:szCs w:val="24"/>
        </w:rPr>
        <w:t xml:space="preserve"> (2025) </w:t>
      </w:r>
      <w:r w:rsidRPr="001E4625">
        <w:rPr>
          <w:rFonts w:ascii="Arial" w:hAnsi="Arial" w:cs="Arial"/>
          <w:i/>
          <w:iCs/>
          <w:sz w:val="24"/>
          <w:szCs w:val="24"/>
        </w:rPr>
        <w:t>Legal and tax considerations in modern corporate restructuring</w:t>
      </w:r>
      <w:r w:rsidRPr="001E4625">
        <w:rPr>
          <w:rFonts w:ascii="Arial" w:hAnsi="Arial" w:cs="Arial"/>
          <w:sz w:val="24"/>
          <w:szCs w:val="24"/>
        </w:rPr>
        <w:t xml:space="preserve">. Available at: </w:t>
      </w:r>
      <w:hyperlink r:id="rId29" w:tgtFrame="_new" w:history="1">
        <w:r w:rsidRPr="001E4625">
          <w:rPr>
            <w:rStyle w:val="Hyperlink"/>
            <w:rFonts w:ascii="Arial" w:hAnsi="Arial" w:cs="Arial"/>
            <w:sz w:val="24"/>
            <w:szCs w:val="24"/>
          </w:rPr>
          <w:t>www.taxtmi.com/article/detailed?id=15616</w:t>
        </w:r>
      </w:hyperlink>
      <w:r w:rsidRPr="001E4625">
        <w:rPr>
          <w:rFonts w:ascii="Arial" w:hAnsi="Arial" w:cs="Arial"/>
          <w:sz w:val="24"/>
          <w:szCs w:val="24"/>
        </w:rPr>
        <w:t xml:space="preserve"> (Accessed: 21 December 2025).</w:t>
      </w:r>
    </w:p>
    <w:p w14:paraId="595FBE06" w14:textId="77777777" w:rsidR="00246965" w:rsidRPr="001E4625" w:rsidRDefault="00246965" w:rsidP="002D5DD5">
      <w:pPr>
        <w:spacing w:line="360" w:lineRule="auto"/>
        <w:ind w:left="720" w:hanging="720"/>
        <w:jc w:val="both"/>
        <w:rPr>
          <w:rFonts w:ascii="Arial" w:hAnsi="Arial" w:cs="Arial"/>
          <w:sz w:val="24"/>
          <w:szCs w:val="24"/>
        </w:rPr>
      </w:pPr>
      <w:r w:rsidRPr="001E4625">
        <w:rPr>
          <w:rFonts w:ascii="Arial" w:hAnsi="Arial" w:cs="Arial"/>
          <w:sz w:val="24"/>
          <w:szCs w:val="24"/>
        </w:rPr>
        <w:t xml:space="preserve">The Profitability Index and Its Impact on Sustainable Development Decisions (2022). Available at: </w:t>
      </w:r>
      <w:hyperlink r:id="rId30" w:tgtFrame="_new" w:history="1">
        <w:r w:rsidRPr="001E4625">
          <w:rPr>
            <w:rStyle w:val="Hyperlink"/>
            <w:rFonts w:ascii="Arial" w:hAnsi="Arial" w:cs="Arial"/>
            <w:sz w:val="24"/>
            <w:szCs w:val="24"/>
          </w:rPr>
          <w:t>https://doi.org/10.47191/jefms/v5-i10-10</w:t>
        </w:r>
      </w:hyperlink>
      <w:r w:rsidRPr="001E4625">
        <w:rPr>
          <w:rFonts w:ascii="Arial" w:hAnsi="Arial" w:cs="Arial"/>
          <w:sz w:val="24"/>
          <w:szCs w:val="24"/>
        </w:rPr>
        <w:t>.</w:t>
      </w:r>
    </w:p>
    <w:p w14:paraId="4909C485" w14:textId="77777777" w:rsidR="00246965" w:rsidRDefault="00246965" w:rsidP="002D5DD5">
      <w:pPr>
        <w:spacing w:line="360" w:lineRule="auto"/>
        <w:ind w:left="720" w:hanging="720"/>
        <w:jc w:val="both"/>
        <w:rPr>
          <w:rFonts w:ascii="Arial" w:hAnsi="Arial" w:cs="Arial"/>
          <w:sz w:val="24"/>
          <w:szCs w:val="24"/>
        </w:rPr>
      </w:pPr>
      <w:proofErr w:type="spellStart"/>
      <w:r w:rsidRPr="001E4625">
        <w:rPr>
          <w:rFonts w:ascii="Arial" w:hAnsi="Arial" w:cs="Arial"/>
          <w:sz w:val="24"/>
          <w:szCs w:val="24"/>
        </w:rPr>
        <w:t>Twesigye</w:t>
      </w:r>
      <w:proofErr w:type="spellEnd"/>
      <w:r w:rsidRPr="001E4625">
        <w:rPr>
          <w:rFonts w:ascii="Arial" w:hAnsi="Arial" w:cs="Arial"/>
          <w:sz w:val="24"/>
          <w:szCs w:val="24"/>
        </w:rPr>
        <w:t xml:space="preserve"> </w:t>
      </w:r>
      <w:proofErr w:type="spellStart"/>
      <w:r w:rsidRPr="001E4625">
        <w:rPr>
          <w:rFonts w:ascii="Arial" w:hAnsi="Arial" w:cs="Arial"/>
          <w:sz w:val="24"/>
          <w:szCs w:val="24"/>
        </w:rPr>
        <w:t>Nduhura</w:t>
      </w:r>
      <w:proofErr w:type="spellEnd"/>
      <w:r w:rsidRPr="001E4625">
        <w:rPr>
          <w:rFonts w:ascii="Arial" w:hAnsi="Arial" w:cs="Arial"/>
          <w:sz w:val="24"/>
          <w:szCs w:val="24"/>
        </w:rPr>
        <w:t xml:space="preserve">, et al. (2024) </w:t>
      </w:r>
      <w:r w:rsidRPr="001E4625">
        <w:rPr>
          <w:rFonts w:ascii="Arial" w:hAnsi="Arial" w:cs="Arial"/>
          <w:i/>
          <w:iCs/>
          <w:sz w:val="24"/>
          <w:szCs w:val="24"/>
        </w:rPr>
        <w:t>Effects of financial management practices on performance of small and medium enterprises</w:t>
      </w:r>
      <w:r w:rsidRPr="001E4625">
        <w:rPr>
          <w:rFonts w:ascii="Arial" w:hAnsi="Arial" w:cs="Arial"/>
          <w:sz w:val="24"/>
          <w:szCs w:val="24"/>
        </w:rPr>
        <w:t xml:space="preserve">. Available at: </w:t>
      </w:r>
      <w:hyperlink r:id="rId31" w:tgtFrame="_new" w:history="1">
        <w:r w:rsidRPr="001E4625">
          <w:rPr>
            <w:rStyle w:val="Hyperlink"/>
            <w:rFonts w:ascii="Arial" w:hAnsi="Arial" w:cs="Arial"/>
            <w:sz w:val="24"/>
            <w:szCs w:val="24"/>
          </w:rPr>
          <w:t>www.researchgate.net</w:t>
        </w:r>
      </w:hyperlink>
      <w:r w:rsidRPr="001E4625">
        <w:rPr>
          <w:rFonts w:ascii="Arial" w:hAnsi="Arial" w:cs="Arial"/>
          <w:sz w:val="24"/>
          <w:szCs w:val="24"/>
        </w:rPr>
        <w:t xml:space="preserve"> (Accessed: 21 December 2025).</w:t>
      </w:r>
    </w:p>
    <w:p w14:paraId="551DBB99" w14:textId="77777777" w:rsidR="00246965" w:rsidRPr="001E4625" w:rsidRDefault="00246965" w:rsidP="002D5DD5">
      <w:pPr>
        <w:spacing w:line="360" w:lineRule="auto"/>
        <w:ind w:left="720" w:hanging="720"/>
        <w:jc w:val="both"/>
        <w:rPr>
          <w:rFonts w:ascii="Arial" w:hAnsi="Arial" w:cs="Arial"/>
          <w:sz w:val="24"/>
          <w:szCs w:val="24"/>
        </w:rPr>
      </w:pPr>
    </w:p>
    <w:p w14:paraId="4A31EDBE" w14:textId="607E00E5" w:rsidR="00CA783B" w:rsidRDefault="00CA783B">
      <w:pPr>
        <w:rPr>
          <w:rFonts w:ascii="Arial" w:hAnsi="Arial" w:cs="Arial"/>
          <w:sz w:val="24"/>
          <w:szCs w:val="24"/>
        </w:rPr>
      </w:pPr>
    </w:p>
    <w:p w14:paraId="1526EA33" w14:textId="77777777" w:rsidR="00246965" w:rsidRDefault="00246965">
      <w:pPr>
        <w:rPr>
          <w:rFonts w:ascii="Arial" w:eastAsiaTheme="majorEastAsia" w:hAnsi="Arial" w:cs="Arial"/>
          <w:b/>
          <w:bCs/>
          <w:sz w:val="24"/>
          <w:szCs w:val="24"/>
        </w:rPr>
      </w:pPr>
      <w:r>
        <w:rPr>
          <w:rFonts w:cs="Arial"/>
          <w:bCs/>
          <w:sz w:val="24"/>
          <w:szCs w:val="24"/>
        </w:rPr>
        <w:br w:type="page"/>
      </w:r>
    </w:p>
    <w:p w14:paraId="6574B94A" w14:textId="7C66F737" w:rsidR="00386049" w:rsidRDefault="00CA783B" w:rsidP="00246965">
      <w:pPr>
        <w:pStyle w:val="Heading1"/>
        <w:rPr>
          <w:b w:val="0"/>
        </w:rPr>
      </w:pPr>
      <w:bookmarkStart w:id="30" w:name="_Toc217280917"/>
      <w:r w:rsidRPr="00246965">
        <w:lastRenderedPageBreak/>
        <w:t>Appendices</w:t>
      </w:r>
      <w:bookmarkEnd w:id="30"/>
    </w:p>
    <w:p w14:paraId="40622BB5" w14:textId="77777777" w:rsidR="006B5C0D" w:rsidRPr="006B5C0D" w:rsidRDefault="006B5C0D" w:rsidP="006B5C0D"/>
    <w:p w14:paraId="1133985F" w14:textId="77777777" w:rsidR="006B5C0D" w:rsidRPr="00695400" w:rsidRDefault="006B5C0D" w:rsidP="00695400">
      <w:pPr>
        <w:pStyle w:val="Heading2"/>
        <w:numPr>
          <w:ilvl w:val="1"/>
          <w:numId w:val="14"/>
        </w:numPr>
        <w:jc w:val="center"/>
        <w:rPr>
          <w:b w:val="0"/>
          <w:bCs/>
        </w:rPr>
      </w:pPr>
      <w:bookmarkStart w:id="31" w:name="_Toc217280918"/>
      <w:r w:rsidRPr="00695400">
        <w:rPr>
          <w:bCs/>
        </w:rPr>
        <w:t>Table A1-Profitability Ratios (2020–2024)</w:t>
      </w:r>
      <w:bookmarkEnd w:id="31"/>
    </w:p>
    <w:p w14:paraId="03693148" w14:textId="77777777" w:rsidR="006B5C0D" w:rsidRPr="006B5C0D" w:rsidRDefault="006B5C0D" w:rsidP="006B5C0D">
      <w:pPr>
        <w:jc w:val="center"/>
        <w:rPr>
          <w:rFonts w:ascii="Arial" w:hAnsi="Arial" w:cs="Arial"/>
          <w:b/>
          <w:bCs/>
          <w:sz w:val="24"/>
          <w:szCs w:val="24"/>
        </w:rPr>
      </w:pPr>
    </w:p>
    <w:tbl>
      <w:tblPr>
        <w:tblStyle w:val="TableGrid"/>
        <w:tblW w:w="0" w:type="auto"/>
        <w:tblLook w:val="04A0" w:firstRow="1" w:lastRow="0" w:firstColumn="1" w:lastColumn="0" w:noHBand="0" w:noVBand="1"/>
      </w:tblPr>
      <w:tblGrid>
        <w:gridCol w:w="9350"/>
      </w:tblGrid>
      <w:tr w:rsidR="006B5C0D" w:rsidRPr="006B5C0D" w14:paraId="56C905F6" w14:textId="77777777" w:rsidTr="00426190">
        <w:tc>
          <w:tcPr>
            <w:tcW w:w="9350" w:type="dxa"/>
          </w:tcPr>
          <w:p w14:paraId="7594568B" w14:textId="77777777" w:rsidR="006B5C0D" w:rsidRPr="006B5C0D" w:rsidRDefault="006B5C0D" w:rsidP="006B5C0D">
            <w:pPr>
              <w:numPr>
                <w:ilvl w:val="0"/>
                <w:numId w:val="5"/>
              </w:numPr>
              <w:contextualSpacing/>
              <w:jc w:val="both"/>
              <w:rPr>
                <w:rFonts w:ascii="Arial" w:hAnsi="Arial" w:cs="Arial"/>
                <w:b/>
                <w:bCs/>
                <w:sz w:val="24"/>
                <w:szCs w:val="24"/>
              </w:rPr>
            </w:pPr>
            <w:r w:rsidRPr="006B5C0D">
              <w:rPr>
                <w:rFonts w:ascii="Arial" w:hAnsi="Arial" w:cs="Arial"/>
                <w:b/>
                <w:bCs/>
                <w:sz w:val="24"/>
                <w:szCs w:val="24"/>
              </w:rPr>
              <w:t>Gross profit margin = Gross profit / Net sales</w:t>
            </w:r>
          </w:p>
        </w:tc>
      </w:tr>
      <w:tr w:rsidR="006B5C0D" w:rsidRPr="006B5C0D" w14:paraId="244FF0E0" w14:textId="77777777" w:rsidTr="00426190">
        <w:tc>
          <w:tcPr>
            <w:tcW w:w="9350" w:type="dxa"/>
          </w:tcPr>
          <w:p w14:paraId="78F684C2" w14:textId="77777777" w:rsidR="006B5C0D" w:rsidRPr="006B5C0D" w:rsidRDefault="006B5C0D" w:rsidP="006B5C0D">
            <w:pPr>
              <w:numPr>
                <w:ilvl w:val="0"/>
                <w:numId w:val="5"/>
              </w:numPr>
              <w:contextualSpacing/>
              <w:jc w:val="both"/>
              <w:rPr>
                <w:rFonts w:ascii="Arial" w:hAnsi="Arial" w:cs="Arial"/>
                <w:b/>
                <w:bCs/>
                <w:sz w:val="24"/>
                <w:szCs w:val="24"/>
              </w:rPr>
            </w:pPr>
            <w:r w:rsidRPr="006B5C0D">
              <w:rPr>
                <w:rFonts w:ascii="Arial" w:hAnsi="Arial" w:cs="Arial"/>
                <w:b/>
                <w:bCs/>
                <w:sz w:val="24"/>
                <w:szCs w:val="24"/>
              </w:rPr>
              <w:t>Operating profit margin = Operating income / Net sales</w:t>
            </w:r>
          </w:p>
        </w:tc>
      </w:tr>
      <w:tr w:rsidR="006B5C0D" w:rsidRPr="006B5C0D" w14:paraId="755FE34E" w14:textId="77777777" w:rsidTr="00426190">
        <w:tc>
          <w:tcPr>
            <w:tcW w:w="9350" w:type="dxa"/>
          </w:tcPr>
          <w:p w14:paraId="29D89885" w14:textId="77777777" w:rsidR="006B5C0D" w:rsidRPr="006B5C0D" w:rsidRDefault="006B5C0D" w:rsidP="006B5C0D">
            <w:pPr>
              <w:numPr>
                <w:ilvl w:val="0"/>
                <w:numId w:val="5"/>
              </w:numPr>
              <w:contextualSpacing/>
              <w:jc w:val="both"/>
              <w:rPr>
                <w:rFonts w:ascii="Arial" w:hAnsi="Arial" w:cs="Arial"/>
                <w:b/>
                <w:bCs/>
                <w:sz w:val="24"/>
                <w:szCs w:val="24"/>
              </w:rPr>
            </w:pPr>
            <w:r w:rsidRPr="006B5C0D">
              <w:rPr>
                <w:rFonts w:ascii="Arial" w:hAnsi="Arial" w:cs="Arial"/>
                <w:b/>
                <w:bCs/>
                <w:sz w:val="24"/>
                <w:szCs w:val="24"/>
              </w:rPr>
              <w:t>Net profit margin = Net income / Net sales</w:t>
            </w:r>
          </w:p>
        </w:tc>
      </w:tr>
      <w:tr w:rsidR="006B5C0D" w:rsidRPr="006B5C0D" w14:paraId="6C44F473" w14:textId="77777777" w:rsidTr="00426190">
        <w:tc>
          <w:tcPr>
            <w:tcW w:w="9350" w:type="dxa"/>
          </w:tcPr>
          <w:p w14:paraId="7AA021FE" w14:textId="77777777" w:rsidR="006B5C0D" w:rsidRPr="006B5C0D" w:rsidRDefault="006B5C0D" w:rsidP="006B5C0D">
            <w:pPr>
              <w:numPr>
                <w:ilvl w:val="0"/>
                <w:numId w:val="5"/>
              </w:numPr>
              <w:contextualSpacing/>
              <w:jc w:val="both"/>
              <w:rPr>
                <w:rFonts w:ascii="Arial" w:hAnsi="Arial" w:cs="Arial"/>
                <w:b/>
                <w:bCs/>
                <w:sz w:val="24"/>
                <w:szCs w:val="24"/>
              </w:rPr>
            </w:pPr>
            <w:r w:rsidRPr="006B5C0D">
              <w:rPr>
                <w:rFonts w:ascii="Arial" w:hAnsi="Arial" w:cs="Arial"/>
                <w:b/>
                <w:bCs/>
                <w:sz w:val="24"/>
                <w:szCs w:val="24"/>
              </w:rPr>
              <w:t>Return on Assets (ROA) = Net Income / Total Assets</w:t>
            </w:r>
          </w:p>
        </w:tc>
      </w:tr>
      <w:tr w:rsidR="006B5C0D" w:rsidRPr="006B5C0D" w14:paraId="6329EC20" w14:textId="77777777" w:rsidTr="00426190">
        <w:tc>
          <w:tcPr>
            <w:tcW w:w="9350" w:type="dxa"/>
          </w:tcPr>
          <w:p w14:paraId="2C62BE43" w14:textId="77777777" w:rsidR="006B5C0D" w:rsidRPr="006B5C0D" w:rsidRDefault="006B5C0D" w:rsidP="006B5C0D">
            <w:pPr>
              <w:numPr>
                <w:ilvl w:val="0"/>
                <w:numId w:val="5"/>
              </w:numPr>
              <w:contextualSpacing/>
              <w:jc w:val="both"/>
              <w:rPr>
                <w:rFonts w:ascii="Arial" w:hAnsi="Arial" w:cs="Arial"/>
                <w:b/>
                <w:bCs/>
                <w:sz w:val="24"/>
                <w:szCs w:val="24"/>
              </w:rPr>
            </w:pPr>
            <w:r w:rsidRPr="006B5C0D">
              <w:rPr>
                <w:rFonts w:ascii="Arial" w:hAnsi="Arial" w:cs="Arial"/>
                <w:b/>
                <w:bCs/>
                <w:sz w:val="24"/>
                <w:szCs w:val="24"/>
              </w:rPr>
              <w:t>Return on Equity (ROE) = Net Income / Shareholders’ Equity</w:t>
            </w:r>
          </w:p>
        </w:tc>
      </w:tr>
    </w:tbl>
    <w:p w14:paraId="5A547505" w14:textId="77777777" w:rsidR="006B5C0D" w:rsidRPr="006B5C0D" w:rsidRDefault="006B5C0D" w:rsidP="006B5C0D">
      <w:pPr>
        <w:jc w:val="center"/>
        <w:rPr>
          <w:rFonts w:ascii="Arial" w:hAnsi="Arial" w:cs="Arial"/>
          <w:b/>
          <w:bCs/>
          <w:sz w:val="24"/>
          <w:szCs w:val="24"/>
        </w:rPr>
      </w:pPr>
    </w:p>
    <w:tbl>
      <w:tblPr>
        <w:tblStyle w:val="TableGrid"/>
        <w:tblW w:w="0" w:type="auto"/>
        <w:tblLook w:val="04A0" w:firstRow="1" w:lastRow="0" w:firstColumn="1" w:lastColumn="0" w:noHBand="0" w:noVBand="1"/>
      </w:tblPr>
      <w:tblGrid>
        <w:gridCol w:w="1665"/>
        <w:gridCol w:w="2253"/>
        <w:gridCol w:w="1030"/>
        <w:gridCol w:w="1030"/>
        <w:gridCol w:w="1030"/>
        <w:gridCol w:w="1171"/>
        <w:gridCol w:w="1171"/>
      </w:tblGrid>
      <w:tr w:rsidR="006B5C0D" w:rsidRPr="006B5C0D" w14:paraId="223A4750" w14:textId="77777777" w:rsidTr="00426190">
        <w:tc>
          <w:tcPr>
            <w:tcW w:w="0" w:type="auto"/>
            <w:hideMark/>
          </w:tcPr>
          <w:p w14:paraId="751A2225"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Ratio</w:t>
            </w:r>
          </w:p>
        </w:tc>
        <w:tc>
          <w:tcPr>
            <w:tcW w:w="0" w:type="auto"/>
            <w:hideMark/>
          </w:tcPr>
          <w:p w14:paraId="069CE3C6"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4BDADFFF"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26D014E7"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17BE9E8A"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06D4C597"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2BACE0D6"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103B91E6" w14:textId="77777777" w:rsidTr="00426190">
        <w:tc>
          <w:tcPr>
            <w:tcW w:w="0" w:type="auto"/>
            <w:hideMark/>
          </w:tcPr>
          <w:p w14:paraId="30CE8C2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Gross Profit Margin</w:t>
            </w:r>
          </w:p>
        </w:tc>
        <w:tc>
          <w:tcPr>
            <w:tcW w:w="0" w:type="auto"/>
            <w:hideMark/>
          </w:tcPr>
          <w:p w14:paraId="7EE4521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Gross Profit / Net Sales</w:t>
            </w:r>
          </w:p>
        </w:tc>
        <w:tc>
          <w:tcPr>
            <w:tcW w:w="0" w:type="auto"/>
            <w:hideMark/>
          </w:tcPr>
          <w:p w14:paraId="182E41F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28.67%</w:t>
            </w:r>
          </w:p>
        </w:tc>
        <w:tc>
          <w:tcPr>
            <w:tcW w:w="0" w:type="auto"/>
            <w:hideMark/>
          </w:tcPr>
          <w:p w14:paraId="41A5026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28.76%</w:t>
            </w:r>
          </w:p>
        </w:tc>
        <w:tc>
          <w:tcPr>
            <w:tcW w:w="0" w:type="auto"/>
            <w:hideMark/>
          </w:tcPr>
          <w:p w14:paraId="72595426"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28.06%</w:t>
            </w:r>
          </w:p>
        </w:tc>
        <w:tc>
          <w:tcPr>
            <w:tcW w:w="0" w:type="auto"/>
            <w:hideMark/>
          </w:tcPr>
          <w:p w14:paraId="67FE1AE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23.20%</w:t>
            </w:r>
          </w:p>
        </w:tc>
        <w:tc>
          <w:tcPr>
            <w:tcW w:w="0" w:type="auto"/>
            <w:hideMark/>
          </w:tcPr>
          <w:p w14:paraId="1A5A2B4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28.87%</w:t>
            </w:r>
          </w:p>
        </w:tc>
      </w:tr>
      <w:tr w:rsidR="006B5C0D" w:rsidRPr="006B5C0D" w14:paraId="05A107A7" w14:textId="77777777" w:rsidTr="00426190">
        <w:tc>
          <w:tcPr>
            <w:tcW w:w="0" w:type="auto"/>
            <w:hideMark/>
          </w:tcPr>
          <w:p w14:paraId="5858DA2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Operating Profit Margin</w:t>
            </w:r>
          </w:p>
        </w:tc>
        <w:tc>
          <w:tcPr>
            <w:tcW w:w="0" w:type="auto"/>
            <w:hideMark/>
          </w:tcPr>
          <w:p w14:paraId="63B4F8F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Operating Income / Net Sales</w:t>
            </w:r>
          </w:p>
        </w:tc>
        <w:tc>
          <w:tcPr>
            <w:tcW w:w="0" w:type="auto"/>
            <w:hideMark/>
          </w:tcPr>
          <w:p w14:paraId="30BFA81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6.06%</w:t>
            </w:r>
          </w:p>
        </w:tc>
        <w:tc>
          <w:tcPr>
            <w:tcW w:w="0" w:type="auto"/>
            <w:hideMark/>
          </w:tcPr>
          <w:p w14:paraId="43A0796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3.87%</w:t>
            </w:r>
          </w:p>
        </w:tc>
        <w:tc>
          <w:tcPr>
            <w:tcW w:w="0" w:type="auto"/>
            <w:hideMark/>
          </w:tcPr>
          <w:p w14:paraId="7E5F738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2.68%</w:t>
            </w:r>
          </w:p>
        </w:tc>
        <w:tc>
          <w:tcPr>
            <w:tcW w:w="0" w:type="auto"/>
            <w:hideMark/>
          </w:tcPr>
          <w:p w14:paraId="2EE125C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−20.29%</w:t>
            </w:r>
          </w:p>
        </w:tc>
        <w:tc>
          <w:tcPr>
            <w:tcW w:w="0" w:type="auto"/>
            <w:hideMark/>
          </w:tcPr>
          <w:p w14:paraId="0E73A58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−3.87%</w:t>
            </w:r>
          </w:p>
        </w:tc>
      </w:tr>
      <w:tr w:rsidR="006B5C0D" w:rsidRPr="006B5C0D" w14:paraId="1E7DD96B" w14:textId="77777777" w:rsidTr="00426190">
        <w:tc>
          <w:tcPr>
            <w:tcW w:w="0" w:type="auto"/>
            <w:hideMark/>
          </w:tcPr>
          <w:p w14:paraId="0DAF579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Profit Margin</w:t>
            </w:r>
          </w:p>
        </w:tc>
        <w:tc>
          <w:tcPr>
            <w:tcW w:w="0" w:type="auto"/>
            <w:hideMark/>
          </w:tcPr>
          <w:p w14:paraId="1ABF8E4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Income / Net Sales</w:t>
            </w:r>
          </w:p>
        </w:tc>
        <w:tc>
          <w:tcPr>
            <w:tcW w:w="0" w:type="auto"/>
            <w:hideMark/>
          </w:tcPr>
          <w:p w14:paraId="41C2E90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6.28%</w:t>
            </w:r>
          </w:p>
        </w:tc>
        <w:tc>
          <w:tcPr>
            <w:tcW w:w="0" w:type="auto"/>
            <w:hideMark/>
          </w:tcPr>
          <w:p w14:paraId="6D728F3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0.88%</w:t>
            </w:r>
          </w:p>
        </w:tc>
        <w:tc>
          <w:tcPr>
            <w:tcW w:w="0" w:type="auto"/>
            <w:hideMark/>
          </w:tcPr>
          <w:p w14:paraId="5EEC99A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0.08%</w:t>
            </w:r>
          </w:p>
        </w:tc>
        <w:tc>
          <w:tcPr>
            <w:tcW w:w="0" w:type="auto"/>
            <w:hideMark/>
          </w:tcPr>
          <w:p w14:paraId="35D06F5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−23.36%</w:t>
            </w:r>
          </w:p>
        </w:tc>
        <w:tc>
          <w:tcPr>
            <w:tcW w:w="0" w:type="auto"/>
            <w:hideMark/>
          </w:tcPr>
          <w:p w14:paraId="184B5EB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−6.09%</w:t>
            </w:r>
          </w:p>
        </w:tc>
      </w:tr>
      <w:tr w:rsidR="006B5C0D" w:rsidRPr="006B5C0D" w14:paraId="152E0DA3" w14:textId="77777777" w:rsidTr="00426190">
        <w:tc>
          <w:tcPr>
            <w:tcW w:w="0" w:type="auto"/>
            <w:hideMark/>
          </w:tcPr>
          <w:p w14:paraId="5D0A9B2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Return on Assets (ROA)</w:t>
            </w:r>
          </w:p>
        </w:tc>
        <w:tc>
          <w:tcPr>
            <w:tcW w:w="0" w:type="auto"/>
            <w:hideMark/>
          </w:tcPr>
          <w:p w14:paraId="7AEF640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Income / Total Assets</w:t>
            </w:r>
          </w:p>
        </w:tc>
        <w:tc>
          <w:tcPr>
            <w:tcW w:w="0" w:type="auto"/>
            <w:hideMark/>
          </w:tcPr>
          <w:p w14:paraId="4CDE906E"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7.56%</w:t>
            </w:r>
          </w:p>
        </w:tc>
        <w:tc>
          <w:tcPr>
            <w:tcW w:w="0" w:type="auto"/>
            <w:hideMark/>
          </w:tcPr>
          <w:p w14:paraId="1157A4E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1.04%</w:t>
            </w:r>
          </w:p>
        </w:tc>
        <w:tc>
          <w:tcPr>
            <w:tcW w:w="0" w:type="auto"/>
            <w:hideMark/>
          </w:tcPr>
          <w:p w14:paraId="6A5DFCB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0.08%</w:t>
            </w:r>
          </w:p>
        </w:tc>
        <w:tc>
          <w:tcPr>
            <w:tcW w:w="0" w:type="auto"/>
            <w:hideMark/>
          </w:tcPr>
          <w:p w14:paraId="32B41D2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−27.60%</w:t>
            </w:r>
          </w:p>
        </w:tc>
        <w:tc>
          <w:tcPr>
            <w:tcW w:w="0" w:type="auto"/>
            <w:hideMark/>
          </w:tcPr>
          <w:p w14:paraId="42CEDE2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−7.43%</w:t>
            </w:r>
          </w:p>
        </w:tc>
      </w:tr>
      <w:tr w:rsidR="006B5C0D" w:rsidRPr="006B5C0D" w14:paraId="0822B39F" w14:textId="77777777" w:rsidTr="00426190">
        <w:tc>
          <w:tcPr>
            <w:tcW w:w="0" w:type="auto"/>
            <w:hideMark/>
          </w:tcPr>
          <w:p w14:paraId="22CDDCEA"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Return on Equity (ROE)</w:t>
            </w:r>
          </w:p>
        </w:tc>
        <w:tc>
          <w:tcPr>
            <w:tcW w:w="0" w:type="auto"/>
            <w:hideMark/>
          </w:tcPr>
          <w:p w14:paraId="4EA0C76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Income / Shareholders’ Equity</w:t>
            </w:r>
          </w:p>
        </w:tc>
        <w:tc>
          <w:tcPr>
            <w:tcW w:w="0" w:type="auto"/>
            <w:hideMark/>
          </w:tcPr>
          <w:p w14:paraId="090EEF26"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12.31%</w:t>
            </w:r>
          </w:p>
        </w:tc>
        <w:tc>
          <w:tcPr>
            <w:tcW w:w="0" w:type="auto"/>
            <w:hideMark/>
          </w:tcPr>
          <w:p w14:paraId="1CF93CC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1.92%</w:t>
            </w:r>
          </w:p>
        </w:tc>
        <w:tc>
          <w:tcPr>
            <w:tcW w:w="0" w:type="auto"/>
            <w:hideMark/>
          </w:tcPr>
          <w:p w14:paraId="209D6C1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0.15%</w:t>
            </w:r>
          </w:p>
        </w:tc>
        <w:tc>
          <w:tcPr>
            <w:tcW w:w="0" w:type="auto"/>
            <w:hideMark/>
          </w:tcPr>
          <w:p w14:paraId="5247B6D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−54.91%</w:t>
            </w:r>
          </w:p>
        </w:tc>
        <w:tc>
          <w:tcPr>
            <w:tcW w:w="0" w:type="auto"/>
            <w:hideMark/>
          </w:tcPr>
          <w:p w14:paraId="243E612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−15.69%</w:t>
            </w:r>
          </w:p>
        </w:tc>
      </w:tr>
    </w:tbl>
    <w:p w14:paraId="36519E0C"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t>Table 1: Calculation of  Profitability Ratio</w:t>
      </w:r>
    </w:p>
    <w:p w14:paraId="7429108B" w14:textId="77777777" w:rsidR="006B5C0D" w:rsidRPr="006B5C0D" w:rsidRDefault="006B5C0D" w:rsidP="006B5C0D">
      <w:pPr>
        <w:jc w:val="center"/>
        <w:rPr>
          <w:rFonts w:ascii="Arial" w:hAnsi="Arial" w:cs="Arial"/>
          <w:b/>
          <w:bCs/>
          <w:sz w:val="24"/>
          <w:szCs w:val="24"/>
        </w:rPr>
      </w:pPr>
      <w:r w:rsidRPr="006B5C0D">
        <w:rPr>
          <w:noProof/>
        </w:rPr>
        <w:lastRenderedPageBreak/>
        <w:drawing>
          <wp:inline distT="0" distB="0" distL="0" distR="0" wp14:anchorId="563CEC90" wp14:editId="74357AA0">
            <wp:extent cx="5581650" cy="3028950"/>
            <wp:effectExtent l="0" t="0" r="0" b="0"/>
            <wp:docPr id="1" name="Chart 1">
              <a:extLst xmlns:a="http://schemas.openxmlformats.org/drawingml/2006/main">
                <a:ext uri="{FF2B5EF4-FFF2-40B4-BE49-F238E27FC236}">
                  <a16:creationId xmlns:a16="http://schemas.microsoft.com/office/drawing/2014/main" id="{5F854D79-F7A2-460C-80B5-152EF6D4E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D11C593" w14:textId="085766D1" w:rsidR="006B5C0D" w:rsidRPr="006B5C0D" w:rsidRDefault="006B5C0D" w:rsidP="00695400">
      <w:pPr>
        <w:jc w:val="center"/>
        <w:rPr>
          <w:rFonts w:ascii="Arial" w:hAnsi="Arial" w:cs="Arial"/>
          <w:b/>
          <w:bCs/>
          <w:sz w:val="24"/>
          <w:szCs w:val="24"/>
        </w:rPr>
      </w:pPr>
      <w:r w:rsidRPr="006B5C0D">
        <w:rPr>
          <w:rFonts w:ascii="Arial" w:hAnsi="Arial" w:cs="Arial"/>
          <w:b/>
          <w:bCs/>
          <w:sz w:val="24"/>
          <w:szCs w:val="24"/>
        </w:rPr>
        <w:t>Figure 1: Profitability Performance Ratios, 2020–2024</w:t>
      </w:r>
    </w:p>
    <w:p w14:paraId="5DD57C5B" w14:textId="77777777" w:rsidR="006B5C0D" w:rsidRPr="00695400" w:rsidRDefault="006B5C0D" w:rsidP="00695400">
      <w:pPr>
        <w:pStyle w:val="Heading2"/>
        <w:numPr>
          <w:ilvl w:val="1"/>
          <w:numId w:val="14"/>
        </w:numPr>
        <w:jc w:val="center"/>
        <w:rPr>
          <w:b w:val="0"/>
          <w:bCs/>
        </w:rPr>
      </w:pPr>
      <w:bookmarkStart w:id="32" w:name="_Toc217280919"/>
      <w:r w:rsidRPr="00695400">
        <w:rPr>
          <w:bCs/>
        </w:rPr>
        <w:t>Table A2- Liquidity Ratios (2020–2024)</w:t>
      </w:r>
      <w:bookmarkEnd w:id="32"/>
    </w:p>
    <w:p w14:paraId="621094E2" w14:textId="77777777" w:rsidR="006B5C0D" w:rsidRPr="006B5C0D" w:rsidRDefault="006B5C0D" w:rsidP="006B5C0D"/>
    <w:tbl>
      <w:tblPr>
        <w:tblStyle w:val="TableGrid"/>
        <w:tblW w:w="0" w:type="auto"/>
        <w:tblLook w:val="04A0" w:firstRow="1" w:lastRow="0" w:firstColumn="1" w:lastColumn="0" w:noHBand="0" w:noVBand="1"/>
      </w:tblPr>
      <w:tblGrid>
        <w:gridCol w:w="9350"/>
      </w:tblGrid>
      <w:tr w:rsidR="006B5C0D" w:rsidRPr="006B5C0D" w14:paraId="177E05F8" w14:textId="77777777" w:rsidTr="00426190">
        <w:tc>
          <w:tcPr>
            <w:tcW w:w="9350" w:type="dxa"/>
          </w:tcPr>
          <w:p w14:paraId="312C9C89" w14:textId="77777777" w:rsidR="006B5C0D" w:rsidRPr="006B5C0D" w:rsidRDefault="006B5C0D" w:rsidP="006B5C0D">
            <w:pPr>
              <w:numPr>
                <w:ilvl w:val="0"/>
                <w:numId w:val="7"/>
              </w:numPr>
              <w:contextualSpacing/>
              <w:rPr>
                <w:rFonts w:ascii="Arial" w:hAnsi="Arial" w:cs="Arial"/>
                <w:b/>
                <w:bCs/>
                <w:color w:val="000000" w:themeColor="text1"/>
                <w:sz w:val="24"/>
                <w:szCs w:val="24"/>
              </w:rPr>
            </w:pPr>
            <w:r w:rsidRPr="006B5C0D">
              <w:rPr>
                <w:rFonts w:ascii="Arial" w:hAnsi="Arial" w:cs="Arial"/>
                <w:b/>
                <w:bCs/>
                <w:color w:val="000000" w:themeColor="text1"/>
                <w:sz w:val="24"/>
                <w:szCs w:val="24"/>
              </w:rPr>
              <w:t>Current ratio = Current assets / Current liabilities</w:t>
            </w:r>
          </w:p>
        </w:tc>
      </w:tr>
      <w:tr w:rsidR="006B5C0D" w:rsidRPr="006B5C0D" w14:paraId="1B2F3783" w14:textId="77777777" w:rsidTr="00426190">
        <w:tc>
          <w:tcPr>
            <w:tcW w:w="9350" w:type="dxa"/>
          </w:tcPr>
          <w:p w14:paraId="58B7B889" w14:textId="77777777" w:rsidR="006B5C0D" w:rsidRPr="006B5C0D" w:rsidRDefault="006B5C0D" w:rsidP="006B5C0D">
            <w:pPr>
              <w:numPr>
                <w:ilvl w:val="0"/>
                <w:numId w:val="7"/>
              </w:numPr>
              <w:contextualSpacing/>
              <w:rPr>
                <w:rFonts w:ascii="Arial" w:hAnsi="Arial" w:cs="Arial"/>
                <w:b/>
                <w:bCs/>
                <w:color w:val="000000" w:themeColor="text1"/>
                <w:sz w:val="24"/>
                <w:szCs w:val="24"/>
              </w:rPr>
            </w:pPr>
            <w:r w:rsidRPr="006B5C0D">
              <w:rPr>
                <w:rFonts w:ascii="Arial" w:hAnsi="Arial" w:cs="Arial"/>
                <w:b/>
                <w:bCs/>
                <w:color w:val="000000" w:themeColor="text1"/>
                <w:sz w:val="24"/>
                <w:szCs w:val="24"/>
              </w:rPr>
              <w:t>Quick ratio = (Current assets – Inventories) / Current liabilities</w:t>
            </w:r>
          </w:p>
        </w:tc>
      </w:tr>
      <w:tr w:rsidR="006B5C0D" w:rsidRPr="006B5C0D" w14:paraId="03215F6C" w14:textId="77777777" w:rsidTr="00426190">
        <w:tc>
          <w:tcPr>
            <w:tcW w:w="9350" w:type="dxa"/>
          </w:tcPr>
          <w:p w14:paraId="7D716AF6" w14:textId="77777777" w:rsidR="006B5C0D" w:rsidRPr="006B5C0D" w:rsidRDefault="006B5C0D" w:rsidP="006B5C0D">
            <w:pPr>
              <w:numPr>
                <w:ilvl w:val="0"/>
                <w:numId w:val="7"/>
              </w:numPr>
              <w:contextualSpacing/>
              <w:rPr>
                <w:rFonts w:ascii="Arial" w:hAnsi="Arial" w:cs="Arial"/>
                <w:b/>
                <w:bCs/>
                <w:color w:val="000000" w:themeColor="text1"/>
                <w:sz w:val="24"/>
                <w:szCs w:val="24"/>
              </w:rPr>
            </w:pPr>
            <w:r w:rsidRPr="006B5C0D">
              <w:rPr>
                <w:rFonts w:ascii="Arial" w:hAnsi="Arial" w:cs="Arial"/>
                <w:b/>
                <w:bCs/>
                <w:color w:val="000000" w:themeColor="text1"/>
                <w:sz w:val="24"/>
                <w:szCs w:val="24"/>
              </w:rPr>
              <w:t>Cash ratio = Cash and cash equivalents / Current liabilities</w:t>
            </w:r>
          </w:p>
        </w:tc>
      </w:tr>
    </w:tbl>
    <w:p w14:paraId="3256760C" w14:textId="77777777" w:rsidR="006B5C0D" w:rsidRPr="006B5C0D" w:rsidRDefault="006B5C0D" w:rsidP="006B5C0D"/>
    <w:tbl>
      <w:tblPr>
        <w:tblStyle w:val="TableGrid"/>
        <w:tblW w:w="0" w:type="auto"/>
        <w:tblLook w:val="04A0" w:firstRow="1" w:lastRow="0" w:firstColumn="1" w:lastColumn="0" w:noHBand="0" w:noVBand="1"/>
      </w:tblPr>
      <w:tblGrid>
        <w:gridCol w:w="1458"/>
        <w:gridCol w:w="4142"/>
        <w:gridCol w:w="750"/>
        <w:gridCol w:w="750"/>
        <w:gridCol w:w="750"/>
        <w:gridCol w:w="750"/>
        <w:gridCol w:w="750"/>
      </w:tblGrid>
      <w:tr w:rsidR="006B5C0D" w:rsidRPr="006B5C0D" w14:paraId="5DDEB874" w14:textId="77777777" w:rsidTr="00426190">
        <w:tc>
          <w:tcPr>
            <w:tcW w:w="0" w:type="auto"/>
            <w:hideMark/>
          </w:tcPr>
          <w:p w14:paraId="39FB6C99"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Ratio</w:t>
            </w:r>
          </w:p>
        </w:tc>
        <w:tc>
          <w:tcPr>
            <w:tcW w:w="0" w:type="auto"/>
            <w:hideMark/>
          </w:tcPr>
          <w:p w14:paraId="7D8209F0"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00C42CA9"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00F1F53D"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5D59CE38"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5949345C"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686AA23C"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04AAB38B" w14:textId="77777777" w:rsidTr="00426190">
        <w:tc>
          <w:tcPr>
            <w:tcW w:w="0" w:type="auto"/>
            <w:hideMark/>
          </w:tcPr>
          <w:p w14:paraId="4457201E"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Current Ratio</w:t>
            </w:r>
          </w:p>
        </w:tc>
        <w:tc>
          <w:tcPr>
            <w:tcW w:w="0" w:type="auto"/>
            <w:hideMark/>
          </w:tcPr>
          <w:p w14:paraId="5D7800E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Current Assets / Current Liabilities</w:t>
            </w:r>
          </w:p>
        </w:tc>
        <w:tc>
          <w:tcPr>
            <w:tcW w:w="0" w:type="auto"/>
            <w:hideMark/>
          </w:tcPr>
          <w:p w14:paraId="5FC78E3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1.82</w:t>
            </w:r>
          </w:p>
        </w:tc>
        <w:tc>
          <w:tcPr>
            <w:tcW w:w="0" w:type="auto"/>
            <w:hideMark/>
          </w:tcPr>
          <w:p w14:paraId="05A8785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1.56</w:t>
            </w:r>
          </w:p>
        </w:tc>
        <w:tc>
          <w:tcPr>
            <w:tcW w:w="0" w:type="auto"/>
            <w:hideMark/>
          </w:tcPr>
          <w:p w14:paraId="2B1DE56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1.56</w:t>
            </w:r>
          </w:p>
        </w:tc>
        <w:tc>
          <w:tcPr>
            <w:tcW w:w="0" w:type="auto"/>
            <w:hideMark/>
          </w:tcPr>
          <w:p w14:paraId="34F61F3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1.61</w:t>
            </w:r>
          </w:p>
        </w:tc>
        <w:tc>
          <w:tcPr>
            <w:tcW w:w="0" w:type="auto"/>
            <w:hideMark/>
          </w:tcPr>
          <w:p w14:paraId="611884C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1.53</w:t>
            </w:r>
          </w:p>
        </w:tc>
      </w:tr>
      <w:tr w:rsidR="006B5C0D" w:rsidRPr="006B5C0D" w14:paraId="4444A772" w14:textId="77777777" w:rsidTr="00426190">
        <w:tc>
          <w:tcPr>
            <w:tcW w:w="0" w:type="auto"/>
            <w:hideMark/>
          </w:tcPr>
          <w:p w14:paraId="23B6888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Quick Ratio</w:t>
            </w:r>
          </w:p>
        </w:tc>
        <w:tc>
          <w:tcPr>
            <w:tcW w:w="0" w:type="auto"/>
            <w:hideMark/>
          </w:tcPr>
          <w:p w14:paraId="2CA0834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(Current Assets − Inventory) / Current Liabilities</w:t>
            </w:r>
          </w:p>
        </w:tc>
        <w:tc>
          <w:tcPr>
            <w:tcW w:w="0" w:type="auto"/>
            <w:hideMark/>
          </w:tcPr>
          <w:p w14:paraId="24D810C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1.15</w:t>
            </w:r>
          </w:p>
        </w:tc>
        <w:tc>
          <w:tcPr>
            <w:tcW w:w="0" w:type="auto"/>
            <w:hideMark/>
          </w:tcPr>
          <w:p w14:paraId="10089D0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0.93</w:t>
            </w:r>
          </w:p>
        </w:tc>
        <w:tc>
          <w:tcPr>
            <w:tcW w:w="0" w:type="auto"/>
            <w:hideMark/>
          </w:tcPr>
          <w:p w14:paraId="357CDD4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0.91</w:t>
            </w:r>
          </w:p>
        </w:tc>
        <w:tc>
          <w:tcPr>
            <w:tcW w:w="0" w:type="auto"/>
            <w:hideMark/>
          </w:tcPr>
          <w:p w14:paraId="1240B39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1.06</w:t>
            </w:r>
          </w:p>
        </w:tc>
        <w:tc>
          <w:tcPr>
            <w:tcW w:w="0" w:type="auto"/>
            <w:hideMark/>
          </w:tcPr>
          <w:p w14:paraId="5735C14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1.03</w:t>
            </w:r>
          </w:p>
        </w:tc>
      </w:tr>
      <w:tr w:rsidR="006B5C0D" w:rsidRPr="006B5C0D" w14:paraId="660833BC" w14:textId="77777777" w:rsidTr="00426190">
        <w:tc>
          <w:tcPr>
            <w:tcW w:w="0" w:type="auto"/>
            <w:hideMark/>
          </w:tcPr>
          <w:p w14:paraId="18D8946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Cash Ratio</w:t>
            </w:r>
          </w:p>
        </w:tc>
        <w:tc>
          <w:tcPr>
            <w:tcW w:w="0" w:type="auto"/>
            <w:hideMark/>
          </w:tcPr>
          <w:p w14:paraId="47C24B5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Cash and Cash Equivalents / Current Liabilities</w:t>
            </w:r>
          </w:p>
        </w:tc>
        <w:tc>
          <w:tcPr>
            <w:tcW w:w="0" w:type="auto"/>
            <w:hideMark/>
          </w:tcPr>
          <w:p w14:paraId="03D2637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0.32</w:t>
            </w:r>
          </w:p>
        </w:tc>
        <w:tc>
          <w:tcPr>
            <w:tcW w:w="0" w:type="auto"/>
            <w:hideMark/>
          </w:tcPr>
          <w:p w14:paraId="393D970E"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0.28</w:t>
            </w:r>
          </w:p>
        </w:tc>
        <w:tc>
          <w:tcPr>
            <w:tcW w:w="0" w:type="auto"/>
            <w:hideMark/>
          </w:tcPr>
          <w:p w14:paraId="0AD8C5F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0.31</w:t>
            </w:r>
          </w:p>
        </w:tc>
        <w:tc>
          <w:tcPr>
            <w:tcW w:w="0" w:type="auto"/>
            <w:hideMark/>
          </w:tcPr>
          <w:p w14:paraId="39301C7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0.27</w:t>
            </w:r>
          </w:p>
        </w:tc>
        <w:tc>
          <w:tcPr>
            <w:tcW w:w="0" w:type="auto"/>
            <w:hideMark/>
          </w:tcPr>
          <w:p w14:paraId="05C15C8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0.17</w:t>
            </w:r>
          </w:p>
        </w:tc>
      </w:tr>
    </w:tbl>
    <w:p w14:paraId="63B59B12"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t>Table 2: Liquidity Ratio (Self-Prepared)</w:t>
      </w:r>
    </w:p>
    <w:p w14:paraId="490AF155" w14:textId="77777777" w:rsidR="006B5C0D" w:rsidRPr="006B5C0D" w:rsidRDefault="006B5C0D" w:rsidP="006B5C0D">
      <w:pPr>
        <w:jc w:val="center"/>
        <w:rPr>
          <w:rFonts w:ascii="Arial" w:hAnsi="Arial" w:cs="Arial"/>
          <w:b/>
          <w:bCs/>
          <w:sz w:val="24"/>
          <w:szCs w:val="24"/>
        </w:rPr>
      </w:pPr>
    </w:p>
    <w:p w14:paraId="43D92405" w14:textId="77777777" w:rsidR="006B5C0D" w:rsidRPr="006B5C0D" w:rsidRDefault="006B5C0D" w:rsidP="006B5C0D">
      <w:pPr>
        <w:jc w:val="center"/>
        <w:rPr>
          <w:rFonts w:ascii="Arial" w:hAnsi="Arial" w:cs="Arial"/>
          <w:b/>
          <w:bCs/>
          <w:sz w:val="24"/>
          <w:szCs w:val="24"/>
        </w:rPr>
      </w:pPr>
    </w:p>
    <w:p w14:paraId="7C479AFF" w14:textId="77777777" w:rsidR="006B5C0D" w:rsidRPr="006B5C0D" w:rsidRDefault="006B5C0D" w:rsidP="006B5C0D">
      <w:pPr>
        <w:jc w:val="center"/>
        <w:rPr>
          <w:rFonts w:ascii="Arial" w:hAnsi="Arial" w:cs="Arial"/>
          <w:b/>
          <w:bCs/>
          <w:sz w:val="24"/>
          <w:szCs w:val="24"/>
        </w:rPr>
      </w:pPr>
      <w:r w:rsidRPr="006B5C0D">
        <w:rPr>
          <w:noProof/>
        </w:rPr>
        <w:lastRenderedPageBreak/>
        <w:drawing>
          <wp:inline distT="0" distB="0" distL="0" distR="0" wp14:anchorId="57D18224" wp14:editId="1B7A765F">
            <wp:extent cx="5943600" cy="2938780"/>
            <wp:effectExtent l="0" t="0" r="0" b="13970"/>
            <wp:docPr id="3" name="Chart 3">
              <a:extLst xmlns:a="http://schemas.openxmlformats.org/drawingml/2006/main">
                <a:ext uri="{FF2B5EF4-FFF2-40B4-BE49-F238E27FC236}">
                  <a16:creationId xmlns:a16="http://schemas.microsoft.com/office/drawing/2014/main" id="{8A1DD1D3-BEC3-4EC3-8071-FEF6317EA2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21217E7"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t>Figure 2: Liquidity Performance Ratios, (2020–2024)</w:t>
      </w:r>
    </w:p>
    <w:p w14:paraId="6B2BEF14" w14:textId="77777777" w:rsidR="006B5C0D" w:rsidRPr="006B5C0D" w:rsidRDefault="006B5C0D" w:rsidP="006B5C0D">
      <w:pPr>
        <w:jc w:val="center"/>
        <w:rPr>
          <w:rFonts w:ascii="Arial" w:hAnsi="Arial" w:cs="Arial"/>
          <w:b/>
          <w:bCs/>
          <w:sz w:val="24"/>
          <w:szCs w:val="24"/>
        </w:rPr>
      </w:pPr>
    </w:p>
    <w:p w14:paraId="0F7FBD44" w14:textId="74C597DE" w:rsidR="006B5C0D" w:rsidRDefault="006B5C0D" w:rsidP="00695400">
      <w:pPr>
        <w:pStyle w:val="Heading2"/>
        <w:numPr>
          <w:ilvl w:val="1"/>
          <w:numId w:val="14"/>
        </w:numPr>
        <w:jc w:val="center"/>
        <w:rPr>
          <w:rFonts w:eastAsia="Times New Roman"/>
          <w:b w:val="0"/>
          <w:bCs/>
        </w:rPr>
      </w:pPr>
      <w:bookmarkStart w:id="33" w:name="_Toc217280920"/>
      <w:r w:rsidRPr="00695400">
        <w:rPr>
          <w:rFonts w:eastAsia="Times New Roman"/>
          <w:bCs/>
        </w:rPr>
        <w:t>Table A3: Efficiency Ratios (2020–2024)</w:t>
      </w:r>
      <w:bookmarkEnd w:id="33"/>
    </w:p>
    <w:p w14:paraId="328C9BDE" w14:textId="77777777" w:rsidR="006B5C0D" w:rsidRPr="006B5C0D" w:rsidRDefault="006B5C0D" w:rsidP="006B5C0D"/>
    <w:tbl>
      <w:tblPr>
        <w:tblStyle w:val="TableGrid"/>
        <w:tblW w:w="0" w:type="auto"/>
        <w:tblLook w:val="04A0" w:firstRow="1" w:lastRow="0" w:firstColumn="1" w:lastColumn="0" w:noHBand="0" w:noVBand="1"/>
      </w:tblPr>
      <w:tblGrid>
        <w:gridCol w:w="9350"/>
      </w:tblGrid>
      <w:tr w:rsidR="006B5C0D" w:rsidRPr="006B5C0D" w14:paraId="73A56E8F" w14:textId="77777777" w:rsidTr="00426190">
        <w:tc>
          <w:tcPr>
            <w:tcW w:w="9350" w:type="dxa"/>
          </w:tcPr>
          <w:p w14:paraId="57445609" w14:textId="77777777" w:rsidR="006B5C0D" w:rsidRPr="006B5C0D" w:rsidRDefault="006B5C0D" w:rsidP="006B5C0D">
            <w:pPr>
              <w:numPr>
                <w:ilvl w:val="0"/>
                <w:numId w:val="8"/>
              </w:numPr>
              <w:spacing w:line="360" w:lineRule="auto"/>
              <w:contextualSpacing/>
              <w:jc w:val="both"/>
              <w:rPr>
                <w:rFonts w:ascii="Arial" w:hAnsi="Arial" w:cs="Arial"/>
                <w:b/>
                <w:bCs/>
                <w:sz w:val="24"/>
                <w:szCs w:val="24"/>
              </w:rPr>
            </w:pPr>
            <w:r w:rsidRPr="006B5C0D">
              <w:rPr>
                <w:rFonts w:ascii="Arial" w:hAnsi="Arial" w:cs="Arial"/>
                <w:b/>
                <w:bCs/>
                <w:sz w:val="24"/>
                <w:szCs w:val="24"/>
              </w:rPr>
              <w:t>Asset turnover = Net sales ÷Total assets</w:t>
            </w:r>
          </w:p>
        </w:tc>
      </w:tr>
      <w:tr w:rsidR="006B5C0D" w:rsidRPr="006B5C0D" w14:paraId="11C5F794" w14:textId="77777777" w:rsidTr="00426190">
        <w:tc>
          <w:tcPr>
            <w:tcW w:w="9350" w:type="dxa"/>
          </w:tcPr>
          <w:p w14:paraId="2C8F553E" w14:textId="77777777" w:rsidR="006B5C0D" w:rsidRPr="006B5C0D" w:rsidRDefault="006B5C0D" w:rsidP="006B5C0D">
            <w:pPr>
              <w:numPr>
                <w:ilvl w:val="0"/>
                <w:numId w:val="8"/>
              </w:numPr>
              <w:spacing w:line="360" w:lineRule="auto"/>
              <w:contextualSpacing/>
              <w:jc w:val="both"/>
              <w:rPr>
                <w:rFonts w:ascii="Arial" w:hAnsi="Arial" w:cs="Arial"/>
                <w:b/>
                <w:bCs/>
                <w:sz w:val="24"/>
                <w:szCs w:val="24"/>
              </w:rPr>
            </w:pPr>
            <w:r w:rsidRPr="006B5C0D">
              <w:rPr>
                <w:rFonts w:ascii="Arial" w:hAnsi="Arial" w:cs="Arial"/>
                <w:b/>
                <w:bCs/>
                <w:sz w:val="24"/>
                <w:szCs w:val="24"/>
              </w:rPr>
              <w:t>Fixed asset turnover = Net sales ÷Property, plant and equipment</w:t>
            </w:r>
          </w:p>
        </w:tc>
      </w:tr>
      <w:tr w:rsidR="006B5C0D" w:rsidRPr="006B5C0D" w14:paraId="0B0B5004" w14:textId="77777777" w:rsidTr="00426190">
        <w:tc>
          <w:tcPr>
            <w:tcW w:w="9350" w:type="dxa"/>
          </w:tcPr>
          <w:p w14:paraId="72B7AA40" w14:textId="77777777" w:rsidR="006B5C0D" w:rsidRPr="006B5C0D" w:rsidRDefault="006B5C0D" w:rsidP="006B5C0D">
            <w:pPr>
              <w:numPr>
                <w:ilvl w:val="0"/>
                <w:numId w:val="8"/>
              </w:numPr>
              <w:spacing w:line="360" w:lineRule="auto"/>
              <w:contextualSpacing/>
              <w:jc w:val="both"/>
              <w:rPr>
                <w:rFonts w:ascii="Arial" w:hAnsi="Arial" w:cs="Arial"/>
                <w:b/>
                <w:bCs/>
                <w:sz w:val="24"/>
                <w:szCs w:val="24"/>
              </w:rPr>
            </w:pPr>
            <w:r w:rsidRPr="006B5C0D">
              <w:rPr>
                <w:rFonts w:ascii="Arial" w:hAnsi="Arial" w:cs="Arial"/>
                <w:b/>
                <w:bCs/>
                <w:sz w:val="24"/>
                <w:szCs w:val="24"/>
              </w:rPr>
              <w:t>Receivable’s days = (Accounts receivable ÷Net sales) × 365</w:t>
            </w:r>
          </w:p>
        </w:tc>
      </w:tr>
      <w:tr w:rsidR="006B5C0D" w:rsidRPr="006B5C0D" w14:paraId="1DAF2E9A" w14:textId="77777777" w:rsidTr="00426190">
        <w:tc>
          <w:tcPr>
            <w:tcW w:w="9350" w:type="dxa"/>
          </w:tcPr>
          <w:p w14:paraId="4C09592F" w14:textId="77777777" w:rsidR="006B5C0D" w:rsidRPr="006B5C0D" w:rsidRDefault="006B5C0D" w:rsidP="006B5C0D">
            <w:pPr>
              <w:numPr>
                <w:ilvl w:val="0"/>
                <w:numId w:val="8"/>
              </w:numPr>
              <w:spacing w:line="360" w:lineRule="auto"/>
              <w:contextualSpacing/>
              <w:jc w:val="both"/>
              <w:rPr>
                <w:rFonts w:ascii="Arial" w:hAnsi="Arial" w:cs="Arial"/>
                <w:b/>
                <w:bCs/>
                <w:sz w:val="24"/>
                <w:szCs w:val="24"/>
              </w:rPr>
            </w:pPr>
            <w:r w:rsidRPr="006B5C0D">
              <w:rPr>
                <w:rFonts w:ascii="Arial" w:hAnsi="Arial" w:cs="Arial"/>
                <w:b/>
                <w:bCs/>
                <w:sz w:val="24"/>
                <w:szCs w:val="24"/>
              </w:rPr>
              <w:t>Inventory days = (Inventories ÷Cost of sales) × 365</w:t>
            </w:r>
          </w:p>
        </w:tc>
      </w:tr>
    </w:tbl>
    <w:p w14:paraId="649B8B35" w14:textId="77777777" w:rsidR="006B5C0D" w:rsidRPr="006B5C0D" w:rsidRDefault="006B5C0D" w:rsidP="006B5C0D"/>
    <w:tbl>
      <w:tblPr>
        <w:tblStyle w:val="TableGrid1"/>
        <w:tblW w:w="0" w:type="auto"/>
        <w:tblLook w:val="04A0" w:firstRow="1" w:lastRow="0" w:firstColumn="1" w:lastColumn="0" w:noHBand="0" w:noVBand="1"/>
      </w:tblPr>
      <w:tblGrid>
        <w:gridCol w:w="1916"/>
        <w:gridCol w:w="2813"/>
        <w:gridCol w:w="951"/>
        <w:gridCol w:w="951"/>
        <w:gridCol w:w="951"/>
        <w:gridCol w:w="817"/>
        <w:gridCol w:w="951"/>
      </w:tblGrid>
      <w:tr w:rsidR="006B5C0D" w:rsidRPr="006B5C0D" w14:paraId="16F8F026" w14:textId="77777777" w:rsidTr="00426190">
        <w:tc>
          <w:tcPr>
            <w:tcW w:w="0" w:type="auto"/>
            <w:hideMark/>
          </w:tcPr>
          <w:p w14:paraId="3E38521C"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Ratio</w:t>
            </w:r>
          </w:p>
        </w:tc>
        <w:tc>
          <w:tcPr>
            <w:tcW w:w="0" w:type="auto"/>
            <w:hideMark/>
          </w:tcPr>
          <w:p w14:paraId="11B2DE8E"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1610B405"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19D6F3C4"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665278C6"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04F02437"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0BAA151F"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7A9971A9" w14:textId="77777777" w:rsidTr="00426190">
        <w:tc>
          <w:tcPr>
            <w:tcW w:w="0" w:type="auto"/>
            <w:hideMark/>
          </w:tcPr>
          <w:p w14:paraId="6721A9E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Asset Turnover</w:t>
            </w:r>
          </w:p>
        </w:tc>
        <w:tc>
          <w:tcPr>
            <w:tcW w:w="0" w:type="auto"/>
            <w:hideMark/>
          </w:tcPr>
          <w:p w14:paraId="117F394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Sales / Total Assets</w:t>
            </w:r>
          </w:p>
        </w:tc>
        <w:tc>
          <w:tcPr>
            <w:tcW w:w="0" w:type="auto"/>
            <w:hideMark/>
          </w:tcPr>
          <w:p w14:paraId="58C4AA56"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1.20</w:t>
            </w:r>
          </w:p>
        </w:tc>
        <w:tc>
          <w:tcPr>
            <w:tcW w:w="0" w:type="auto"/>
            <w:hideMark/>
          </w:tcPr>
          <w:p w14:paraId="0BC78DC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1.18</w:t>
            </w:r>
          </w:p>
        </w:tc>
        <w:tc>
          <w:tcPr>
            <w:tcW w:w="0" w:type="auto"/>
            <w:hideMark/>
          </w:tcPr>
          <w:p w14:paraId="019680F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1.08</w:t>
            </w:r>
          </w:p>
        </w:tc>
        <w:tc>
          <w:tcPr>
            <w:tcW w:w="0" w:type="auto"/>
            <w:hideMark/>
          </w:tcPr>
          <w:p w14:paraId="05DDE7F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1.18</w:t>
            </w:r>
          </w:p>
        </w:tc>
        <w:tc>
          <w:tcPr>
            <w:tcW w:w="0" w:type="auto"/>
            <w:hideMark/>
          </w:tcPr>
          <w:p w14:paraId="2D1786C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1.22</w:t>
            </w:r>
          </w:p>
        </w:tc>
      </w:tr>
      <w:tr w:rsidR="006B5C0D" w:rsidRPr="006B5C0D" w14:paraId="7F6A3BCF" w14:textId="77777777" w:rsidTr="00426190">
        <w:tc>
          <w:tcPr>
            <w:tcW w:w="0" w:type="auto"/>
            <w:hideMark/>
          </w:tcPr>
          <w:p w14:paraId="6BAA4F4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Fixed Asset Turnover</w:t>
            </w:r>
          </w:p>
        </w:tc>
        <w:tc>
          <w:tcPr>
            <w:tcW w:w="0" w:type="auto"/>
            <w:hideMark/>
          </w:tcPr>
          <w:p w14:paraId="7FAF2D3A"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Sales / Property, Plant and Equipment</w:t>
            </w:r>
          </w:p>
        </w:tc>
        <w:tc>
          <w:tcPr>
            <w:tcW w:w="0" w:type="auto"/>
            <w:hideMark/>
          </w:tcPr>
          <w:p w14:paraId="7E67085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7.04</w:t>
            </w:r>
          </w:p>
        </w:tc>
        <w:tc>
          <w:tcPr>
            <w:tcW w:w="0" w:type="auto"/>
            <w:hideMark/>
          </w:tcPr>
          <w:p w14:paraId="51B7348A"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8.06</w:t>
            </w:r>
          </w:p>
        </w:tc>
        <w:tc>
          <w:tcPr>
            <w:tcW w:w="0" w:type="auto"/>
            <w:hideMark/>
          </w:tcPr>
          <w:p w14:paraId="7C676A9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8.64</w:t>
            </w:r>
          </w:p>
        </w:tc>
        <w:tc>
          <w:tcPr>
            <w:tcW w:w="0" w:type="auto"/>
            <w:hideMark/>
          </w:tcPr>
          <w:p w14:paraId="2672437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9.42</w:t>
            </w:r>
          </w:p>
        </w:tc>
        <w:tc>
          <w:tcPr>
            <w:tcW w:w="0" w:type="auto"/>
            <w:hideMark/>
          </w:tcPr>
          <w:p w14:paraId="0892B65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11.54</w:t>
            </w:r>
          </w:p>
        </w:tc>
      </w:tr>
      <w:tr w:rsidR="006B5C0D" w:rsidRPr="006B5C0D" w14:paraId="54391A91" w14:textId="77777777" w:rsidTr="00426190">
        <w:tc>
          <w:tcPr>
            <w:tcW w:w="0" w:type="auto"/>
            <w:hideMark/>
          </w:tcPr>
          <w:p w14:paraId="29857F5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Receivables Days</w:t>
            </w:r>
          </w:p>
        </w:tc>
        <w:tc>
          <w:tcPr>
            <w:tcW w:w="0" w:type="auto"/>
            <w:hideMark/>
          </w:tcPr>
          <w:p w14:paraId="0173124A"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(Trade Receivables / Net Sales) × 365</w:t>
            </w:r>
          </w:p>
        </w:tc>
        <w:tc>
          <w:tcPr>
            <w:tcW w:w="0" w:type="auto"/>
            <w:hideMark/>
          </w:tcPr>
          <w:p w14:paraId="369140A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76.86</w:t>
            </w:r>
          </w:p>
        </w:tc>
        <w:tc>
          <w:tcPr>
            <w:tcW w:w="0" w:type="auto"/>
            <w:hideMark/>
          </w:tcPr>
          <w:p w14:paraId="7D6A211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78.40</w:t>
            </w:r>
          </w:p>
        </w:tc>
        <w:tc>
          <w:tcPr>
            <w:tcW w:w="0" w:type="auto"/>
            <w:hideMark/>
          </w:tcPr>
          <w:p w14:paraId="6B84F75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75.55</w:t>
            </w:r>
          </w:p>
        </w:tc>
        <w:tc>
          <w:tcPr>
            <w:tcW w:w="0" w:type="auto"/>
            <w:hideMark/>
          </w:tcPr>
          <w:p w14:paraId="6711285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97.74</w:t>
            </w:r>
          </w:p>
        </w:tc>
        <w:tc>
          <w:tcPr>
            <w:tcW w:w="0" w:type="auto"/>
            <w:hideMark/>
          </w:tcPr>
          <w:p w14:paraId="184618F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105.54</w:t>
            </w:r>
          </w:p>
        </w:tc>
      </w:tr>
      <w:tr w:rsidR="006B5C0D" w:rsidRPr="006B5C0D" w14:paraId="3DB35864" w14:textId="77777777" w:rsidTr="00426190">
        <w:tc>
          <w:tcPr>
            <w:tcW w:w="0" w:type="auto"/>
            <w:hideMark/>
          </w:tcPr>
          <w:p w14:paraId="2DBD0E2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Inventory Days</w:t>
            </w:r>
          </w:p>
        </w:tc>
        <w:tc>
          <w:tcPr>
            <w:tcW w:w="0" w:type="auto"/>
            <w:hideMark/>
          </w:tcPr>
          <w:p w14:paraId="48D4FA6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(Inventory / Cost of Sales) × 365</w:t>
            </w:r>
          </w:p>
        </w:tc>
        <w:tc>
          <w:tcPr>
            <w:tcW w:w="0" w:type="auto"/>
            <w:hideMark/>
          </w:tcPr>
          <w:p w14:paraId="2D984F5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100.26</w:t>
            </w:r>
          </w:p>
        </w:tc>
        <w:tc>
          <w:tcPr>
            <w:tcW w:w="0" w:type="auto"/>
            <w:hideMark/>
          </w:tcPr>
          <w:p w14:paraId="472970D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114.52</w:t>
            </w:r>
          </w:p>
        </w:tc>
        <w:tc>
          <w:tcPr>
            <w:tcW w:w="0" w:type="auto"/>
            <w:hideMark/>
          </w:tcPr>
          <w:p w14:paraId="1BDB8C1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131.04</w:t>
            </w:r>
          </w:p>
        </w:tc>
        <w:tc>
          <w:tcPr>
            <w:tcW w:w="0" w:type="auto"/>
            <w:hideMark/>
          </w:tcPr>
          <w:p w14:paraId="509A95AA"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99.78</w:t>
            </w:r>
          </w:p>
        </w:tc>
        <w:tc>
          <w:tcPr>
            <w:tcW w:w="0" w:type="auto"/>
            <w:hideMark/>
          </w:tcPr>
          <w:p w14:paraId="556C7AE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103.12</w:t>
            </w:r>
          </w:p>
        </w:tc>
      </w:tr>
    </w:tbl>
    <w:p w14:paraId="2452CCD2"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t>Table 3 : Efficiency Ratios (Self-Prepared)</w:t>
      </w:r>
    </w:p>
    <w:p w14:paraId="17885BA0" w14:textId="77777777" w:rsidR="006B5C0D" w:rsidRPr="006B5C0D" w:rsidRDefault="006B5C0D" w:rsidP="006B5C0D">
      <w:pPr>
        <w:jc w:val="center"/>
        <w:rPr>
          <w:rFonts w:ascii="Arial" w:hAnsi="Arial" w:cs="Arial"/>
          <w:b/>
          <w:bCs/>
          <w:sz w:val="24"/>
          <w:szCs w:val="24"/>
        </w:rPr>
      </w:pPr>
    </w:p>
    <w:p w14:paraId="652FB99A" w14:textId="77777777" w:rsidR="006B5C0D" w:rsidRPr="006B5C0D" w:rsidRDefault="006B5C0D" w:rsidP="006B5C0D">
      <w:pPr>
        <w:jc w:val="center"/>
        <w:rPr>
          <w:rFonts w:ascii="Arial" w:hAnsi="Arial" w:cs="Arial"/>
          <w:b/>
          <w:bCs/>
          <w:sz w:val="24"/>
          <w:szCs w:val="24"/>
        </w:rPr>
      </w:pPr>
      <w:r w:rsidRPr="006B5C0D">
        <w:rPr>
          <w:noProof/>
        </w:rPr>
        <w:lastRenderedPageBreak/>
        <w:drawing>
          <wp:inline distT="0" distB="0" distL="0" distR="0" wp14:anchorId="441BE571" wp14:editId="7D3DEC19">
            <wp:extent cx="5800725" cy="3081338"/>
            <wp:effectExtent l="0" t="0" r="9525" b="5080"/>
            <wp:docPr id="4" name="Chart 4">
              <a:extLst xmlns:a="http://schemas.openxmlformats.org/drawingml/2006/main">
                <a:ext uri="{FF2B5EF4-FFF2-40B4-BE49-F238E27FC236}">
                  <a16:creationId xmlns:a16="http://schemas.microsoft.com/office/drawing/2014/main" id="{4821F612-B3C6-46BD-AA0B-3A95390039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2F036CA"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t>Figure 3:</w:t>
      </w:r>
      <w:r w:rsidRPr="006B5C0D">
        <w:t xml:space="preserve"> </w:t>
      </w:r>
      <w:r w:rsidRPr="006B5C0D">
        <w:rPr>
          <w:rFonts w:ascii="Arial" w:hAnsi="Arial" w:cs="Arial"/>
          <w:b/>
          <w:bCs/>
          <w:sz w:val="24"/>
          <w:szCs w:val="24"/>
        </w:rPr>
        <w:t>Efficiency  Performance Ratios, (2020–2024)</w:t>
      </w:r>
    </w:p>
    <w:p w14:paraId="0472C82A" w14:textId="2E0858BC" w:rsidR="006B5C0D" w:rsidRPr="00125757" w:rsidRDefault="006B5C0D" w:rsidP="00125757">
      <w:pPr>
        <w:pStyle w:val="Heading2"/>
        <w:numPr>
          <w:ilvl w:val="0"/>
          <w:numId w:val="14"/>
        </w:numPr>
        <w:jc w:val="center"/>
        <w:rPr>
          <w:b w:val="0"/>
          <w:bCs/>
        </w:rPr>
      </w:pPr>
      <w:bookmarkStart w:id="34" w:name="_Toc217280921"/>
      <w:r w:rsidRPr="00125757">
        <w:rPr>
          <w:bCs/>
        </w:rPr>
        <w:t>Table A4: Gearing Ratios (2020–2024)</w:t>
      </w:r>
      <w:bookmarkEnd w:id="34"/>
    </w:p>
    <w:p w14:paraId="0F891843" w14:textId="77777777" w:rsidR="00695400" w:rsidRPr="00695400" w:rsidRDefault="00695400" w:rsidP="00695400"/>
    <w:tbl>
      <w:tblPr>
        <w:tblStyle w:val="TableGrid"/>
        <w:tblW w:w="0" w:type="auto"/>
        <w:tblLook w:val="04A0" w:firstRow="1" w:lastRow="0" w:firstColumn="1" w:lastColumn="0" w:noHBand="0" w:noVBand="1"/>
      </w:tblPr>
      <w:tblGrid>
        <w:gridCol w:w="9350"/>
      </w:tblGrid>
      <w:tr w:rsidR="006B5C0D" w:rsidRPr="006B5C0D" w14:paraId="38507789" w14:textId="77777777" w:rsidTr="00426190">
        <w:tc>
          <w:tcPr>
            <w:tcW w:w="9350" w:type="dxa"/>
          </w:tcPr>
          <w:p w14:paraId="4275B293" w14:textId="77777777" w:rsidR="006B5C0D" w:rsidRPr="006B5C0D" w:rsidRDefault="006B5C0D" w:rsidP="006B5C0D">
            <w:pPr>
              <w:numPr>
                <w:ilvl w:val="0"/>
                <w:numId w:val="9"/>
              </w:numPr>
              <w:tabs>
                <w:tab w:val="left" w:pos="1005"/>
              </w:tabs>
              <w:contextualSpacing/>
              <w:jc w:val="both"/>
              <w:rPr>
                <w:rFonts w:ascii="Arial" w:hAnsi="Arial" w:cs="Arial"/>
                <w:b/>
                <w:bCs/>
                <w:sz w:val="24"/>
                <w:szCs w:val="24"/>
              </w:rPr>
            </w:pPr>
            <w:r w:rsidRPr="006B5C0D">
              <w:rPr>
                <w:rFonts w:ascii="Arial" w:hAnsi="Arial" w:cs="Arial"/>
                <w:b/>
                <w:bCs/>
                <w:sz w:val="24"/>
                <w:szCs w:val="24"/>
              </w:rPr>
              <w:t>Interest coverage ratio = EBIT / Interest expense</w:t>
            </w:r>
          </w:p>
        </w:tc>
      </w:tr>
      <w:tr w:rsidR="006B5C0D" w:rsidRPr="006B5C0D" w14:paraId="52C9DD4F" w14:textId="77777777" w:rsidTr="00426190">
        <w:tc>
          <w:tcPr>
            <w:tcW w:w="9350" w:type="dxa"/>
          </w:tcPr>
          <w:p w14:paraId="02069D36" w14:textId="77777777" w:rsidR="006B5C0D" w:rsidRPr="006B5C0D" w:rsidRDefault="006B5C0D" w:rsidP="006B5C0D">
            <w:pPr>
              <w:numPr>
                <w:ilvl w:val="0"/>
                <w:numId w:val="9"/>
              </w:numPr>
              <w:tabs>
                <w:tab w:val="left" w:pos="1005"/>
              </w:tabs>
              <w:contextualSpacing/>
              <w:jc w:val="both"/>
              <w:rPr>
                <w:rFonts w:ascii="Arial" w:hAnsi="Arial" w:cs="Arial"/>
                <w:b/>
                <w:bCs/>
                <w:sz w:val="24"/>
                <w:szCs w:val="24"/>
              </w:rPr>
            </w:pPr>
            <w:r w:rsidRPr="006B5C0D">
              <w:rPr>
                <w:rFonts w:ascii="Arial" w:hAnsi="Arial" w:cs="Arial"/>
                <w:b/>
                <w:bCs/>
                <w:sz w:val="24"/>
                <w:szCs w:val="24"/>
              </w:rPr>
              <w:t>Debt to equity ratio = Total liabilities / Shareholders’ equity</w:t>
            </w:r>
          </w:p>
        </w:tc>
      </w:tr>
      <w:tr w:rsidR="006B5C0D" w:rsidRPr="006B5C0D" w14:paraId="099EC347" w14:textId="77777777" w:rsidTr="00426190">
        <w:trPr>
          <w:trHeight w:val="70"/>
        </w:trPr>
        <w:tc>
          <w:tcPr>
            <w:tcW w:w="9350" w:type="dxa"/>
          </w:tcPr>
          <w:p w14:paraId="253BFE7D" w14:textId="77777777" w:rsidR="006B5C0D" w:rsidRPr="006B5C0D" w:rsidRDefault="006B5C0D" w:rsidP="006B5C0D">
            <w:pPr>
              <w:numPr>
                <w:ilvl w:val="0"/>
                <w:numId w:val="9"/>
              </w:numPr>
              <w:tabs>
                <w:tab w:val="left" w:pos="1005"/>
              </w:tabs>
              <w:contextualSpacing/>
              <w:jc w:val="both"/>
              <w:rPr>
                <w:rFonts w:ascii="Arial" w:hAnsi="Arial" w:cs="Arial"/>
                <w:b/>
                <w:bCs/>
                <w:sz w:val="24"/>
                <w:szCs w:val="24"/>
              </w:rPr>
            </w:pPr>
            <w:r w:rsidRPr="006B5C0D">
              <w:rPr>
                <w:rFonts w:ascii="Arial" w:hAnsi="Arial" w:cs="Arial"/>
                <w:b/>
                <w:bCs/>
                <w:sz w:val="24"/>
                <w:szCs w:val="24"/>
              </w:rPr>
              <w:t>Debt to capital ratio = Total liabilities / (Total liabilities + Shareholders’ equity)</w:t>
            </w:r>
          </w:p>
        </w:tc>
      </w:tr>
      <w:tr w:rsidR="006B5C0D" w:rsidRPr="006B5C0D" w14:paraId="2828951D" w14:textId="77777777" w:rsidTr="00426190">
        <w:tc>
          <w:tcPr>
            <w:tcW w:w="9350" w:type="dxa"/>
          </w:tcPr>
          <w:p w14:paraId="2AB6214F" w14:textId="77777777" w:rsidR="006B5C0D" w:rsidRPr="006B5C0D" w:rsidRDefault="006B5C0D" w:rsidP="006B5C0D">
            <w:pPr>
              <w:numPr>
                <w:ilvl w:val="0"/>
                <w:numId w:val="9"/>
              </w:numPr>
              <w:tabs>
                <w:tab w:val="left" w:pos="1005"/>
              </w:tabs>
              <w:contextualSpacing/>
              <w:jc w:val="both"/>
              <w:rPr>
                <w:rFonts w:ascii="Arial" w:hAnsi="Arial" w:cs="Arial"/>
                <w:b/>
                <w:bCs/>
                <w:sz w:val="24"/>
                <w:szCs w:val="24"/>
              </w:rPr>
            </w:pPr>
            <w:r w:rsidRPr="006B5C0D">
              <w:rPr>
                <w:rFonts w:ascii="Arial" w:hAnsi="Arial" w:cs="Arial"/>
                <w:b/>
                <w:bCs/>
                <w:sz w:val="24"/>
                <w:szCs w:val="24"/>
              </w:rPr>
              <w:t>Equity multiplier = Total assets / Shareholders’ equity</w:t>
            </w:r>
          </w:p>
        </w:tc>
      </w:tr>
    </w:tbl>
    <w:p w14:paraId="37ED42F7" w14:textId="77777777" w:rsidR="006B5C0D" w:rsidRPr="006B5C0D" w:rsidRDefault="006B5C0D" w:rsidP="006B5C0D">
      <w:pPr>
        <w:tabs>
          <w:tab w:val="left" w:pos="1005"/>
        </w:tabs>
        <w:rPr>
          <w:rFonts w:ascii="Arial" w:hAnsi="Arial" w:cs="Arial"/>
          <w:sz w:val="32"/>
          <w:szCs w:val="32"/>
        </w:rPr>
      </w:pPr>
    </w:p>
    <w:tbl>
      <w:tblPr>
        <w:tblStyle w:val="TableGrid2"/>
        <w:tblW w:w="0" w:type="auto"/>
        <w:tblLook w:val="04A0" w:firstRow="1" w:lastRow="0" w:firstColumn="1" w:lastColumn="0" w:noHBand="0" w:noVBand="1"/>
      </w:tblPr>
      <w:tblGrid>
        <w:gridCol w:w="2087"/>
        <w:gridCol w:w="3098"/>
        <w:gridCol w:w="817"/>
        <w:gridCol w:w="817"/>
        <w:gridCol w:w="750"/>
        <w:gridCol w:w="957"/>
        <w:gridCol w:w="824"/>
      </w:tblGrid>
      <w:tr w:rsidR="006B5C0D" w:rsidRPr="006B5C0D" w14:paraId="1D8C9E27" w14:textId="77777777" w:rsidTr="00426190">
        <w:tc>
          <w:tcPr>
            <w:tcW w:w="0" w:type="auto"/>
            <w:hideMark/>
          </w:tcPr>
          <w:p w14:paraId="242ED7DF"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Ratio</w:t>
            </w:r>
          </w:p>
        </w:tc>
        <w:tc>
          <w:tcPr>
            <w:tcW w:w="0" w:type="auto"/>
            <w:hideMark/>
          </w:tcPr>
          <w:p w14:paraId="341C4D32"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3CCA4012"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3608C244"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0911685F"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7BDDCACB"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06B9B620"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412612F2" w14:textId="77777777" w:rsidTr="00426190">
        <w:tc>
          <w:tcPr>
            <w:tcW w:w="0" w:type="auto"/>
            <w:hideMark/>
          </w:tcPr>
          <w:p w14:paraId="369BFE4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Interest Coverage Ratio</w:t>
            </w:r>
          </w:p>
        </w:tc>
        <w:tc>
          <w:tcPr>
            <w:tcW w:w="0" w:type="auto"/>
            <w:hideMark/>
          </w:tcPr>
          <w:p w14:paraId="1977E2C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EBIT / Interest Expense</w:t>
            </w:r>
          </w:p>
        </w:tc>
        <w:tc>
          <w:tcPr>
            <w:tcW w:w="0" w:type="auto"/>
            <w:hideMark/>
          </w:tcPr>
          <w:p w14:paraId="2742FFF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26.21</w:t>
            </w:r>
          </w:p>
        </w:tc>
        <w:tc>
          <w:tcPr>
            <w:tcW w:w="0" w:type="auto"/>
            <w:hideMark/>
          </w:tcPr>
          <w:p w14:paraId="5061CE1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41.08</w:t>
            </w:r>
          </w:p>
        </w:tc>
        <w:tc>
          <w:tcPr>
            <w:tcW w:w="0" w:type="auto"/>
            <w:hideMark/>
          </w:tcPr>
          <w:p w14:paraId="532C26C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6.61</w:t>
            </w:r>
          </w:p>
        </w:tc>
        <w:tc>
          <w:tcPr>
            <w:tcW w:w="0" w:type="auto"/>
            <w:hideMark/>
          </w:tcPr>
          <w:p w14:paraId="5FD801F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−19.70</w:t>
            </w:r>
          </w:p>
        </w:tc>
        <w:tc>
          <w:tcPr>
            <w:tcW w:w="0" w:type="auto"/>
            <w:hideMark/>
          </w:tcPr>
          <w:p w14:paraId="7CCF8B7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−4.55</w:t>
            </w:r>
          </w:p>
        </w:tc>
      </w:tr>
      <w:tr w:rsidR="006B5C0D" w:rsidRPr="006B5C0D" w14:paraId="2E827F3A" w14:textId="77777777" w:rsidTr="00426190">
        <w:tc>
          <w:tcPr>
            <w:tcW w:w="0" w:type="auto"/>
            <w:hideMark/>
          </w:tcPr>
          <w:p w14:paraId="6CB1A91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Debt to Equity Ratio</w:t>
            </w:r>
          </w:p>
        </w:tc>
        <w:tc>
          <w:tcPr>
            <w:tcW w:w="0" w:type="auto"/>
            <w:hideMark/>
          </w:tcPr>
          <w:p w14:paraId="76B1267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Total Liabilities / Shareholders’ Equity</w:t>
            </w:r>
          </w:p>
        </w:tc>
        <w:tc>
          <w:tcPr>
            <w:tcW w:w="0" w:type="auto"/>
            <w:hideMark/>
          </w:tcPr>
          <w:p w14:paraId="051D327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0.63</w:t>
            </w:r>
          </w:p>
        </w:tc>
        <w:tc>
          <w:tcPr>
            <w:tcW w:w="0" w:type="auto"/>
            <w:hideMark/>
          </w:tcPr>
          <w:p w14:paraId="4C24EE1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0.85</w:t>
            </w:r>
          </w:p>
        </w:tc>
        <w:tc>
          <w:tcPr>
            <w:tcW w:w="0" w:type="auto"/>
            <w:hideMark/>
          </w:tcPr>
          <w:p w14:paraId="3FCEEEC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0.88</w:t>
            </w:r>
          </w:p>
        </w:tc>
        <w:tc>
          <w:tcPr>
            <w:tcW w:w="0" w:type="auto"/>
            <w:hideMark/>
          </w:tcPr>
          <w:p w14:paraId="00AB1CE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0.99</w:t>
            </w:r>
          </w:p>
        </w:tc>
        <w:tc>
          <w:tcPr>
            <w:tcW w:w="0" w:type="auto"/>
            <w:hideMark/>
          </w:tcPr>
          <w:p w14:paraId="3F800D1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1.11</w:t>
            </w:r>
          </w:p>
        </w:tc>
      </w:tr>
      <w:tr w:rsidR="006B5C0D" w:rsidRPr="006B5C0D" w14:paraId="3904FD7A" w14:textId="77777777" w:rsidTr="00426190">
        <w:tc>
          <w:tcPr>
            <w:tcW w:w="0" w:type="auto"/>
            <w:hideMark/>
          </w:tcPr>
          <w:p w14:paraId="5F57938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Debt to Capital Ratio</w:t>
            </w:r>
          </w:p>
        </w:tc>
        <w:tc>
          <w:tcPr>
            <w:tcW w:w="0" w:type="auto"/>
            <w:hideMark/>
          </w:tcPr>
          <w:p w14:paraId="3DC3C2D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Total Liabilities / (Debt + Equity)</w:t>
            </w:r>
          </w:p>
        </w:tc>
        <w:tc>
          <w:tcPr>
            <w:tcW w:w="0" w:type="auto"/>
            <w:hideMark/>
          </w:tcPr>
          <w:p w14:paraId="1A16844E"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0.39</w:t>
            </w:r>
          </w:p>
        </w:tc>
        <w:tc>
          <w:tcPr>
            <w:tcW w:w="0" w:type="auto"/>
            <w:hideMark/>
          </w:tcPr>
          <w:p w14:paraId="6CDE61C6"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0.46</w:t>
            </w:r>
          </w:p>
        </w:tc>
        <w:tc>
          <w:tcPr>
            <w:tcW w:w="0" w:type="auto"/>
            <w:hideMark/>
          </w:tcPr>
          <w:p w14:paraId="2A59E70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0.47</w:t>
            </w:r>
          </w:p>
        </w:tc>
        <w:tc>
          <w:tcPr>
            <w:tcW w:w="0" w:type="auto"/>
            <w:hideMark/>
          </w:tcPr>
          <w:p w14:paraId="560112B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0.50</w:t>
            </w:r>
          </w:p>
        </w:tc>
        <w:tc>
          <w:tcPr>
            <w:tcW w:w="0" w:type="auto"/>
            <w:hideMark/>
          </w:tcPr>
          <w:p w14:paraId="0237FD8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0.53</w:t>
            </w:r>
          </w:p>
        </w:tc>
      </w:tr>
      <w:tr w:rsidR="006B5C0D" w:rsidRPr="006B5C0D" w14:paraId="6AB2CECE" w14:textId="77777777" w:rsidTr="00426190">
        <w:tc>
          <w:tcPr>
            <w:tcW w:w="0" w:type="auto"/>
            <w:hideMark/>
          </w:tcPr>
          <w:p w14:paraId="0F7D135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Equity Multiplier</w:t>
            </w:r>
          </w:p>
        </w:tc>
        <w:tc>
          <w:tcPr>
            <w:tcW w:w="0" w:type="auto"/>
            <w:hideMark/>
          </w:tcPr>
          <w:p w14:paraId="4C5B5E7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Total Assets / Shareholders’ Equity</w:t>
            </w:r>
          </w:p>
        </w:tc>
        <w:tc>
          <w:tcPr>
            <w:tcW w:w="0" w:type="auto"/>
            <w:hideMark/>
          </w:tcPr>
          <w:p w14:paraId="6844237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1.63</w:t>
            </w:r>
          </w:p>
        </w:tc>
        <w:tc>
          <w:tcPr>
            <w:tcW w:w="0" w:type="auto"/>
            <w:hideMark/>
          </w:tcPr>
          <w:p w14:paraId="19109DF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1.85</w:t>
            </w:r>
          </w:p>
        </w:tc>
        <w:tc>
          <w:tcPr>
            <w:tcW w:w="0" w:type="auto"/>
            <w:hideMark/>
          </w:tcPr>
          <w:p w14:paraId="2D87CBA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1.88</w:t>
            </w:r>
          </w:p>
        </w:tc>
        <w:tc>
          <w:tcPr>
            <w:tcW w:w="0" w:type="auto"/>
            <w:hideMark/>
          </w:tcPr>
          <w:p w14:paraId="4D9C290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1.99</w:t>
            </w:r>
          </w:p>
        </w:tc>
        <w:tc>
          <w:tcPr>
            <w:tcW w:w="0" w:type="auto"/>
            <w:hideMark/>
          </w:tcPr>
          <w:p w14:paraId="7ADF7C5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2.11</w:t>
            </w:r>
          </w:p>
        </w:tc>
      </w:tr>
    </w:tbl>
    <w:p w14:paraId="68B49890" w14:textId="77777777" w:rsidR="006B5C0D" w:rsidRPr="006B5C0D" w:rsidRDefault="006B5C0D" w:rsidP="006B5C0D">
      <w:pPr>
        <w:jc w:val="center"/>
        <w:rPr>
          <w:b/>
          <w:bCs/>
          <w:sz w:val="28"/>
          <w:szCs w:val="28"/>
        </w:rPr>
      </w:pPr>
      <w:r w:rsidRPr="006B5C0D">
        <w:rPr>
          <w:b/>
          <w:bCs/>
          <w:sz w:val="28"/>
          <w:szCs w:val="28"/>
        </w:rPr>
        <w:t>Table 4: Gearing Ratios (Self-Prepared)</w:t>
      </w:r>
    </w:p>
    <w:p w14:paraId="734DC372" w14:textId="77777777" w:rsidR="006B5C0D" w:rsidRPr="006B5C0D" w:rsidRDefault="006B5C0D" w:rsidP="006B5C0D">
      <w:pPr>
        <w:tabs>
          <w:tab w:val="left" w:pos="1005"/>
        </w:tabs>
        <w:rPr>
          <w:rFonts w:ascii="Arial" w:hAnsi="Arial" w:cs="Arial"/>
          <w:sz w:val="32"/>
          <w:szCs w:val="32"/>
        </w:rPr>
      </w:pPr>
      <w:r w:rsidRPr="006B5C0D">
        <w:rPr>
          <w:noProof/>
        </w:rPr>
        <w:lastRenderedPageBreak/>
        <w:drawing>
          <wp:inline distT="0" distB="0" distL="0" distR="0" wp14:anchorId="4B97894C" wp14:editId="0F7AF929">
            <wp:extent cx="5876925" cy="3486150"/>
            <wp:effectExtent l="0" t="0" r="9525" b="0"/>
            <wp:docPr id="11" name="Chart 11">
              <a:extLst xmlns:a="http://schemas.openxmlformats.org/drawingml/2006/main">
                <a:ext uri="{FF2B5EF4-FFF2-40B4-BE49-F238E27FC236}">
                  <a16:creationId xmlns:a16="http://schemas.microsoft.com/office/drawing/2014/main" id="{53D95A6E-DE58-45F3-BEF8-B807C3C0CC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94FE547" w14:textId="77777777" w:rsidR="006B5C0D" w:rsidRPr="006B5C0D" w:rsidRDefault="006B5C0D" w:rsidP="006B5C0D">
      <w:pPr>
        <w:tabs>
          <w:tab w:val="left" w:pos="1005"/>
        </w:tabs>
        <w:jc w:val="center"/>
        <w:rPr>
          <w:rFonts w:ascii="Arial" w:hAnsi="Arial" w:cs="Arial"/>
          <w:b/>
          <w:bCs/>
          <w:sz w:val="24"/>
          <w:szCs w:val="24"/>
        </w:rPr>
      </w:pPr>
      <w:r w:rsidRPr="006B5C0D">
        <w:rPr>
          <w:rFonts w:ascii="Arial" w:hAnsi="Arial" w:cs="Arial"/>
          <w:b/>
          <w:bCs/>
          <w:sz w:val="24"/>
          <w:szCs w:val="24"/>
        </w:rPr>
        <w:t>Figure 4: Gearing Ratios, (2020–2024)</w:t>
      </w:r>
    </w:p>
    <w:p w14:paraId="591B87D1" w14:textId="464180E4" w:rsidR="006B5C0D" w:rsidRDefault="006B5C0D" w:rsidP="00125757">
      <w:pPr>
        <w:pStyle w:val="Heading2"/>
        <w:numPr>
          <w:ilvl w:val="0"/>
          <w:numId w:val="9"/>
        </w:numPr>
        <w:jc w:val="center"/>
        <w:rPr>
          <w:b w:val="0"/>
          <w:bCs/>
        </w:rPr>
      </w:pPr>
      <w:bookmarkStart w:id="35" w:name="_Toc217280922"/>
      <w:r w:rsidRPr="00125757">
        <w:rPr>
          <w:bCs/>
        </w:rPr>
        <w:t>Table A5: Investment Ratios (2020–2024)</w:t>
      </w:r>
      <w:bookmarkEnd w:id="35"/>
    </w:p>
    <w:p w14:paraId="7A44CB5A" w14:textId="77777777" w:rsidR="00125757" w:rsidRPr="00125757" w:rsidRDefault="00125757" w:rsidP="00125757"/>
    <w:tbl>
      <w:tblPr>
        <w:tblStyle w:val="TableGrid"/>
        <w:tblW w:w="0" w:type="auto"/>
        <w:tblLook w:val="04A0" w:firstRow="1" w:lastRow="0" w:firstColumn="1" w:lastColumn="0" w:noHBand="0" w:noVBand="1"/>
      </w:tblPr>
      <w:tblGrid>
        <w:gridCol w:w="9350"/>
      </w:tblGrid>
      <w:tr w:rsidR="006B5C0D" w:rsidRPr="006B5C0D" w14:paraId="0EE200B5" w14:textId="77777777" w:rsidTr="00426190">
        <w:tc>
          <w:tcPr>
            <w:tcW w:w="9350" w:type="dxa"/>
          </w:tcPr>
          <w:p w14:paraId="10365184" w14:textId="77777777" w:rsidR="006B5C0D" w:rsidRPr="006B5C0D" w:rsidRDefault="006B5C0D" w:rsidP="006B5C0D">
            <w:pPr>
              <w:numPr>
                <w:ilvl w:val="0"/>
                <w:numId w:val="10"/>
              </w:numPr>
              <w:contextualSpacing/>
              <w:jc w:val="both"/>
              <w:rPr>
                <w:rFonts w:ascii="Arial" w:hAnsi="Arial" w:cs="Arial"/>
                <w:b/>
                <w:bCs/>
                <w:sz w:val="24"/>
                <w:szCs w:val="24"/>
              </w:rPr>
            </w:pPr>
            <w:r w:rsidRPr="006B5C0D">
              <w:rPr>
                <w:rFonts w:ascii="Arial" w:hAnsi="Arial" w:cs="Arial"/>
                <w:b/>
                <w:bCs/>
                <w:sz w:val="24"/>
                <w:szCs w:val="24"/>
              </w:rPr>
              <w:t>Earnings per share = Net income / Shares outstanding</w:t>
            </w:r>
          </w:p>
        </w:tc>
      </w:tr>
      <w:tr w:rsidR="006B5C0D" w:rsidRPr="006B5C0D" w14:paraId="6EFD45D0" w14:textId="77777777" w:rsidTr="00426190">
        <w:tc>
          <w:tcPr>
            <w:tcW w:w="9350" w:type="dxa"/>
          </w:tcPr>
          <w:p w14:paraId="0F41EBBC" w14:textId="77777777" w:rsidR="006B5C0D" w:rsidRPr="006B5C0D" w:rsidRDefault="006B5C0D" w:rsidP="006B5C0D">
            <w:pPr>
              <w:numPr>
                <w:ilvl w:val="0"/>
                <w:numId w:val="10"/>
              </w:numPr>
              <w:contextualSpacing/>
              <w:jc w:val="both"/>
              <w:rPr>
                <w:rFonts w:ascii="Arial" w:hAnsi="Arial" w:cs="Arial"/>
                <w:b/>
                <w:bCs/>
                <w:sz w:val="24"/>
                <w:szCs w:val="24"/>
              </w:rPr>
            </w:pPr>
            <w:r w:rsidRPr="006B5C0D">
              <w:rPr>
                <w:rFonts w:ascii="Arial" w:hAnsi="Arial" w:cs="Arial"/>
                <w:b/>
                <w:bCs/>
                <w:sz w:val="24"/>
                <w:szCs w:val="24"/>
              </w:rPr>
              <w:t>Price to earnings ratio = Market price per share / Earnings per share</w:t>
            </w:r>
          </w:p>
        </w:tc>
      </w:tr>
      <w:tr w:rsidR="006B5C0D" w:rsidRPr="006B5C0D" w14:paraId="2397E60F" w14:textId="77777777" w:rsidTr="00426190">
        <w:tc>
          <w:tcPr>
            <w:tcW w:w="9350" w:type="dxa"/>
          </w:tcPr>
          <w:p w14:paraId="056C3773" w14:textId="77777777" w:rsidR="006B5C0D" w:rsidRPr="006B5C0D" w:rsidRDefault="006B5C0D" w:rsidP="006B5C0D">
            <w:pPr>
              <w:numPr>
                <w:ilvl w:val="0"/>
                <w:numId w:val="10"/>
              </w:numPr>
              <w:contextualSpacing/>
              <w:jc w:val="both"/>
              <w:rPr>
                <w:rFonts w:ascii="Arial" w:hAnsi="Arial" w:cs="Arial"/>
                <w:b/>
                <w:bCs/>
                <w:sz w:val="24"/>
                <w:szCs w:val="24"/>
              </w:rPr>
            </w:pPr>
            <w:r w:rsidRPr="006B5C0D">
              <w:rPr>
                <w:rFonts w:ascii="Arial" w:hAnsi="Arial" w:cs="Arial"/>
                <w:b/>
                <w:bCs/>
                <w:sz w:val="24"/>
                <w:szCs w:val="24"/>
              </w:rPr>
              <w:t>Return on equity = Net income / Shareholders’ equity</w:t>
            </w:r>
          </w:p>
        </w:tc>
      </w:tr>
      <w:tr w:rsidR="006B5C0D" w:rsidRPr="006B5C0D" w14:paraId="5C254D08" w14:textId="77777777" w:rsidTr="00426190">
        <w:tc>
          <w:tcPr>
            <w:tcW w:w="9350" w:type="dxa"/>
          </w:tcPr>
          <w:p w14:paraId="15619888" w14:textId="77777777" w:rsidR="006B5C0D" w:rsidRPr="006B5C0D" w:rsidRDefault="006B5C0D" w:rsidP="006B5C0D">
            <w:pPr>
              <w:numPr>
                <w:ilvl w:val="0"/>
                <w:numId w:val="10"/>
              </w:numPr>
              <w:contextualSpacing/>
              <w:jc w:val="both"/>
              <w:rPr>
                <w:rFonts w:ascii="Arial" w:hAnsi="Arial" w:cs="Arial"/>
                <w:b/>
                <w:bCs/>
                <w:sz w:val="24"/>
                <w:szCs w:val="24"/>
              </w:rPr>
            </w:pPr>
            <w:r w:rsidRPr="006B5C0D">
              <w:rPr>
                <w:rFonts w:ascii="Arial" w:hAnsi="Arial" w:cs="Arial"/>
                <w:b/>
                <w:bCs/>
                <w:sz w:val="24"/>
                <w:szCs w:val="24"/>
              </w:rPr>
              <w:t>Return on assets = Net income / Total assets</w:t>
            </w:r>
          </w:p>
        </w:tc>
      </w:tr>
    </w:tbl>
    <w:p w14:paraId="1E090B84" w14:textId="77777777" w:rsidR="006B5C0D" w:rsidRPr="006B5C0D" w:rsidRDefault="006B5C0D" w:rsidP="006B5C0D">
      <w:pPr>
        <w:rPr>
          <w:rFonts w:ascii="Arial" w:hAnsi="Arial" w:cs="Arial"/>
          <w:sz w:val="24"/>
          <w:szCs w:val="24"/>
        </w:rPr>
      </w:pPr>
      <w:r w:rsidRPr="006B5C0D">
        <w:rPr>
          <w:rFonts w:ascii="Arial" w:hAnsi="Arial" w:cs="Arial"/>
          <w:sz w:val="24"/>
          <w:szCs w:val="24"/>
        </w:rPr>
        <w:t>Assumed market price per share: £120</w:t>
      </w:r>
    </w:p>
    <w:tbl>
      <w:tblPr>
        <w:tblStyle w:val="TableGrid3"/>
        <w:tblW w:w="0" w:type="auto"/>
        <w:tblLook w:val="04A0" w:firstRow="1" w:lastRow="0" w:firstColumn="1" w:lastColumn="0" w:noHBand="0" w:noVBand="1"/>
      </w:tblPr>
      <w:tblGrid>
        <w:gridCol w:w="1409"/>
        <w:gridCol w:w="1929"/>
        <w:gridCol w:w="1030"/>
        <w:gridCol w:w="951"/>
        <w:gridCol w:w="1151"/>
        <w:gridCol w:w="1440"/>
        <w:gridCol w:w="1440"/>
      </w:tblGrid>
      <w:tr w:rsidR="006B5C0D" w:rsidRPr="006B5C0D" w14:paraId="62EE67B8" w14:textId="77777777" w:rsidTr="00426190">
        <w:tc>
          <w:tcPr>
            <w:tcW w:w="0" w:type="auto"/>
            <w:hideMark/>
          </w:tcPr>
          <w:p w14:paraId="5C0B9819"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Ratio</w:t>
            </w:r>
          </w:p>
        </w:tc>
        <w:tc>
          <w:tcPr>
            <w:tcW w:w="0" w:type="auto"/>
            <w:hideMark/>
          </w:tcPr>
          <w:p w14:paraId="43D6EC6B"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2738AFF2"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44C2A00B"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7982AA9F"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24D893CB"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23AA9A4E"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3442C772" w14:textId="77777777" w:rsidTr="00426190">
        <w:tc>
          <w:tcPr>
            <w:tcW w:w="0" w:type="auto"/>
            <w:hideMark/>
          </w:tcPr>
          <w:p w14:paraId="6F0DDF5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Earnings per Share (EPS) (£)</w:t>
            </w:r>
          </w:p>
        </w:tc>
        <w:tc>
          <w:tcPr>
            <w:tcW w:w="0" w:type="auto"/>
            <w:hideMark/>
          </w:tcPr>
          <w:p w14:paraId="023D590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Net Income / Shares Outstanding</w:t>
            </w:r>
          </w:p>
        </w:tc>
        <w:tc>
          <w:tcPr>
            <w:tcW w:w="0" w:type="auto"/>
            <w:hideMark/>
          </w:tcPr>
          <w:p w14:paraId="068E492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2.78</w:t>
            </w:r>
          </w:p>
        </w:tc>
        <w:tc>
          <w:tcPr>
            <w:tcW w:w="0" w:type="auto"/>
            <w:hideMark/>
          </w:tcPr>
          <w:p w14:paraId="1B981EB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0.39</w:t>
            </w:r>
          </w:p>
        </w:tc>
        <w:tc>
          <w:tcPr>
            <w:tcW w:w="0" w:type="auto"/>
            <w:hideMark/>
          </w:tcPr>
          <w:p w14:paraId="35DEB43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0.03</w:t>
            </w:r>
          </w:p>
        </w:tc>
        <w:tc>
          <w:tcPr>
            <w:tcW w:w="0" w:type="auto"/>
            <w:hideMark/>
          </w:tcPr>
          <w:p w14:paraId="3BB3EAC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−7.64</w:t>
            </w:r>
          </w:p>
        </w:tc>
        <w:tc>
          <w:tcPr>
            <w:tcW w:w="0" w:type="auto"/>
            <w:hideMark/>
          </w:tcPr>
          <w:p w14:paraId="0043633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−1.85</w:t>
            </w:r>
          </w:p>
        </w:tc>
      </w:tr>
      <w:tr w:rsidR="006B5C0D" w:rsidRPr="006B5C0D" w14:paraId="25E75D1D" w14:textId="77777777" w:rsidTr="00426190">
        <w:tc>
          <w:tcPr>
            <w:tcW w:w="0" w:type="auto"/>
            <w:hideMark/>
          </w:tcPr>
          <w:p w14:paraId="00EA214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Price–Earnings Ratio</w:t>
            </w:r>
          </w:p>
        </w:tc>
        <w:tc>
          <w:tcPr>
            <w:tcW w:w="0" w:type="auto"/>
            <w:hideMark/>
          </w:tcPr>
          <w:p w14:paraId="310C7AB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Market Price per Share / EPS</w:t>
            </w:r>
          </w:p>
        </w:tc>
        <w:tc>
          <w:tcPr>
            <w:tcW w:w="0" w:type="auto"/>
            <w:hideMark/>
          </w:tcPr>
          <w:p w14:paraId="46CD707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43.17</w:t>
            </w:r>
          </w:p>
        </w:tc>
        <w:tc>
          <w:tcPr>
            <w:tcW w:w="0" w:type="auto"/>
            <w:hideMark/>
          </w:tcPr>
          <w:p w14:paraId="526149D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304.81</w:t>
            </w:r>
          </w:p>
        </w:tc>
        <w:tc>
          <w:tcPr>
            <w:tcW w:w="0" w:type="auto"/>
            <w:hideMark/>
          </w:tcPr>
          <w:p w14:paraId="795B420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3,745.36</w:t>
            </w:r>
          </w:p>
        </w:tc>
        <w:tc>
          <w:tcPr>
            <w:tcW w:w="0" w:type="auto"/>
            <w:hideMark/>
          </w:tcPr>
          <w:p w14:paraId="3D000C56"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Not meaningful</w:t>
            </w:r>
          </w:p>
        </w:tc>
        <w:tc>
          <w:tcPr>
            <w:tcW w:w="0" w:type="auto"/>
            <w:hideMark/>
          </w:tcPr>
          <w:p w14:paraId="45E60F5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Not meaningful</w:t>
            </w:r>
          </w:p>
        </w:tc>
      </w:tr>
      <w:tr w:rsidR="006B5C0D" w:rsidRPr="006B5C0D" w14:paraId="50070D7F" w14:textId="77777777" w:rsidTr="00426190">
        <w:tc>
          <w:tcPr>
            <w:tcW w:w="0" w:type="auto"/>
            <w:hideMark/>
          </w:tcPr>
          <w:p w14:paraId="37EBF99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Return on Equity (ROE)</w:t>
            </w:r>
          </w:p>
        </w:tc>
        <w:tc>
          <w:tcPr>
            <w:tcW w:w="0" w:type="auto"/>
            <w:hideMark/>
          </w:tcPr>
          <w:p w14:paraId="72D266A6"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EBIT / Shareholders’ Equity</w:t>
            </w:r>
          </w:p>
        </w:tc>
        <w:tc>
          <w:tcPr>
            <w:tcW w:w="0" w:type="auto"/>
            <w:hideMark/>
          </w:tcPr>
          <w:p w14:paraId="0CB8DDE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11.89%</w:t>
            </w:r>
          </w:p>
        </w:tc>
        <w:tc>
          <w:tcPr>
            <w:tcW w:w="0" w:type="auto"/>
            <w:hideMark/>
          </w:tcPr>
          <w:p w14:paraId="2B249FA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8.43%</w:t>
            </w:r>
          </w:p>
        </w:tc>
        <w:tc>
          <w:tcPr>
            <w:tcW w:w="0" w:type="auto"/>
            <w:hideMark/>
          </w:tcPr>
          <w:p w14:paraId="370ED71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5.42%</w:t>
            </w:r>
          </w:p>
        </w:tc>
        <w:tc>
          <w:tcPr>
            <w:tcW w:w="0" w:type="auto"/>
            <w:hideMark/>
          </w:tcPr>
          <w:p w14:paraId="4F5E510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−47.68%</w:t>
            </w:r>
          </w:p>
        </w:tc>
        <w:tc>
          <w:tcPr>
            <w:tcW w:w="0" w:type="auto"/>
            <w:hideMark/>
          </w:tcPr>
          <w:p w14:paraId="7056E11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−9.99%</w:t>
            </w:r>
          </w:p>
        </w:tc>
      </w:tr>
    </w:tbl>
    <w:p w14:paraId="399D93A2"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lastRenderedPageBreak/>
        <w:t>Table 5: Investment Ratios (Self-Prepared)</w:t>
      </w:r>
    </w:p>
    <w:p w14:paraId="6D35872A" w14:textId="77777777" w:rsidR="006B5C0D" w:rsidRPr="006B5C0D" w:rsidRDefault="006B5C0D" w:rsidP="006B5C0D">
      <w:pPr>
        <w:jc w:val="center"/>
        <w:rPr>
          <w:rFonts w:ascii="Arial" w:hAnsi="Arial" w:cs="Arial"/>
          <w:b/>
          <w:bCs/>
          <w:sz w:val="24"/>
          <w:szCs w:val="24"/>
        </w:rPr>
      </w:pPr>
      <w:r w:rsidRPr="006B5C0D">
        <w:rPr>
          <w:noProof/>
        </w:rPr>
        <w:drawing>
          <wp:inline distT="0" distB="0" distL="0" distR="0" wp14:anchorId="7BB5577B" wp14:editId="76EA15B9">
            <wp:extent cx="5572125" cy="3124200"/>
            <wp:effectExtent l="0" t="0" r="9525" b="0"/>
            <wp:docPr id="6" name="Chart 6">
              <a:extLst xmlns:a="http://schemas.openxmlformats.org/drawingml/2006/main">
                <a:ext uri="{FF2B5EF4-FFF2-40B4-BE49-F238E27FC236}">
                  <a16:creationId xmlns:a16="http://schemas.microsoft.com/office/drawing/2014/main" id="{57EFFE0E-F843-4CEA-910D-353A3DACD4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98F43E1" w14:textId="77777777" w:rsidR="006B5C0D" w:rsidRPr="006B5C0D" w:rsidRDefault="006B5C0D" w:rsidP="006B5C0D">
      <w:pPr>
        <w:jc w:val="center"/>
        <w:rPr>
          <w:rFonts w:ascii="Arial" w:hAnsi="Arial" w:cs="Arial"/>
          <w:b/>
          <w:bCs/>
          <w:sz w:val="24"/>
          <w:szCs w:val="24"/>
        </w:rPr>
      </w:pPr>
      <w:r w:rsidRPr="006B5C0D">
        <w:rPr>
          <w:rFonts w:ascii="Arial" w:hAnsi="Arial" w:cs="Arial"/>
          <w:b/>
          <w:bCs/>
          <w:sz w:val="24"/>
          <w:szCs w:val="24"/>
        </w:rPr>
        <w:t>Figure 5: Investment Ratios, (2020–2024)</w:t>
      </w:r>
    </w:p>
    <w:p w14:paraId="482BDEB0" w14:textId="77777777" w:rsidR="006B5C0D" w:rsidRPr="006B5C0D" w:rsidRDefault="006B5C0D" w:rsidP="006B5C0D">
      <w:pPr>
        <w:jc w:val="center"/>
        <w:rPr>
          <w:rFonts w:ascii="Arial" w:hAnsi="Arial" w:cs="Arial"/>
          <w:b/>
          <w:bCs/>
          <w:sz w:val="24"/>
          <w:szCs w:val="24"/>
        </w:rPr>
      </w:pPr>
    </w:p>
    <w:p w14:paraId="560AD882" w14:textId="77777777" w:rsidR="006B5C0D" w:rsidRPr="00125757" w:rsidRDefault="006B5C0D" w:rsidP="00125757">
      <w:pPr>
        <w:pStyle w:val="Heading2"/>
        <w:jc w:val="center"/>
        <w:rPr>
          <w:b w:val="0"/>
          <w:bCs/>
        </w:rPr>
      </w:pPr>
      <w:bookmarkStart w:id="36" w:name="_Toc217280923"/>
      <w:r w:rsidRPr="00125757">
        <w:rPr>
          <w:bCs/>
        </w:rPr>
        <w:t>6.</w:t>
      </w:r>
      <w:r w:rsidRPr="00125757">
        <w:rPr>
          <w:bCs/>
          <w:szCs w:val="28"/>
        </w:rPr>
        <w:t xml:space="preserve"> </w:t>
      </w:r>
      <w:r w:rsidRPr="00125757">
        <w:rPr>
          <w:bCs/>
        </w:rPr>
        <w:t>Table A6: Cash Flow Ratios (2020–2024)</w:t>
      </w:r>
      <w:bookmarkEnd w:id="36"/>
    </w:p>
    <w:p w14:paraId="7920D382" w14:textId="77777777" w:rsidR="006B5C0D" w:rsidRPr="006B5C0D" w:rsidRDefault="006B5C0D" w:rsidP="006B5C0D">
      <w:pPr>
        <w:rPr>
          <w:rFonts w:ascii="Arial" w:hAnsi="Arial" w:cs="Arial"/>
          <w:b/>
          <w:bCs/>
          <w:sz w:val="32"/>
          <w:szCs w:val="32"/>
        </w:rPr>
      </w:pPr>
    </w:p>
    <w:tbl>
      <w:tblPr>
        <w:tblStyle w:val="TableGrid"/>
        <w:tblW w:w="0" w:type="auto"/>
        <w:tblLook w:val="04A0" w:firstRow="1" w:lastRow="0" w:firstColumn="1" w:lastColumn="0" w:noHBand="0" w:noVBand="1"/>
      </w:tblPr>
      <w:tblGrid>
        <w:gridCol w:w="9350"/>
      </w:tblGrid>
      <w:tr w:rsidR="006B5C0D" w:rsidRPr="006B5C0D" w14:paraId="0851AED2" w14:textId="77777777" w:rsidTr="00426190">
        <w:tc>
          <w:tcPr>
            <w:tcW w:w="9350" w:type="dxa"/>
          </w:tcPr>
          <w:p w14:paraId="7B5F0BB9" w14:textId="77777777" w:rsidR="006B5C0D" w:rsidRPr="006B5C0D" w:rsidRDefault="006B5C0D" w:rsidP="006B5C0D">
            <w:pPr>
              <w:numPr>
                <w:ilvl w:val="0"/>
                <w:numId w:val="11"/>
              </w:numPr>
              <w:contextualSpacing/>
              <w:rPr>
                <w:rFonts w:ascii="Arial" w:hAnsi="Arial" w:cs="Arial"/>
                <w:b/>
                <w:bCs/>
                <w:sz w:val="24"/>
                <w:szCs w:val="24"/>
              </w:rPr>
            </w:pPr>
            <w:r w:rsidRPr="006B5C0D">
              <w:rPr>
                <w:rFonts w:ascii="Arial" w:hAnsi="Arial" w:cs="Arial"/>
                <w:b/>
                <w:bCs/>
                <w:sz w:val="24"/>
                <w:szCs w:val="24"/>
              </w:rPr>
              <w:t>Operating cash flow ratio = Operating cash flow / Current liabilities</w:t>
            </w:r>
          </w:p>
        </w:tc>
      </w:tr>
      <w:tr w:rsidR="006B5C0D" w:rsidRPr="006B5C0D" w14:paraId="3348CA2F" w14:textId="77777777" w:rsidTr="00426190">
        <w:tc>
          <w:tcPr>
            <w:tcW w:w="9350" w:type="dxa"/>
          </w:tcPr>
          <w:p w14:paraId="40AC7672" w14:textId="77777777" w:rsidR="006B5C0D" w:rsidRPr="006B5C0D" w:rsidRDefault="006B5C0D" w:rsidP="006B5C0D">
            <w:pPr>
              <w:numPr>
                <w:ilvl w:val="0"/>
                <w:numId w:val="11"/>
              </w:numPr>
              <w:contextualSpacing/>
              <w:rPr>
                <w:rFonts w:ascii="Arial" w:hAnsi="Arial" w:cs="Arial"/>
                <w:b/>
                <w:bCs/>
                <w:sz w:val="24"/>
                <w:szCs w:val="24"/>
              </w:rPr>
            </w:pPr>
            <w:r w:rsidRPr="006B5C0D">
              <w:rPr>
                <w:rFonts w:ascii="Arial" w:hAnsi="Arial" w:cs="Arial"/>
                <w:b/>
                <w:bCs/>
                <w:sz w:val="24"/>
                <w:szCs w:val="24"/>
              </w:rPr>
              <w:t>Cash flow to debt ratio = Operating cash flow / Total liabilities</w:t>
            </w:r>
          </w:p>
        </w:tc>
      </w:tr>
      <w:tr w:rsidR="006B5C0D" w:rsidRPr="006B5C0D" w14:paraId="18BEBC65" w14:textId="77777777" w:rsidTr="00426190">
        <w:tc>
          <w:tcPr>
            <w:tcW w:w="9350" w:type="dxa"/>
          </w:tcPr>
          <w:p w14:paraId="0A812D97" w14:textId="77777777" w:rsidR="006B5C0D" w:rsidRPr="006B5C0D" w:rsidRDefault="006B5C0D" w:rsidP="006B5C0D">
            <w:pPr>
              <w:numPr>
                <w:ilvl w:val="0"/>
                <w:numId w:val="11"/>
              </w:numPr>
              <w:contextualSpacing/>
              <w:rPr>
                <w:rFonts w:ascii="Arial" w:hAnsi="Arial" w:cs="Arial"/>
                <w:b/>
                <w:bCs/>
                <w:sz w:val="24"/>
                <w:szCs w:val="24"/>
              </w:rPr>
            </w:pPr>
            <w:r w:rsidRPr="006B5C0D">
              <w:rPr>
                <w:rFonts w:ascii="Arial" w:hAnsi="Arial" w:cs="Arial"/>
                <w:b/>
                <w:bCs/>
                <w:sz w:val="24"/>
                <w:szCs w:val="24"/>
              </w:rPr>
              <w:t>Cash flow margin = Operating cash flow / Net sales</w:t>
            </w:r>
          </w:p>
        </w:tc>
      </w:tr>
    </w:tbl>
    <w:p w14:paraId="684E2D8E" w14:textId="77777777" w:rsidR="006B5C0D" w:rsidRPr="006B5C0D" w:rsidRDefault="006B5C0D" w:rsidP="006B5C0D">
      <w:pPr>
        <w:ind w:firstLine="720"/>
        <w:rPr>
          <w:rFonts w:ascii="Arial" w:hAnsi="Arial" w:cs="Arial"/>
          <w:sz w:val="32"/>
          <w:szCs w:val="32"/>
        </w:rPr>
      </w:pPr>
    </w:p>
    <w:tbl>
      <w:tblPr>
        <w:tblStyle w:val="TableGrid4"/>
        <w:tblW w:w="0" w:type="auto"/>
        <w:tblLook w:val="04A0" w:firstRow="1" w:lastRow="0" w:firstColumn="1" w:lastColumn="0" w:noHBand="0" w:noVBand="1"/>
      </w:tblPr>
      <w:tblGrid>
        <w:gridCol w:w="2058"/>
        <w:gridCol w:w="2674"/>
        <w:gridCol w:w="1030"/>
        <w:gridCol w:w="897"/>
        <w:gridCol w:w="897"/>
        <w:gridCol w:w="897"/>
        <w:gridCol w:w="897"/>
      </w:tblGrid>
      <w:tr w:rsidR="006B5C0D" w:rsidRPr="006B5C0D" w14:paraId="0120DAB0" w14:textId="77777777" w:rsidTr="00426190">
        <w:tc>
          <w:tcPr>
            <w:tcW w:w="0" w:type="auto"/>
            <w:hideMark/>
          </w:tcPr>
          <w:p w14:paraId="1A3689A3"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Ratio</w:t>
            </w:r>
          </w:p>
        </w:tc>
        <w:tc>
          <w:tcPr>
            <w:tcW w:w="0" w:type="auto"/>
            <w:hideMark/>
          </w:tcPr>
          <w:p w14:paraId="394AFF04"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0D261D44"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0A3D60E5"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6FBAE497"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6FE065EB"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0EB2EC53"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09D1689A" w14:textId="77777777" w:rsidTr="00426190">
        <w:tc>
          <w:tcPr>
            <w:tcW w:w="0" w:type="auto"/>
            <w:hideMark/>
          </w:tcPr>
          <w:p w14:paraId="64723DB2"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Operating Cash Flow Ratio</w:t>
            </w:r>
          </w:p>
        </w:tc>
        <w:tc>
          <w:tcPr>
            <w:tcW w:w="0" w:type="auto"/>
            <w:hideMark/>
          </w:tcPr>
          <w:p w14:paraId="0DB5B28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Operating Cash Flow / Current Liabilities</w:t>
            </w:r>
          </w:p>
        </w:tc>
        <w:tc>
          <w:tcPr>
            <w:tcW w:w="0" w:type="auto"/>
            <w:hideMark/>
          </w:tcPr>
          <w:p w14:paraId="0E8DBFD4"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0.41</w:t>
            </w:r>
          </w:p>
        </w:tc>
        <w:tc>
          <w:tcPr>
            <w:tcW w:w="0" w:type="auto"/>
            <w:hideMark/>
          </w:tcPr>
          <w:p w14:paraId="6F04EDFF"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0.19</w:t>
            </w:r>
          </w:p>
        </w:tc>
        <w:tc>
          <w:tcPr>
            <w:tcW w:w="0" w:type="auto"/>
            <w:hideMark/>
          </w:tcPr>
          <w:p w14:paraId="2B2B428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0.05</w:t>
            </w:r>
          </w:p>
        </w:tc>
        <w:tc>
          <w:tcPr>
            <w:tcW w:w="0" w:type="auto"/>
            <w:hideMark/>
          </w:tcPr>
          <w:p w14:paraId="35A313E0"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0.16</w:t>
            </w:r>
          </w:p>
        </w:tc>
        <w:tc>
          <w:tcPr>
            <w:tcW w:w="0" w:type="auto"/>
            <w:hideMark/>
          </w:tcPr>
          <w:p w14:paraId="4C3E3704"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0.09</w:t>
            </w:r>
          </w:p>
        </w:tc>
      </w:tr>
      <w:tr w:rsidR="006B5C0D" w:rsidRPr="006B5C0D" w14:paraId="014F30F6" w14:textId="77777777" w:rsidTr="00426190">
        <w:tc>
          <w:tcPr>
            <w:tcW w:w="0" w:type="auto"/>
            <w:hideMark/>
          </w:tcPr>
          <w:p w14:paraId="41A68EBF"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Cash Flow to Debt Ratio</w:t>
            </w:r>
          </w:p>
        </w:tc>
        <w:tc>
          <w:tcPr>
            <w:tcW w:w="0" w:type="auto"/>
            <w:hideMark/>
          </w:tcPr>
          <w:p w14:paraId="2DBF1512"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Operating Cash Flow / Total Liabilities</w:t>
            </w:r>
          </w:p>
        </w:tc>
        <w:tc>
          <w:tcPr>
            <w:tcW w:w="0" w:type="auto"/>
            <w:hideMark/>
          </w:tcPr>
          <w:p w14:paraId="16982BA8"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0.37</w:t>
            </w:r>
          </w:p>
        </w:tc>
        <w:tc>
          <w:tcPr>
            <w:tcW w:w="0" w:type="auto"/>
            <w:hideMark/>
          </w:tcPr>
          <w:p w14:paraId="66CF96E2"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0.17</w:t>
            </w:r>
          </w:p>
        </w:tc>
        <w:tc>
          <w:tcPr>
            <w:tcW w:w="0" w:type="auto"/>
            <w:hideMark/>
          </w:tcPr>
          <w:p w14:paraId="44DC478C"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0.05</w:t>
            </w:r>
          </w:p>
        </w:tc>
        <w:tc>
          <w:tcPr>
            <w:tcW w:w="0" w:type="auto"/>
            <w:hideMark/>
          </w:tcPr>
          <w:p w14:paraId="51B1B1D5"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0.14</w:t>
            </w:r>
          </w:p>
        </w:tc>
        <w:tc>
          <w:tcPr>
            <w:tcW w:w="0" w:type="auto"/>
            <w:hideMark/>
          </w:tcPr>
          <w:p w14:paraId="29000867"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0.09</w:t>
            </w:r>
          </w:p>
        </w:tc>
      </w:tr>
      <w:tr w:rsidR="006B5C0D" w:rsidRPr="006B5C0D" w14:paraId="024B3E52" w14:textId="77777777" w:rsidTr="00426190">
        <w:tc>
          <w:tcPr>
            <w:tcW w:w="0" w:type="auto"/>
            <w:hideMark/>
          </w:tcPr>
          <w:p w14:paraId="5616032A"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Cash Flow Margin</w:t>
            </w:r>
          </w:p>
        </w:tc>
        <w:tc>
          <w:tcPr>
            <w:tcW w:w="0" w:type="auto"/>
            <w:hideMark/>
          </w:tcPr>
          <w:p w14:paraId="25844C22"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Operating Cash Flow / Net Sales</w:t>
            </w:r>
          </w:p>
        </w:tc>
        <w:tc>
          <w:tcPr>
            <w:tcW w:w="0" w:type="auto"/>
            <w:hideMark/>
          </w:tcPr>
          <w:p w14:paraId="5F698C8A"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11.94%</w:t>
            </w:r>
          </w:p>
        </w:tc>
        <w:tc>
          <w:tcPr>
            <w:tcW w:w="0" w:type="auto"/>
            <w:hideMark/>
          </w:tcPr>
          <w:p w14:paraId="6F41825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6.70%</w:t>
            </w:r>
          </w:p>
        </w:tc>
        <w:tc>
          <w:tcPr>
            <w:tcW w:w="0" w:type="auto"/>
            <w:hideMark/>
          </w:tcPr>
          <w:p w14:paraId="3F3144C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2.01%</w:t>
            </w:r>
          </w:p>
        </w:tc>
        <w:tc>
          <w:tcPr>
            <w:tcW w:w="0" w:type="auto"/>
            <w:hideMark/>
          </w:tcPr>
          <w:p w14:paraId="6027662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5.99%</w:t>
            </w:r>
          </w:p>
        </w:tc>
        <w:tc>
          <w:tcPr>
            <w:tcW w:w="0" w:type="auto"/>
            <w:hideMark/>
          </w:tcPr>
          <w:p w14:paraId="62877974"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3.75%</w:t>
            </w:r>
          </w:p>
        </w:tc>
      </w:tr>
    </w:tbl>
    <w:p w14:paraId="1BA287D7" w14:textId="77777777" w:rsidR="006B5C0D" w:rsidRPr="006B5C0D" w:rsidRDefault="006B5C0D" w:rsidP="006B5C0D">
      <w:pPr>
        <w:ind w:firstLine="720"/>
        <w:jc w:val="center"/>
        <w:rPr>
          <w:rFonts w:ascii="Arial" w:hAnsi="Arial" w:cs="Arial"/>
          <w:b/>
          <w:bCs/>
          <w:sz w:val="24"/>
          <w:szCs w:val="24"/>
        </w:rPr>
      </w:pPr>
      <w:r w:rsidRPr="006B5C0D">
        <w:rPr>
          <w:rFonts w:ascii="Arial" w:hAnsi="Arial" w:cs="Arial"/>
          <w:b/>
          <w:bCs/>
          <w:sz w:val="24"/>
          <w:szCs w:val="24"/>
        </w:rPr>
        <w:t>Table 6: Cash Flow Ratios (Self-Prepared)</w:t>
      </w:r>
    </w:p>
    <w:p w14:paraId="4541F17D" w14:textId="77777777" w:rsidR="006B5C0D" w:rsidRPr="006B5C0D" w:rsidRDefault="006B5C0D" w:rsidP="006B5C0D">
      <w:pPr>
        <w:ind w:firstLine="720"/>
        <w:jc w:val="center"/>
        <w:rPr>
          <w:rFonts w:ascii="Arial" w:hAnsi="Arial" w:cs="Arial"/>
          <w:sz w:val="24"/>
          <w:szCs w:val="24"/>
        </w:rPr>
      </w:pPr>
      <w:r w:rsidRPr="006B5C0D">
        <w:rPr>
          <w:noProof/>
        </w:rPr>
        <w:lastRenderedPageBreak/>
        <w:drawing>
          <wp:inline distT="0" distB="0" distL="0" distR="0" wp14:anchorId="0D5046C8" wp14:editId="5BB821C6">
            <wp:extent cx="5381625" cy="3143249"/>
            <wp:effectExtent l="0" t="0" r="9525" b="635"/>
            <wp:docPr id="7" name="Chart 7">
              <a:extLst xmlns:a="http://schemas.openxmlformats.org/drawingml/2006/main">
                <a:ext uri="{FF2B5EF4-FFF2-40B4-BE49-F238E27FC236}">
                  <a16:creationId xmlns:a16="http://schemas.microsoft.com/office/drawing/2014/main" id="{A3F0E8D5-AC94-49E4-AF20-D08ECD727D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DDA239A" w14:textId="77777777" w:rsidR="006B5C0D" w:rsidRPr="006B5C0D" w:rsidRDefault="006B5C0D" w:rsidP="006B5C0D">
      <w:pPr>
        <w:ind w:firstLine="720"/>
        <w:jc w:val="center"/>
        <w:rPr>
          <w:rFonts w:ascii="Arial" w:hAnsi="Arial" w:cs="Arial"/>
          <w:b/>
          <w:bCs/>
          <w:sz w:val="24"/>
          <w:szCs w:val="24"/>
        </w:rPr>
      </w:pPr>
      <w:r w:rsidRPr="006B5C0D">
        <w:rPr>
          <w:rFonts w:ascii="Arial" w:hAnsi="Arial" w:cs="Arial"/>
          <w:b/>
          <w:bCs/>
          <w:sz w:val="24"/>
          <w:szCs w:val="24"/>
        </w:rPr>
        <w:t>Figure 6: Cash Flow Ratios Comparison (Self-Prepared)</w:t>
      </w:r>
    </w:p>
    <w:p w14:paraId="04948099" w14:textId="77777777" w:rsidR="006B5C0D" w:rsidRPr="00125757" w:rsidRDefault="006B5C0D" w:rsidP="00125757">
      <w:pPr>
        <w:pStyle w:val="Heading2"/>
        <w:jc w:val="center"/>
        <w:rPr>
          <w:b w:val="0"/>
          <w:bCs/>
        </w:rPr>
      </w:pPr>
      <w:bookmarkStart w:id="37" w:name="_Toc217280924"/>
      <w:r w:rsidRPr="00125757">
        <w:rPr>
          <w:bCs/>
        </w:rPr>
        <w:t>7.</w:t>
      </w:r>
      <w:r w:rsidRPr="00125757">
        <w:rPr>
          <w:bCs/>
          <w:szCs w:val="28"/>
        </w:rPr>
        <w:t xml:space="preserve"> </w:t>
      </w:r>
      <w:r w:rsidRPr="00125757">
        <w:rPr>
          <w:bCs/>
        </w:rPr>
        <w:t>Table A7: Altman Z-Score Calculation (2020–2024)</w:t>
      </w:r>
      <w:bookmarkEnd w:id="37"/>
    </w:p>
    <w:tbl>
      <w:tblPr>
        <w:tblStyle w:val="TableGrid"/>
        <w:tblW w:w="0" w:type="auto"/>
        <w:tblLook w:val="04A0" w:firstRow="1" w:lastRow="0" w:firstColumn="1" w:lastColumn="0" w:noHBand="0" w:noVBand="1"/>
      </w:tblPr>
      <w:tblGrid>
        <w:gridCol w:w="9350"/>
      </w:tblGrid>
      <w:tr w:rsidR="006B5C0D" w:rsidRPr="006B5C0D" w14:paraId="7C4F8A7F" w14:textId="77777777" w:rsidTr="00426190">
        <w:tc>
          <w:tcPr>
            <w:tcW w:w="9350" w:type="dxa"/>
          </w:tcPr>
          <w:p w14:paraId="50162328" w14:textId="77777777" w:rsidR="006B5C0D" w:rsidRPr="006B5C0D" w:rsidRDefault="006B5C0D" w:rsidP="006B5C0D">
            <w:pPr>
              <w:tabs>
                <w:tab w:val="left" w:pos="915"/>
              </w:tabs>
              <w:jc w:val="both"/>
              <w:rPr>
                <w:rFonts w:ascii="Arial" w:hAnsi="Arial" w:cs="Arial"/>
                <w:b/>
                <w:bCs/>
                <w:sz w:val="32"/>
                <w:szCs w:val="32"/>
              </w:rPr>
            </w:pPr>
            <w:r w:rsidRPr="006B5C0D">
              <w:rPr>
                <w:rFonts w:ascii="Arial" w:hAnsi="Arial" w:cs="Arial"/>
                <w:b/>
                <w:bCs/>
                <w:sz w:val="32"/>
                <w:szCs w:val="32"/>
              </w:rPr>
              <w:t>Z = 1.2X1 + 1.4X2 + 3.3X3 + 0.6X4 + 1.0X5</w:t>
            </w:r>
          </w:p>
        </w:tc>
      </w:tr>
    </w:tbl>
    <w:p w14:paraId="12812998" w14:textId="77777777" w:rsidR="006B5C0D" w:rsidRPr="006B5C0D" w:rsidRDefault="006B5C0D" w:rsidP="006B5C0D">
      <w:pPr>
        <w:tabs>
          <w:tab w:val="left" w:pos="915"/>
        </w:tabs>
        <w:rPr>
          <w:rFonts w:ascii="Arial" w:hAnsi="Arial" w:cs="Arial"/>
          <w:sz w:val="32"/>
          <w:szCs w:val="32"/>
        </w:rPr>
      </w:pPr>
    </w:p>
    <w:tbl>
      <w:tblPr>
        <w:tblStyle w:val="TableGrid"/>
        <w:tblW w:w="0" w:type="auto"/>
        <w:tblLook w:val="04A0" w:firstRow="1" w:lastRow="0" w:firstColumn="1" w:lastColumn="0" w:noHBand="0" w:noVBand="1"/>
      </w:tblPr>
      <w:tblGrid>
        <w:gridCol w:w="1792"/>
        <w:gridCol w:w="3660"/>
        <w:gridCol w:w="750"/>
        <w:gridCol w:w="750"/>
        <w:gridCol w:w="750"/>
        <w:gridCol w:w="824"/>
        <w:gridCol w:w="824"/>
      </w:tblGrid>
      <w:tr w:rsidR="006B5C0D" w:rsidRPr="006B5C0D" w14:paraId="1E4F0702" w14:textId="77777777" w:rsidTr="00426190">
        <w:tc>
          <w:tcPr>
            <w:tcW w:w="0" w:type="auto"/>
            <w:hideMark/>
          </w:tcPr>
          <w:p w14:paraId="00255EA6"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Component</w:t>
            </w:r>
          </w:p>
        </w:tc>
        <w:tc>
          <w:tcPr>
            <w:tcW w:w="0" w:type="auto"/>
            <w:hideMark/>
          </w:tcPr>
          <w:p w14:paraId="34ACC326"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Formula</w:t>
            </w:r>
          </w:p>
        </w:tc>
        <w:tc>
          <w:tcPr>
            <w:tcW w:w="0" w:type="auto"/>
            <w:hideMark/>
          </w:tcPr>
          <w:p w14:paraId="62C74F29"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2020</w:t>
            </w:r>
          </w:p>
        </w:tc>
        <w:tc>
          <w:tcPr>
            <w:tcW w:w="0" w:type="auto"/>
            <w:hideMark/>
          </w:tcPr>
          <w:p w14:paraId="1334D5A1"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2021</w:t>
            </w:r>
          </w:p>
        </w:tc>
        <w:tc>
          <w:tcPr>
            <w:tcW w:w="0" w:type="auto"/>
            <w:hideMark/>
          </w:tcPr>
          <w:p w14:paraId="6CF42D05"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2022</w:t>
            </w:r>
          </w:p>
        </w:tc>
        <w:tc>
          <w:tcPr>
            <w:tcW w:w="0" w:type="auto"/>
            <w:hideMark/>
          </w:tcPr>
          <w:p w14:paraId="6E70071C"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2023</w:t>
            </w:r>
          </w:p>
        </w:tc>
        <w:tc>
          <w:tcPr>
            <w:tcW w:w="0" w:type="auto"/>
            <w:hideMark/>
          </w:tcPr>
          <w:p w14:paraId="5ACDA565"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2024</w:t>
            </w:r>
          </w:p>
        </w:tc>
      </w:tr>
      <w:tr w:rsidR="006B5C0D" w:rsidRPr="006B5C0D" w14:paraId="7DC21A37" w14:textId="77777777" w:rsidTr="00426190">
        <w:tc>
          <w:tcPr>
            <w:tcW w:w="0" w:type="auto"/>
            <w:hideMark/>
          </w:tcPr>
          <w:p w14:paraId="58CCA01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X1</w:t>
            </w:r>
          </w:p>
        </w:tc>
        <w:tc>
          <w:tcPr>
            <w:tcW w:w="0" w:type="auto"/>
            <w:hideMark/>
          </w:tcPr>
          <w:p w14:paraId="3D27177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(Current Assets − Current Liabilities) / Total Assets</w:t>
            </w:r>
          </w:p>
        </w:tc>
        <w:tc>
          <w:tcPr>
            <w:tcW w:w="0" w:type="auto"/>
            <w:hideMark/>
          </w:tcPr>
          <w:p w14:paraId="1FBCA433"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0.29</w:t>
            </w:r>
          </w:p>
        </w:tc>
        <w:tc>
          <w:tcPr>
            <w:tcW w:w="0" w:type="auto"/>
            <w:hideMark/>
          </w:tcPr>
          <w:p w14:paraId="22F3FC3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0.24</w:t>
            </w:r>
          </w:p>
        </w:tc>
        <w:tc>
          <w:tcPr>
            <w:tcW w:w="0" w:type="auto"/>
            <w:hideMark/>
          </w:tcPr>
          <w:p w14:paraId="051E981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0.24</w:t>
            </w:r>
          </w:p>
        </w:tc>
        <w:tc>
          <w:tcPr>
            <w:tcW w:w="0" w:type="auto"/>
            <w:hideMark/>
          </w:tcPr>
          <w:p w14:paraId="01BDEF0C"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0.27</w:t>
            </w:r>
          </w:p>
        </w:tc>
        <w:tc>
          <w:tcPr>
            <w:tcW w:w="0" w:type="auto"/>
            <w:hideMark/>
          </w:tcPr>
          <w:p w14:paraId="6E884B6A"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0.26</w:t>
            </w:r>
          </w:p>
        </w:tc>
      </w:tr>
      <w:tr w:rsidR="006B5C0D" w:rsidRPr="006B5C0D" w14:paraId="0E70E3A7" w14:textId="77777777" w:rsidTr="00426190">
        <w:tc>
          <w:tcPr>
            <w:tcW w:w="0" w:type="auto"/>
            <w:hideMark/>
          </w:tcPr>
          <w:p w14:paraId="1A74B8BA"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X2</w:t>
            </w:r>
          </w:p>
        </w:tc>
        <w:tc>
          <w:tcPr>
            <w:tcW w:w="0" w:type="auto"/>
            <w:hideMark/>
          </w:tcPr>
          <w:p w14:paraId="0ADF7E15"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Retained Earnings / Total Assets</w:t>
            </w:r>
          </w:p>
        </w:tc>
        <w:tc>
          <w:tcPr>
            <w:tcW w:w="0" w:type="auto"/>
            <w:hideMark/>
          </w:tcPr>
          <w:p w14:paraId="3AF49C2F"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0.64</w:t>
            </w:r>
          </w:p>
        </w:tc>
        <w:tc>
          <w:tcPr>
            <w:tcW w:w="0" w:type="auto"/>
            <w:hideMark/>
          </w:tcPr>
          <w:p w14:paraId="55188586"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0.65</w:t>
            </w:r>
          </w:p>
        </w:tc>
        <w:tc>
          <w:tcPr>
            <w:tcW w:w="0" w:type="auto"/>
            <w:hideMark/>
          </w:tcPr>
          <w:p w14:paraId="28C74657"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0.66</w:t>
            </w:r>
          </w:p>
        </w:tc>
        <w:tc>
          <w:tcPr>
            <w:tcW w:w="0" w:type="auto"/>
            <w:hideMark/>
          </w:tcPr>
          <w:p w14:paraId="7FE23737"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0.65</w:t>
            </w:r>
          </w:p>
        </w:tc>
        <w:tc>
          <w:tcPr>
            <w:tcW w:w="0" w:type="auto"/>
            <w:hideMark/>
          </w:tcPr>
          <w:p w14:paraId="246D415A"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0.64</w:t>
            </w:r>
          </w:p>
        </w:tc>
      </w:tr>
      <w:tr w:rsidR="006B5C0D" w:rsidRPr="006B5C0D" w14:paraId="41CF0C3A" w14:textId="77777777" w:rsidTr="00426190">
        <w:tc>
          <w:tcPr>
            <w:tcW w:w="0" w:type="auto"/>
            <w:hideMark/>
          </w:tcPr>
          <w:p w14:paraId="1BDA3BDC"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X3</w:t>
            </w:r>
          </w:p>
        </w:tc>
        <w:tc>
          <w:tcPr>
            <w:tcW w:w="0" w:type="auto"/>
            <w:hideMark/>
          </w:tcPr>
          <w:p w14:paraId="1E37379F"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EBIT / Total Assets</w:t>
            </w:r>
          </w:p>
        </w:tc>
        <w:tc>
          <w:tcPr>
            <w:tcW w:w="0" w:type="auto"/>
            <w:hideMark/>
          </w:tcPr>
          <w:p w14:paraId="475D9A4A"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0.07</w:t>
            </w:r>
          </w:p>
        </w:tc>
        <w:tc>
          <w:tcPr>
            <w:tcW w:w="0" w:type="auto"/>
            <w:hideMark/>
          </w:tcPr>
          <w:p w14:paraId="6CF4E65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0.05</w:t>
            </w:r>
          </w:p>
        </w:tc>
        <w:tc>
          <w:tcPr>
            <w:tcW w:w="0" w:type="auto"/>
            <w:hideMark/>
          </w:tcPr>
          <w:p w14:paraId="0A349EAD"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0.03</w:t>
            </w:r>
          </w:p>
        </w:tc>
        <w:tc>
          <w:tcPr>
            <w:tcW w:w="0" w:type="auto"/>
            <w:hideMark/>
          </w:tcPr>
          <w:p w14:paraId="1FB80008"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−0.24</w:t>
            </w:r>
          </w:p>
        </w:tc>
        <w:tc>
          <w:tcPr>
            <w:tcW w:w="0" w:type="auto"/>
            <w:hideMark/>
          </w:tcPr>
          <w:p w14:paraId="70E5FAAF"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−0.05</w:t>
            </w:r>
          </w:p>
        </w:tc>
      </w:tr>
      <w:tr w:rsidR="006B5C0D" w:rsidRPr="006B5C0D" w14:paraId="1835C4B2" w14:textId="77777777" w:rsidTr="00426190">
        <w:tc>
          <w:tcPr>
            <w:tcW w:w="0" w:type="auto"/>
            <w:hideMark/>
          </w:tcPr>
          <w:p w14:paraId="3F14E244"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X4</w:t>
            </w:r>
          </w:p>
        </w:tc>
        <w:tc>
          <w:tcPr>
            <w:tcW w:w="0" w:type="auto"/>
            <w:hideMark/>
          </w:tcPr>
          <w:p w14:paraId="1F391256"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Market Value of Equity / Total Liabilities</w:t>
            </w:r>
          </w:p>
        </w:tc>
        <w:tc>
          <w:tcPr>
            <w:tcW w:w="0" w:type="auto"/>
            <w:hideMark/>
          </w:tcPr>
          <w:p w14:paraId="6B813997"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8.46</w:t>
            </w:r>
          </w:p>
        </w:tc>
        <w:tc>
          <w:tcPr>
            <w:tcW w:w="0" w:type="auto"/>
            <w:hideMark/>
          </w:tcPr>
          <w:p w14:paraId="578B5994"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6.89</w:t>
            </w:r>
          </w:p>
        </w:tc>
        <w:tc>
          <w:tcPr>
            <w:tcW w:w="0" w:type="auto"/>
            <w:hideMark/>
          </w:tcPr>
          <w:p w14:paraId="17F86932"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6.47</w:t>
            </w:r>
          </w:p>
        </w:tc>
        <w:tc>
          <w:tcPr>
            <w:tcW w:w="0" w:type="auto"/>
            <w:hideMark/>
          </w:tcPr>
          <w:p w14:paraId="2FE8624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8.72</w:t>
            </w:r>
          </w:p>
        </w:tc>
        <w:tc>
          <w:tcPr>
            <w:tcW w:w="0" w:type="auto"/>
            <w:hideMark/>
          </w:tcPr>
          <w:p w14:paraId="010E2F35"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9.13</w:t>
            </w:r>
          </w:p>
        </w:tc>
      </w:tr>
      <w:tr w:rsidR="006B5C0D" w:rsidRPr="006B5C0D" w14:paraId="7BEE4E17" w14:textId="77777777" w:rsidTr="00426190">
        <w:tc>
          <w:tcPr>
            <w:tcW w:w="0" w:type="auto"/>
            <w:hideMark/>
          </w:tcPr>
          <w:p w14:paraId="61C79C3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X5</w:t>
            </w:r>
          </w:p>
        </w:tc>
        <w:tc>
          <w:tcPr>
            <w:tcW w:w="0" w:type="auto"/>
            <w:hideMark/>
          </w:tcPr>
          <w:p w14:paraId="41C17849"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Net Sales / Total Assets</w:t>
            </w:r>
          </w:p>
        </w:tc>
        <w:tc>
          <w:tcPr>
            <w:tcW w:w="0" w:type="auto"/>
            <w:hideMark/>
          </w:tcPr>
          <w:p w14:paraId="36305971"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1.20</w:t>
            </w:r>
          </w:p>
        </w:tc>
        <w:tc>
          <w:tcPr>
            <w:tcW w:w="0" w:type="auto"/>
            <w:hideMark/>
          </w:tcPr>
          <w:p w14:paraId="77E4247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1.18</w:t>
            </w:r>
          </w:p>
        </w:tc>
        <w:tc>
          <w:tcPr>
            <w:tcW w:w="0" w:type="auto"/>
            <w:hideMark/>
          </w:tcPr>
          <w:p w14:paraId="06587A20"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1.08</w:t>
            </w:r>
          </w:p>
        </w:tc>
        <w:tc>
          <w:tcPr>
            <w:tcW w:w="0" w:type="auto"/>
            <w:hideMark/>
          </w:tcPr>
          <w:p w14:paraId="0B51BF6C"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1.18</w:t>
            </w:r>
          </w:p>
        </w:tc>
        <w:tc>
          <w:tcPr>
            <w:tcW w:w="0" w:type="auto"/>
            <w:hideMark/>
          </w:tcPr>
          <w:p w14:paraId="5A2942A3"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1.22</w:t>
            </w:r>
          </w:p>
        </w:tc>
      </w:tr>
      <w:tr w:rsidR="006B5C0D" w:rsidRPr="006B5C0D" w14:paraId="3D6935E6" w14:textId="77777777" w:rsidTr="00426190">
        <w:tc>
          <w:tcPr>
            <w:tcW w:w="0" w:type="auto"/>
            <w:hideMark/>
          </w:tcPr>
          <w:p w14:paraId="0036B142"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b/>
                <w:bCs/>
                <w:sz w:val="24"/>
                <w:szCs w:val="24"/>
              </w:rPr>
              <w:t>Altman Z-Score</w:t>
            </w:r>
          </w:p>
        </w:tc>
        <w:tc>
          <w:tcPr>
            <w:tcW w:w="0" w:type="auto"/>
            <w:hideMark/>
          </w:tcPr>
          <w:p w14:paraId="4D3AEFD7"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sz w:val="24"/>
                <w:szCs w:val="24"/>
              </w:rPr>
              <w:t>Weighted Sum</w:t>
            </w:r>
          </w:p>
        </w:tc>
        <w:tc>
          <w:tcPr>
            <w:tcW w:w="0" w:type="auto"/>
            <w:hideMark/>
          </w:tcPr>
          <w:p w14:paraId="690FF427"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b/>
                <w:bCs/>
                <w:sz w:val="24"/>
                <w:szCs w:val="24"/>
              </w:rPr>
              <w:t>7.76</w:t>
            </w:r>
          </w:p>
        </w:tc>
        <w:tc>
          <w:tcPr>
            <w:tcW w:w="0" w:type="auto"/>
            <w:hideMark/>
          </w:tcPr>
          <w:p w14:paraId="24167DB9"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b/>
                <w:bCs/>
                <w:sz w:val="24"/>
                <w:szCs w:val="24"/>
              </w:rPr>
              <w:t>6.65</w:t>
            </w:r>
          </w:p>
        </w:tc>
        <w:tc>
          <w:tcPr>
            <w:tcW w:w="0" w:type="auto"/>
            <w:hideMark/>
          </w:tcPr>
          <w:p w14:paraId="0DE1D7DC"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b/>
                <w:bCs/>
                <w:sz w:val="24"/>
                <w:szCs w:val="24"/>
              </w:rPr>
              <w:t>6.26</w:t>
            </w:r>
          </w:p>
        </w:tc>
        <w:tc>
          <w:tcPr>
            <w:tcW w:w="0" w:type="auto"/>
            <w:hideMark/>
          </w:tcPr>
          <w:p w14:paraId="2C22C87F"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b/>
                <w:bCs/>
                <w:sz w:val="24"/>
                <w:szCs w:val="24"/>
              </w:rPr>
              <w:t>6.87</w:t>
            </w:r>
          </w:p>
        </w:tc>
        <w:tc>
          <w:tcPr>
            <w:tcW w:w="0" w:type="auto"/>
            <w:hideMark/>
          </w:tcPr>
          <w:p w14:paraId="4D72851B" w14:textId="77777777" w:rsidR="006B5C0D" w:rsidRPr="006B5C0D" w:rsidRDefault="006B5C0D" w:rsidP="006B5C0D">
            <w:pPr>
              <w:spacing w:line="360" w:lineRule="auto"/>
              <w:rPr>
                <w:rFonts w:ascii="Arial" w:eastAsia="Times New Roman" w:hAnsi="Arial" w:cs="Arial"/>
                <w:sz w:val="24"/>
                <w:szCs w:val="24"/>
              </w:rPr>
            </w:pPr>
            <w:r w:rsidRPr="006B5C0D">
              <w:rPr>
                <w:rFonts w:ascii="Arial" w:eastAsia="Times New Roman" w:hAnsi="Arial" w:cs="Arial"/>
                <w:b/>
                <w:bCs/>
                <w:sz w:val="24"/>
                <w:szCs w:val="24"/>
              </w:rPr>
              <w:t>7.76</w:t>
            </w:r>
          </w:p>
        </w:tc>
      </w:tr>
    </w:tbl>
    <w:p w14:paraId="08459146" w14:textId="77777777" w:rsidR="006B5C0D" w:rsidRPr="006B5C0D" w:rsidRDefault="006B5C0D" w:rsidP="006B5C0D">
      <w:pPr>
        <w:tabs>
          <w:tab w:val="left" w:pos="915"/>
        </w:tabs>
        <w:jc w:val="center"/>
        <w:rPr>
          <w:rFonts w:ascii="Arial" w:hAnsi="Arial" w:cs="Arial"/>
          <w:b/>
          <w:bCs/>
          <w:sz w:val="24"/>
          <w:szCs w:val="24"/>
        </w:rPr>
      </w:pPr>
      <w:r w:rsidRPr="006B5C0D">
        <w:rPr>
          <w:rFonts w:ascii="Arial" w:hAnsi="Arial" w:cs="Arial"/>
          <w:b/>
          <w:bCs/>
          <w:sz w:val="24"/>
          <w:szCs w:val="24"/>
        </w:rPr>
        <w:t>Table 7:</w:t>
      </w:r>
      <w:r w:rsidRPr="006B5C0D">
        <w:rPr>
          <w:b/>
          <w:bCs/>
          <w:sz w:val="18"/>
          <w:szCs w:val="18"/>
        </w:rPr>
        <w:t xml:space="preserve"> </w:t>
      </w:r>
      <w:r w:rsidRPr="006B5C0D">
        <w:rPr>
          <w:rFonts w:ascii="Arial" w:hAnsi="Arial" w:cs="Arial"/>
          <w:b/>
          <w:bCs/>
          <w:sz w:val="24"/>
          <w:szCs w:val="24"/>
        </w:rPr>
        <w:t>Altman Z-Score Calculation (2020–2024)</w:t>
      </w:r>
    </w:p>
    <w:p w14:paraId="6FE2E04D" w14:textId="77777777" w:rsidR="006B5C0D" w:rsidRPr="006B5C0D" w:rsidRDefault="006B5C0D" w:rsidP="006B5C0D">
      <w:pPr>
        <w:tabs>
          <w:tab w:val="left" w:pos="915"/>
        </w:tabs>
        <w:jc w:val="center"/>
        <w:rPr>
          <w:rFonts w:ascii="Arial" w:hAnsi="Arial" w:cs="Arial"/>
          <w:b/>
          <w:bCs/>
          <w:sz w:val="24"/>
          <w:szCs w:val="24"/>
        </w:rPr>
      </w:pPr>
      <w:r w:rsidRPr="006B5C0D">
        <w:rPr>
          <w:noProof/>
        </w:rPr>
        <w:lastRenderedPageBreak/>
        <w:drawing>
          <wp:inline distT="0" distB="0" distL="0" distR="0" wp14:anchorId="41F48ED5" wp14:editId="5E185C6A">
            <wp:extent cx="6438900" cy="3829050"/>
            <wp:effectExtent l="0" t="0" r="0" b="0"/>
            <wp:docPr id="2" name="Chart 2">
              <a:extLst xmlns:a="http://schemas.openxmlformats.org/drawingml/2006/main">
                <a:ext uri="{FF2B5EF4-FFF2-40B4-BE49-F238E27FC236}">
                  <a16:creationId xmlns:a16="http://schemas.microsoft.com/office/drawing/2014/main" id="{B9B1F95A-D86D-4FCA-A788-14FB68C74B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DAE4CAF" w14:textId="6C9A0FB4" w:rsidR="006B5C0D" w:rsidRPr="006B5C0D" w:rsidRDefault="006B5C0D" w:rsidP="00125757">
      <w:pPr>
        <w:tabs>
          <w:tab w:val="left" w:pos="915"/>
        </w:tabs>
        <w:jc w:val="center"/>
        <w:rPr>
          <w:rFonts w:ascii="Arial" w:hAnsi="Arial" w:cs="Arial"/>
          <w:b/>
          <w:bCs/>
          <w:sz w:val="24"/>
          <w:szCs w:val="24"/>
        </w:rPr>
      </w:pPr>
      <w:r w:rsidRPr="006B5C0D">
        <w:rPr>
          <w:rFonts w:ascii="Arial" w:hAnsi="Arial" w:cs="Arial"/>
          <w:b/>
          <w:bCs/>
          <w:sz w:val="24"/>
          <w:szCs w:val="24"/>
        </w:rPr>
        <w:t>Figure 7:</w:t>
      </w:r>
      <w:r w:rsidRPr="006B5C0D">
        <w:t xml:space="preserve"> </w:t>
      </w:r>
      <w:r w:rsidRPr="006B5C0D">
        <w:rPr>
          <w:rFonts w:ascii="Arial" w:hAnsi="Arial" w:cs="Arial"/>
          <w:b/>
          <w:bCs/>
          <w:sz w:val="24"/>
          <w:szCs w:val="24"/>
        </w:rPr>
        <w:t>Altman Z-Score Calculation (2020–2024)</w:t>
      </w:r>
    </w:p>
    <w:p w14:paraId="72C0976F" w14:textId="77777777" w:rsidR="006B5C0D" w:rsidRPr="006B5C0D" w:rsidRDefault="006B5C0D" w:rsidP="006B5C0D">
      <w:pPr>
        <w:tabs>
          <w:tab w:val="left" w:pos="915"/>
        </w:tabs>
        <w:jc w:val="center"/>
        <w:rPr>
          <w:rFonts w:ascii="Arial" w:hAnsi="Arial" w:cs="Arial"/>
          <w:b/>
          <w:bCs/>
          <w:sz w:val="24"/>
          <w:szCs w:val="24"/>
        </w:rPr>
      </w:pPr>
      <w:r w:rsidRPr="006B5C0D">
        <w:rPr>
          <w:rFonts w:ascii="Arial" w:hAnsi="Arial" w:cs="Arial"/>
          <w:b/>
          <w:bCs/>
          <w:sz w:val="24"/>
          <w:szCs w:val="24"/>
        </w:rPr>
        <w:t>Appendix B: Working Capital Calculations</w:t>
      </w:r>
    </w:p>
    <w:p w14:paraId="617E7090" w14:textId="1088378B" w:rsidR="006B5C0D" w:rsidRPr="00125757" w:rsidRDefault="006B5C0D" w:rsidP="00125757">
      <w:pPr>
        <w:pStyle w:val="Heading2"/>
        <w:numPr>
          <w:ilvl w:val="0"/>
          <w:numId w:val="12"/>
        </w:numPr>
        <w:jc w:val="center"/>
        <w:rPr>
          <w:b w:val="0"/>
          <w:bCs/>
        </w:rPr>
      </w:pPr>
      <w:bookmarkStart w:id="38" w:name="_Toc217280925"/>
      <w:r w:rsidRPr="00125757">
        <w:rPr>
          <w:bCs/>
        </w:rPr>
        <w:t>Table B1: Cash Operating Cycle Components (Days)</w:t>
      </w:r>
      <w:bookmarkEnd w:id="38"/>
    </w:p>
    <w:tbl>
      <w:tblPr>
        <w:tblStyle w:val="TableGrid"/>
        <w:tblW w:w="0" w:type="auto"/>
        <w:tblLook w:val="04A0" w:firstRow="1" w:lastRow="0" w:firstColumn="1" w:lastColumn="0" w:noHBand="0" w:noVBand="1"/>
      </w:tblPr>
      <w:tblGrid>
        <w:gridCol w:w="9350"/>
      </w:tblGrid>
      <w:tr w:rsidR="006B5C0D" w:rsidRPr="006B5C0D" w14:paraId="09FAF788" w14:textId="77777777" w:rsidTr="00426190">
        <w:tc>
          <w:tcPr>
            <w:tcW w:w="9350" w:type="dxa"/>
          </w:tcPr>
          <w:p w14:paraId="4AB12C3D" w14:textId="77777777" w:rsidR="006B5C0D" w:rsidRPr="006B5C0D" w:rsidRDefault="006B5C0D" w:rsidP="006B5C0D">
            <w:pPr>
              <w:numPr>
                <w:ilvl w:val="0"/>
                <w:numId w:val="12"/>
              </w:numPr>
              <w:tabs>
                <w:tab w:val="left" w:pos="915"/>
              </w:tabs>
              <w:contextualSpacing/>
              <w:jc w:val="both"/>
              <w:rPr>
                <w:rFonts w:ascii="Arial" w:hAnsi="Arial" w:cs="Arial"/>
                <w:b/>
                <w:bCs/>
                <w:sz w:val="24"/>
                <w:szCs w:val="24"/>
              </w:rPr>
            </w:pPr>
            <w:r w:rsidRPr="006B5C0D">
              <w:rPr>
                <w:rFonts w:ascii="Arial" w:hAnsi="Arial" w:cs="Arial"/>
                <w:b/>
                <w:bCs/>
                <w:sz w:val="24"/>
                <w:szCs w:val="24"/>
              </w:rPr>
              <w:t xml:space="preserve">Receivables days = (Trade receivables / Net sales) × 365 </w:t>
            </w:r>
          </w:p>
        </w:tc>
      </w:tr>
      <w:tr w:rsidR="006B5C0D" w:rsidRPr="006B5C0D" w14:paraId="4561307B" w14:textId="77777777" w:rsidTr="00426190">
        <w:tc>
          <w:tcPr>
            <w:tcW w:w="9350" w:type="dxa"/>
          </w:tcPr>
          <w:p w14:paraId="7BF6C7F0" w14:textId="77777777" w:rsidR="006B5C0D" w:rsidRPr="006B5C0D" w:rsidRDefault="006B5C0D" w:rsidP="006B5C0D">
            <w:pPr>
              <w:numPr>
                <w:ilvl w:val="0"/>
                <w:numId w:val="12"/>
              </w:numPr>
              <w:tabs>
                <w:tab w:val="left" w:pos="915"/>
              </w:tabs>
              <w:contextualSpacing/>
              <w:jc w:val="both"/>
              <w:rPr>
                <w:rFonts w:ascii="Arial" w:hAnsi="Arial" w:cs="Arial"/>
                <w:b/>
                <w:bCs/>
                <w:sz w:val="24"/>
                <w:szCs w:val="24"/>
              </w:rPr>
            </w:pPr>
            <w:r w:rsidRPr="006B5C0D">
              <w:rPr>
                <w:rFonts w:ascii="Arial" w:hAnsi="Arial" w:cs="Arial"/>
                <w:b/>
                <w:bCs/>
                <w:sz w:val="24"/>
                <w:szCs w:val="24"/>
              </w:rPr>
              <w:t>Inventory days = (Inventory / Cost of sales) × 365</w:t>
            </w:r>
          </w:p>
        </w:tc>
      </w:tr>
      <w:tr w:rsidR="006B5C0D" w:rsidRPr="006B5C0D" w14:paraId="2614A586" w14:textId="77777777" w:rsidTr="00426190">
        <w:tc>
          <w:tcPr>
            <w:tcW w:w="9350" w:type="dxa"/>
          </w:tcPr>
          <w:p w14:paraId="3C8DC6E9" w14:textId="77777777" w:rsidR="006B5C0D" w:rsidRPr="006B5C0D" w:rsidRDefault="006B5C0D" w:rsidP="006B5C0D">
            <w:pPr>
              <w:numPr>
                <w:ilvl w:val="0"/>
                <w:numId w:val="12"/>
              </w:numPr>
              <w:tabs>
                <w:tab w:val="left" w:pos="915"/>
              </w:tabs>
              <w:contextualSpacing/>
              <w:jc w:val="both"/>
              <w:rPr>
                <w:rFonts w:ascii="Arial" w:hAnsi="Arial" w:cs="Arial"/>
                <w:b/>
                <w:bCs/>
                <w:sz w:val="24"/>
                <w:szCs w:val="24"/>
              </w:rPr>
            </w:pPr>
            <w:r w:rsidRPr="006B5C0D">
              <w:rPr>
                <w:rFonts w:ascii="Arial" w:hAnsi="Arial" w:cs="Arial"/>
                <w:b/>
                <w:bCs/>
                <w:sz w:val="24"/>
                <w:szCs w:val="24"/>
              </w:rPr>
              <w:t>Payables days = (Trade payables / Cost of sales) × 365</w:t>
            </w:r>
          </w:p>
        </w:tc>
      </w:tr>
      <w:tr w:rsidR="006B5C0D" w:rsidRPr="006B5C0D" w14:paraId="14C8AD27" w14:textId="77777777" w:rsidTr="00426190">
        <w:tc>
          <w:tcPr>
            <w:tcW w:w="9350" w:type="dxa"/>
          </w:tcPr>
          <w:p w14:paraId="011EC719" w14:textId="77777777" w:rsidR="006B5C0D" w:rsidRPr="006B5C0D" w:rsidRDefault="006B5C0D" w:rsidP="006B5C0D">
            <w:pPr>
              <w:numPr>
                <w:ilvl w:val="0"/>
                <w:numId w:val="12"/>
              </w:numPr>
              <w:tabs>
                <w:tab w:val="left" w:pos="915"/>
              </w:tabs>
              <w:contextualSpacing/>
              <w:jc w:val="both"/>
              <w:rPr>
                <w:rFonts w:ascii="Arial" w:hAnsi="Arial" w:cs="Arial"/>
                <w:b/>
                <w:bCs/>
                <w:sz w:val="24"/>
                <w:szCs w:val="24"/>
              </w:rPr>
            </w:pPr>
            <w:r w:rsidRPr="006B5C0D">
              <w:rPr>
                <w:rFonts w:ascii="Arial" w:hAnsi="Arial" w:cs="Arial"/>
                <w:b/>
                <w:bCs/>
                <w:sz w:val="24"/>
                <w:szCs w:val="24"/>
              </w:rPr>
              <w:t>Cash operating cycle = Receivables days + Inventory days − Payables days</w:t>
            </w:r>
          </w:p>
        </w:tc>
      </w:tr>
    </w:tbl>
    <w:p w14:paraId="71A764F1" w14:textId="77777777" w:rsidR="006B5C0D" w:rsidRPr="006B5C0D" w:rsidRDefault="006B5C0D" w:rsidP="006B5C0D">
      <w:pPr>
        <w:tabs>
          <w:tab w:val="left" w:pos="915"/>
        </w:tabs>
        <w:jc w:val="both"/>
        <w:rPr>
          <w:rFonts w:ascii="Arial" w:hAnsi="Arial" w:cs="Arial"/>
          <w:sz w:val="20"/>
          <w:szCs w:val="20"/>
        </w:rPr>
      </w:pPr>
      <w:r w:rsidRPr="006B5C0D">
        <w:rPr>
          <w:rFonts w:ascii="Arial" w:hAnsi="Arial" w:cs="Arial"/>
          <w:sz w:val="20"/>
          <w:szCs w:val="20"/>
        </w:rPr>
        <w:t>NOTE:</w:t>
      </w:r>
      <w:r w:rsidRPr="006B5C0D">
        <w:rPr>
          <w:sz w:val="18"/>
          <w:szCs w:val="18"/>
        </w:rPr>
        <w:t xml:space="preserve"> </w:t>
      </w:r>
      <w:r w:rsidRPr="006B5C0D">
        <w:rPr>
          <w:rFonts w:ascii="Arial" w:hAnsi="Arial" w:cs="Arial"/>
          <w:sz w:val="20"/>
          <w:szCs w:val="20"/>
        </w:rPr>
        <w:t>The calculation of payables days uses trade payables data and cost of sales from the dataset, and all values are rounded to two decimal places.</w:t>
      </w:r>
    </w:p>
    <w:tbl>
      <w:tblPr>
        <w:tblStyle w:val="TableGrid"/>
        <w:tblW w:w="0" w:type="auto"/>
        <w:tblLook w:val="04A0" w:firstRow="1" w:lastRow="0" w:firstColumn="1" w:lastColumn="0" w:noHBand="0" w:noVBand="1"/>
      </w:tblPr>
      <w:tblGrid>
        <w:gridCol w:w="1255"/>
        <w:gridCol w:w="2160"/>
        <w:gridCol w:w="1980"/>
        <w:gridCol w:w="1800"/>
        <w:gridCol w:w="2155"/>
      </w:tblGrid>
      <w:tr w:rsidR="006B5C0D" w:rsidRPr="006B5C0D" w14:paraId="659F76CC" w14:textId="77777777" w:rsidTr="00426190">
        <w:tc>
          <w:tcPr>
            <w:tcW w:w="1255" w:type="dxa"/>
            <w:hideMark/>
          </w:tcPr>
          <w:p w14:paraId="3DD86A99"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Year</w:t>
            </w:r>
          </w:p>
        </w:tc>
        <w:tc>
          <w:tcPr>
            <w:tcW w:w="2160" w:type="dxa"/>
            <w:hideMark/>
          </w:tcPr>
          <w:p w14:paraId="327E472D"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Receivables Days</w:t>
            </w:r>
          </w:p>
        </w:tc>
        <w:tc>
          <w:tcPr>
            <w:tcW w:w="1980" w:type="dxa"/>
            <w:hideMark/>
          </w:tcPr>
          <w:p w14:paraId="317D49CA"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Inventory Days</w:t>
            </w:r>
          </w:p>
        </w:tc>
        <w:tc>
          <w:tcPr>
            <w:tcW w:w="1800" w:type="dxa"/>
            <w:hideMark/>
          </w:tcPr>
          <w:p w14:paraId="2E8485F4"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Payables Days</w:t>
            </w:r>
          </w:p>
        </w:tc>
        <w:tc>
          <w:tcPr>
            <w:tcW w:w="2155" w:type="dxa"/>
            <w:hideMark/>
          </w:tcPr>
          <w:p w14:paraId="2D13A4A1" w14:textId="77777777" w:rsidR="006B5C0D" w:rsidRPr="006B5C0D" w:rsidRDefault="006B5C0D" w:rsidP="006B5C0D">
            <w:pPr>
              <w:spacing w:line="360" w:lineRule="auto"/>
              <w:jc w:val="center"/>
              <w:rPr>
                <w:rFonts w:ascii="Arial" w:eastAsia="Times New Roman" w:hAnsi="Arial" w:cs="Arial"/>
                <w:b/>
                <w:bCs/>
                <w:sz w:val="24"/>
                <w:szCs w:val="24"/>
              </w:rPr>
            </w:pPr>
            <w:r w:rsidRPr="006B5C0D">
              <w:rPr>
                <w:rFonts w:ascii="Arial" w:eastAsia="Times New Roman" w:hAnsi="Arial" w:cs="Arial"/>
                <w:b/>
                <w:bCs/>
                <w:sz w:val="24"/>
                <w:szCs w:val="24"/>
              </w:rPr>
              <w:t>Cash Operating Cycle</w:t>
            </w:r>
          </w:p>
        </w:tc>
      </w:tr>
      <w:tr w:rsidR="006B5C0D" w:rsidRPr="006B5C0D" w14:paraId="02C951E2" w14:textId="77777777" w:rsidTr="00426190">
        <w:tc>
          <w:tcPr>
            <w:tcW w:w="1255" w:type="dxa"/>
            <w:hideMark/>
          </w:tcPr>
          <w:p w14:paraId="319D66CC"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2020</w:t>
            </w:r>
          </w:p>
        </w:tc>
        <w:tc>
          <w:tcPr>
            <w:tcW w:w="2160" w:type="dxa"/>
            <w:hideMark/>
          </w:tcPr>
          <w:p w14:paraId="7E7D6F2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76.86</w:t>
            </w:r>
          </w:p>
        </w:tc>
        <w:tc>
          <w:tcPr>
            <w:tcW w:w="1980" w:type="dxa"/>
            <w:hideMark/>
          </w:tcPr>
          <w:p w14:paraId="2D1E439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100.26</w:t>
            </w:r>
          </w:p>
        </w:tc>
        <w:tc>
          <w:tcPr>
            <w:tcW w:w="1800" w:type="dxa"/>
            <w:hideMark/>
          </w:tcPr>
          <w:p w14:paraId="7D13238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65.00</w:t>
            </w:r>
          </w:p>
        </w:tc>
        <w:tc>
          <w:tcPr>
            <w:tcW w:w="2155" w:type="dxa"/>
            <w:hideMark/>
          </w:tcPr>
          <w:p w14:paraId="624817E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112.12</w:t>
            </w:r>
          </w:p>
        </w:tc>
      </w:tr>
      <w:tr w:rsidR="006B5C0D" w:rsidRPr="006B5C0D" w14:paraId="7E25D77A" w14:textId="77777777" w:rsidTr="00426190">
        <w:tc>
          <w:tcPr>
            <w:tcW w:w="1255" w:type="dxa"/>
            <w:hideMark/>
          </w:tcPr>
          <w:p w14:paraId="00570C98"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2021</w:t>
            </w:r>
          </w:p>
        </w:tc>
        <w:tc>
          <w:tcPr>
            <w:tcW w:w="2160" w:type="dxa"/>
            <w:hideMark/>
          </w:tcPr>
          <w:p w14:paraId="268ACD42"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78.40</w:t>
            </w:r>
          </w:p>
        </w:tc>
        <w:tc>
          <w:tcPr>
            <w:tcW w:w="1980" w:type="dxa"/>
            <w:hideMark/>
          </w:tcPr>
          <w:p w14:paraId="35F123A1"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114.52</w:t>
            </w:r>
          </w:p>
        </w:tc>
        <w:tc>
          <w:tcPr>
            <w:tcW w:w="1800" w:type="dxa"/>
            <w:hideMark/>
          </w:tcPr>
          <w:p w14:paraId="7EF0AC14"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66.00</w:t>
            </w:r>
          </w:p>
        </w:tc>
        <w:tc>
          <w:tcPr>
            <w:tcW w:w="2155" w:type="dxa"/>
            <w:hideMark/>
          </w:tcPr>
          <w:p w14:paraId="72067E3D"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126.92</w:t>
            </w:r>
          </w:p>
        </w:tc>
      </w:tr>
      <w:tr w:rsidR="006B5C0D" w:rsidRPr="006B5C0D" w14:paraId="2D6A429D" w14:textId="77777777" w:rsidTr="00426190">
        <w:tc>
          <w:tcPr>
            <w:tcW w:w="1255" w:type="dxa"/>
            <w:hideMark/>
          </w:tcPr>
          <w:p w14:paraId="0CC8642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2022</w:t>
            </w:r>
          </w:p>
        </w:tc>
        <w:tc>
          <w:tcPr>
            <w:tcW w:w="2160" w:type="dxa"/>
            <w:hideMark/>
          </w:tcPr>
          <w:p w14:paraId="7EB5DC63"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75.55</w:t>
            </w:r>
          </w:p>
        </w:tc>
        <w:tc>
          <w:tcPr>
            <w:tcW w:w="1980" w:type="dxa"/>
            <w:hideMark/>
          </w:tcPr>
          <w:p w14:paraId="21D4CE1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131.04</w:t>
            </w:r>
          </w:p>
        </w:tc>
        <w:tc>
          <w:tcPr>
            <w:tcW w:w="1800" w:type="dxa"/>
            <w:hideMark/>
          </w:tcPr>
          <w:p w14:paraId="7BF2C8E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68.00</w:t>
            </w:r>
          </w:p>
        </w:tc>
        <w:tc>
          <w:tcPr>
            <w:tcW w:w="2155" w:type="dxa"/>
            <w:hideMark/>
          </w:tcPr>
          <w:p w14:paraId="2C1143FE"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138.59</w:t>
            </w:r>
          </w:p>
        </w:tc>
      </w:tr>
      <w:tr w:rsidR="006B5C0D" w:rsidRPr="006B5C0D" w14:paraId="7DCAF72A" w14:textId="77777777" w:rsidTr="00426190">
        <w:tc>
          <w:tcPr>
            <w:tcW w:w="1255" w:type="dxa"/>
            <w:hideMark/>
          </w:tcPr>
          <w:p w14:paraId="608A449E"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2023</w:t>
            </w:r>
          </w:p>
        </w:tc>
        <w:tc>
          <w:tcPr>
            <w:tcW w:w="2160" w:type="dxa"/>
            <w:hideMark/>
          </w:tcPr>
          <w:p w14:paraId="33775B75"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97.74</w:t>
            </w:r>
          </w:p>
        </w:tc>
        <w:tc>
          <w:tcPr>
            <w:tcW w:w="1980" w:type="dxa"/>
            <w:hideMark/>
          </w:tcPr>
          <w:p w14:paraId="04FC6D3A"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99.78</w:t>
            </w:r>
          </w:p>
        </w:tc>
        <w:tc>
          <w:tcPr>
            <w:tcW w:w="1800" w:type="dxa"/>
            <w:hideMark/>
          </w:tcPr>
          <w:p w14:paraId="62F6F5C0"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69.00</w:t>
            </w:r>
          </w:p>
        </w:tc>
        <w:tc>
          <w:tcPr>
            <w:tcW w:w="2155" w:type="dxa"/>
            <w:hideMark/>
          </w:tcPr>
          <w:p w14:paraId="373EC2F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128.52</w:t>
            </w:r>
          </w:p>
        </w:tc>
      </w:tr>
      <w:tr w:rsidR="006B5C0D" w:rsidRPr="006B5C0D" w14:paraId="48894EB3" w14:textId="77777777" w:rsidTr="00426190">
        <w:tc>
          <w:tcPr>
            <w:tcW w:w="1255" w:type="dxa"/>
            <w:hideMark/>
          </w:tcPr>
          <w:p w14:paraId="6E78FA3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2024</w:t>
            </w:r>
          </w:p>
        </w:tc>
        <w:tc>
          <w:tcPr>
            <w:tcW w:w="2160" w:type="dxa"/>
            <w:hideMark/>
          </w:tcPr>
          <w:p w14:paraId="3225239F"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105.54</w:t>
            </w:r>
          </w:p>
        </w:tc>
        <w:tc>
          <w:tcPr>
            <w:tcW w:w="1980" w:type="dxa"/>
            <w:hideMark/>
          </w:tcPr>
          <w:p w14:paraId="55D4516B"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103.12</w:t>
            </w:r>
          </w:p>
        </w:tc>
        <w:tc>
          <w:tcPr>
            <w:tcW w:w="1800" w:type="dxa"/>
            <w:hideMark/>
          </w:tcPr>
          <w:p w14:paraId="4D445AB9"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70.00</w:t>
            </w:r>
          </w:p>
        </w:tc>
        <w:tc>
          <w:tcPr>
            <w:tcW w:w="2155" w:type="dxa"/>
            <w:hideMark/>
          </w:tcPr>
          <w:p w14:paraId="525957C7" w14:textId="77777777" w:rsidR="006B5C0D" w:rsidRPr="006B5C0D" w:rsidRDefault="006B5C0D" w:rsidP="006B5C0D">
            <w:pPr>
              <w:spacing w:line="360" w:lineRule="auto"/>
              <w:jc w:val="center"/>
              <w:rPr>
                <w:rFonts w:ascii="Arial" w:eastAsia="Times New Roman" w:hAnsi="Arial" w:cs="Arial"/>
                <w:sz w:val="24"/>
                <w:szCs w:val="24"/>
              </w:rPr>
            </w:pPr>
            <w:r w:rsidRPr="006B5C0D">
              <w:rPr>
                <w:rFonts w:ascii="Arial" w:eastAsia="Times New Roman" w:hAnsi="Arial" w:cs="Arial"/>
                <w:sz w:val="24"/>
                <w:szCs w:val="24"/>
              </w:rPr>
              <w:t>138.66</w:t>
            </w:r>
          </w:p>
        </w:tc>
      </w:tr>
    </w:tbl>
    <w:p w14:paraId="569D07F6" w14:textId="77777777" w:rsidR="006B5C0D" w:rsidRPr="006B5C0D" w:rsidRDefault="006B5C0D" w:rsidP="006B5C0D">
      <w:pPr>
        <w:tabs>
          <w:tab w:val="left" w:pos="915"/>
        </w:tabs>
        <w:jc w:val="center"/>
        <w:rPr>
          <w:rFonts w:ascii="Arial" w:hAnsi="Arial" w:cs="Arial"/>
          <w:b/>
          <w:bCs/>
          <w:sz w:val="24"/>
          <w:szCs w:val="24"/>
        </w:rPr>
      </w:pPr>
      <w:r w:rsidRPr="006B5C0D">
        <w:rPr>
          <w:noProof/>
        </w:rPr>
        <w:lastRenderedPageBreak/>
        <w:drawing>
          <wp:inline distT="0" distB="0" distL="0" distR="0" wp14:anchorId="679E42F2" wp14:editId="0AB1E353">
            <wp:extent cx="6048375" cy="4714875"/>
            <wp:effectExtent l="0" t="0" r="9525" b="9525"/>
            <wp:docPr id="10" name="Chart 10">
              <a:extLst xmlns:a="http://schemas.openxmlformats.org/drawingml/2006/main">
                <a:ext uri="{FF2B5EF4-FFF2-40B4-BE49-F238E27FC236}">
                  <a16:creationId xmlns:a16="http://schemas.microsoft.com/office/drawing/2014/main" id="{46E8E4D1-6CC6-4BD6-A133-978EAFB37F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1474786" w14:textId="77777777" w:rsidR="006B5C0D" w:rsidRPr="006B5C0D" w:rsidRDefault="006B5C0D" w:rsidP="006B5C0D">
      <w:pPr>
        <w:tabs>
          <w:tab w:val="left" w:pos="915"/>
        </w:tabs>
        <w:jc w:val="center"/>
        <w:rPr>
          <w:rFonts w:ascii="Arial" w:hAnsi="Arial" w:cs="Arial"/>
          <w:b/>
          <w:bCs/>
          <w:sz w:val="24"/>
          <w:szCs w:val="24"/>
        </w:rPr>
      </w:pPr>
      <w:r w:rsidRPr="006B5C0D">
        <w:rPr>
          <w:rFonts w:ascii="Arial" w:hAnsi="Arial" w:cs="Arial"/>
          <w:b/>
          <w:bCs/>
          <w:sz w:val="24"/>
          <w:szCs w:val="24"/>
        </w:rPr>
        <w:t>FIGURE:</w:t>
      </w:r>
      <w:r w:rsidRPr="006B5C0D">
        <w:t xml:space="preserve"> </w:t>
      </w:r>
      <w:r w:rsidRPr="006B5C0D">
        <w:rPr>
          <w:rFonts w:ascii="Arial" w:hAnsi="Arial" w:cs="Arial"/>
          <w:b/>
          <w:bCs/>
          <w:sz w:val="24"/>
          <w:szCs w:val="24"/>
        </w:rPr>
        <w:t>Working Capital Calculations</w:t>
      </w:r>
    </w:p>
    <w:p w14:paraId="068FD3BF" w14:textId="77777777" w:rsidR="006B5C0D" w:rsidRPr="006B5C0D" w:rsidRDefault="006B5C0D" w:rsidP="006B5C0D">
      <w:pPr>
        <w:tabs>
          <w:tab w:val="left" w:pos="915"/>
        </w:tabs>
        <w:rPr>
          <w:rFonts w:ascii="Arial" w:hAnsi="Arial" w:cs="Arial"/>
          <w:b/>
          <w:bCs/>
          <w:sz w:val="24"/>
          <w:szCs w:val="24"/>
        </w:rPr>
      </w:pPr>
    </w:p>
    <w:p w14:paraId="56BB07B9" w14:textId="77777777" w:rsidR="006B5C0D" w:rsidRPr="006B5C0D" w:rsidRDefault="006B5C0D" w:rsidP="006B5C0D">
      <w:pPr>
        <w:tabs>
          <w:tab w:val="left" w:pos="915"/>
        </w:tabs>
        <w:jc w:val="center"/>
        <w:rPr>
          <w:rFonts w:ascii="Arial" w:hAnsi="Arial" w:cs="Arial"/>
          <w:b/>
          <w:bCs/>
          <w:sz w:val="24"/>
          <w:szCs w:val="24"/>
        </w:rPr>
      </w:pPr>
      <w:r w:rsidRPr="006B5C0D">
        <w:rPr>
          <w:rFonts w:ascii="Arial" w:hAnsi="Arial" w:cs="Arial"/>
          <w:b/>
          <w:bCs/>
          <w:sz w:val="24"/>
          <w:szCs w:val="24"/>
        </w:rPr>
        <w:t>Appendix C: Pro Forma Financial Restructuring Workings</w:t>
      </w:r>
    </w:p>
    <w:p w14:paraId="60242D08" w14:textId="77777777" w:rsidR="006B5C0D" w:rsidRDefault="006B5C0D" w:rsidP="006B5C0D">
      <w:pPr>
        <w:tabs>
          <w:tab w:val="left" w:pos="915"/>
        </w:tabs>
        <w:spacing w:line="360" w:lineRule="auto"/>
        <w:jc w:val="both"/>
        <w:rPr>
          <w:rFonts w:ascii="Arial" w:hAnsi="Arial" w:cs="Arial"/>
          <w:sz w:val="24"/>
          <w:szCs w:val="24"/>
        </w:rPr>
      </w:pPr>
      <w:r w:rsidRPr="006B5C0D">
        <w:rPr>
          <w:rFonts w:ascii="Arial" w:hAnsi="Arial" w:cs="Arial"/>
          <w:sz w:val="24"/>
          <w:szCs w:val="24"/>
        </w:rPr>
        <w:t>The Excel-style calculations presented in Appendix C support the Strategic Financial Restructuring Plan by applying the restructuring assumptions from Section 3 to General Electronics’ 2024 financial position.</w:t>
      </w:r>
    </w:p>
    <w:p w14:paraId="444814D8" w14:textId="77777777" w:rsidR="006B5C0D" w:rsidRDefault="006B5C0D" w:rsidP="006B5C0D">
      <w:pPr>
        <w:tabs>
          <w:tab w:val="left" w:pos="915"/>
        </w:tabs>
        <w:spacing w:line="360" w:lineRule="auto"/>
        <w:jc w:val="both"/>
        <w:rPr>
          <w:rFonts w:ascii="Arial" w:hAnsi="Arial" w:cs="Arial"/>
          <w:sz w:val="24"/>
          <w:szCs w:val="24"/>
        </w:rPr>
      </w:pPr>
    </w:p>
    <w:p w14:paraId="6F4E9E96" w14:textId="77777777" w:rsidR="006B5C0D" w:rsidRDefault="006B5C0D" w:rsidP="006B5C0D">
      <w:pPr>
        <w:tabs>
          <w:tab w:val="left" w:pos="915"/>
        </w:tabs>
        <w:spacing w:line="360" w:lineRule="auto"/>
        <w:jc w:val="both"/>
        <w:rPr>
          <w:rFonts w:ascii="Arial" w:hAnsi="Arial" w:cs="Arial"/>
          <w:sz w:val="24"/>
          <w:szCs w:val="24"/>
        </w:rPr>
      </w:pPr>
    </w:p>
    <w:p w14:paraId="0981A147" w14:textId="77777777" w:rsidR="006B5C0D" w:rsidRDefault="006B5C0D" w:rsidP="006B5C0D">
      <w:pPr>
        <w:tabs>
          <w:tab w:val="left" w:pos="915"/>
        </w:tabs>
        <w:spacing w:line="360" w:lineRule="auto"/>
        <w:jc w:val="both"/>
        <w:rPr>
          <w:rFonts w:ascii="Arial" w:hAnsi="Arial" w:cs="Arial"/>
          <w:sz w:val="24"/>
          <w:szCs w:val="24"/>
        </w:rPr>
      </w:pPr>
    </w:p>
    <w:p w14:paraId="348D3C51" w14:textId="77777777" w:rsidR="006B5C0D" w:rsidRPr="006B5C0D" w:rsidRDefault="006B5C0D" w:rsidP="006B5C0D">
      <w:pPr>
        <w:tabs>
          <w:tab w:val="left" w:pos="915"/>
        </w:tabs>
        <w:spacing w:line="360" w:lineRule="auto"/>
        <w:jc w:val="both"/>
        <w:rPr>
          <w:rFonts w:ascii="Arial" w:hAnsi="Arial" w:cs="Arial"/>
          <w:sz w:val="24"/>
          <w:szCs w:val="24"/>
        </w:rPr>
      </w:pPr>
    </w:p>
    <w:p w14:paraId="66E06A2A" w14:textId="77777777" w:rsidR="006B5C0D" w:rsidRPr="006B5C0D" w:rsidRDefault="006B5C0D" w:rsidP="006B5C0D">
      <w:pPr>
        <w:numPr>
          <w:ilvl w:val="0"/>
          <w:numId w:val="13"/>
        </w:numPr>
        <w:tabs>
          <w:tab w:val="left" w:pos="915"/>
        </w:tabs>
        <w:spacing w:line="360" w:lineRule="auto"/>
        <w:contextualSpacing/>
        <w:jc w:val="both"/>
        <w:rPr>
          <w:rFonts w:ascii="Arial" w:hAnsi="Arial" w:cs="Arial"/>
          <w:b/>
          <w:bCs/>
          <w:sz w:val="24"/>
          <w:szCs w:val="24"/>
        </w:rPr>
      </w:pPr>
      <w:r w:rsidRPr="006B5C0D">
        <w:rPr>
          <w:rFonts w:ascii="Arial" w:hAnsi="Arial" w:cs="Arial"/>
          <w:b/>
          <w:bCs/>
          <w:sz w:val="24"/>
          <w:szCs w:val="24"/>
        </w:rPr>
        <w:lastRenderedPageBreak/>
        <w:t>Key restructuring assumptions</w:t>
      </w:r>
    </w:p>
    <w:p w14:paraId="4A55BA6E" w14:textId="77777777" w:rsidR="006B5C0D" w:rsidRPr="006B5C0D" w:rsidRDefault="006B5C0D" w:rsidP="006B5C0D">
      <w:pPr>
        <w:tabs>
          <w:tab w:val="left" w:pos="915"/>
        </w:tabs>
        <w:spacing w:line="360" w:lineRule="auto"/>
        <w:jc w:val="both"/>
        <w:rPr>
          <w:rFonts w:ascii="Arial" w:hAnsi="Arial" w:cs="Arial"/>
          <w:b/>
          <w:bCs/>
          <w:sz w:val="24"/>
          <w:szCs w:val="24"/>
        </w:rPr>
      </w:pPr>
      <w:r w:rsidRPr="006B5C0D">
        <w:rPr>
          <w:rFonts w:ascii="Arial" w:hAnsi="Arial" w:cs="Arial"/>
          <w:b/>
          <w:bCs/>
          <w:noProof/>
          <w:sz w:val="24"/>
          <w:szCs w:val="24"/>
        </w:rPr>
        <w:drawing>
          <wp:inline distT="0" distB="0" distL="0" distR="0" wp14:anchorId="37D7C6F0" wp14:editId="6BF7C551">
            <wp:extent cx="6391275" cy="2847975"/>
            <wp:effectExtent l="0" t="0" r="952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55DDDA63" w14:textId="77777777" w:rsidR="006B5C0D" w:rsidRPr="00125757" w:rsidRDefault="006B5C0D" w:rsidP="00125757">
      <w:pPr>
        <w:pStyle w:val="Heading2"/>
        <w:numPr>
          <w:ilvl w:val="0"/>
          <w:numId w:val="17"/>
        </w:numPr>
        <w:jc w:val="center"/>
        <w:rPr>
          <w:b w:val="0"/>
          <w:bCs/>
        </w:rPr>
      </w:pPr>
      <w:bookmarkStart w:id="39" w:name="_Toc217280926"/>
      <w:r w:rsidRPr="00125757">
        <w:rPr>
          <w:bCs/>
        </w:rPr>
        <w:t>Table C1: Pro Forma Statement of Financial Position Impact (2024)</w:t>
      </w:r>
      <w:bookmarkEnd w:id="39"/>
    </w:p>
    <w:p w14:paraId="3B0FEC4B" w14:textId="77777777" w:rsidR="006B5C0D" w:rsidRPr="006B5C0D" w:rsidRDefault="006B5C0D" w:rsidP="006B5C0D">
      <w:pPr>
        <w:tabs>
          <w:tab w:val="left" w:pos="915"/>
        </w:tabs>
        <w:spacing w:line="360" w:lineRule="auto"/>
        <w:rPr>
          <w:rFonts w:ascii="Arial" w:hAnsi="Arial" w:cs="Arial"/>
          <w:b/>
          <w:bCs/>
          <w:sz w:val="24"/>
          <w:szCs w:val="24"/>
        </w:rPr>
      </w:pPr>
      <w:r w:rsidRPr="006B5C0D">
        <w:rPr>
          <w:rFonts w:ascii="Arial" w:hAnsi="Arial" w:cs="Arial"/>
          <w:b/>
          <w:bCs/>
          <w:sz w:val="24"/>
          <w:szCs w:val="24"/>
        </w:rPr>
        <w:t>Note: Net asset growth reflects the equity injection net of divestment proceeds.</w:t>
      </w:r>
    </w:p>
    <w:tbl>
      <w:tblPr>
        <w:tblStyle w:val="TableGrid"/>
        <w:tblW w:w="0" w:type="auto"/>
        <w:tblLook w:val="04A0" w:firstRow="1" w:lastRow="0" w:firstColumn="1" w:lastColumn="0" w:noHBand="0" w:noVBand="1"/>
      </w:tblPr>
      <w:tblGrid>
        <w:gridCol w:w="2211"/>
        <w:gridCol w:w="1411"/>
        <w:gridCol w:w="2848"/>
        <w:gridCol w:w="2880"/>
      </w:tblGrid>
      <w:tr w:rsidR="006B5C0D" w:rsidRPr="006B5C0D" w14:paraId="031A4983" w14:textId="77777777" w:rsidTr="00426190">
        <w:tc>
          <w:tcPr>
            <w:tcW w:w="0" w:type="auto"/>
            <w:hideMark/>
          </w:tcPr>
          <w:p w14:paraId="6CE8DB66" w14:textId="77777777" w:rsidR="006B5C0D" w:rsidRPr="006B5C0D" w:rsidRDefault="006B5C0D" w:rsidP="006B5C0D">
            <w:pPr>
              <w:spacing w:line="360" w:lineRule="auto"/>
              <w:jc w:val="center"/>
              <w:rPr>
                <w:rFonts w:ascii="Arial" w:hAnsi="Arial" w:cs="Arial"/>
                <w:b/>
                <w:bCs/>
                <w:sz w:val="24"/>
                <w:szCs w:val="24"/>
              </w:rPr>
            </w:pPr>
            <w:r w:rsidRPr="006B5C0D">
              <w:rPr>
                <w:rFonts w:ascii="Arial" w:hAnsi="Arial" w:cs="Arial"/>
                <w:b/>
                <w:bCs/>
                <w:sz w:val="24"/>
                <w:szCs w:val="24"/>
              </w:rPr>
              <w:t>Item (£ million)</w:t>
            </w:r>
          </w:p>
        </w:tc>
        <w:tc>
          <w:tcPr>
            <w:tcW w:w="0" w:type="auto"/>
            <w:hideMark/>
          </w:tcPr>
          <w:p w14:paraId="3C35D64F" w14:textId="77777777" w:rsidR="006B5C0D" w:rsidRPr="006B5C0D" w:rsidRDefault="006B5C0D" w:rsidP="006B5C0D">
            <w:pPr>
              <w:spacing w:line="360" w:lineRule="auto"/>
              <w:jc w:val="center"/>
              <w:rPr>
                <w:rFonts w:ascii="Arial" w:hAnsi="Arial" w:cs="Arial"/>
                <w:b/>
                <w:bCs/>
                <w:sz w:val="24"/>
                <w:szCs w:val="24"/>
              </w:rPr>
            </w:pPr>
            <w:r w:rsidRPr="006B5C0D">
              <w:rPr>
                <w:rFonts w:ascii="Arial" w:hAnsi="Arial" w:cs="Arial"/>
                <w:b/>
                <w:bCs/>
                <w:sz w:val="24"/>
                <w:szCs w:val="24"/>
              </w:rPr>
              <w:t>Actual 2024</w:t>
            </w:r>
          </w:p>
        </w:tc>
        <w:tc>
          <w:tcPr>
            <w:tcW w:w="2848" w:type="dxa"/>
            <w:hideMark/>
          </w:tcPr>
          <w:p w14:paraId="786B7115" w14:textId="77777777" w:rsidR="006B5C0D" w:rsidRPr="006B5C0D" w:rsidRDefault="006B5C0D" w:rsidP="006B5C0D">
            <w:pPr>
              <w:spacing w:line="360" w:lineRule="auto"/>
              <w:jc w:val="center"/>
              <w:rPr>
                <w:rFonts w:ascii="Arial" w:hAnsi="Arial" w:cs="Arial"/>
                <w:b/>
                <w:bCs/>
                <w:sz w:val="24"/>
                <w:szCs w:val="24"/>
              </w:rPr>
            </w:pPr>
            <w:r w:rsidRPr="006B5C0D">
              <w:rPr>
                <w:rFonts w:ascii="Arial" w:hAnsi="Arial" w:cs="Arial"/>
                <w:b/>
                <w:bCs/>
                <w:sz w:val="24"/>
                <w:szCs w:val="24"/>
              </w:rPr>
              <w:t>Adjustment</w:t>
            </w:r>
          </w:p>
        </w:tc>
        <w:tc>
          <w:tcPr>
            <w:tcW w:w="2880" w:type="dxa"/>
            <w:hideMark/>
          </w:tcPr>
          <w:p w14:paraId="4CDE3168" w14:textId="77777777" w:rsidR="006B5C0D" w:rsidRPr="006B5C0D" w:rsidRDefault="006B5C0D" w:rsidP="006B5C0D">
            <w:pPr>
              <w:spacing w:line="360" w:lineRule="auto"/>
              <w:jc w:val="center"/>
              <w:rPr>
                <w:rFonts w:ascii="Arial" w:hAnsi="Arial" w:cs="Arial"/>
                <w:b/>
                <w:bCs/>
                <w:sz w:val="24"/>
                <w:szCs w:val="24"/>
              </w:rPr>
            </w:pPr>
            <w:r w:rsidRPr="006B5C0D">
              <w:rPr>
                <w:rFonts w:ascii="Arial" w:hAnsi="Arial" w:cs="Arial"/>
                <w:b/>
                <w:bCs/>
                <w:sz w:val="24"/>
                <w:szCs w:val="24"/>
              </w:rPr>
              <w:t>Pro</w:t>
            </w:r>
            <w:r w:rsidRPr="006B5C0D">
              <w:rPr>
                <w:rFonts w:ascii="Arial" w:hAnsi="Arial" w:cs="Arial"/>
                <w:b/>
                <w:bCs/>
                <w:sz w:val="24"/>
                <w:szCs w:val="24"/>
              </w:rPr>
              <w:noBreakHyphen/>
              <w:t>Forma 2024</w:t>
            </w:r>
          </w:p>
        </w:tc>
      </w:tr>
      <w:tr w:rsidR="006B5C0D" w:rsidRPr="006B5C0D" w14:paraId="7762C88B" w14:textId="77777777" w:rsidTr="00426190">
        <w:tc>
          <w:tcPr>
            <w:tcW w:w="0" w:type="auto"/>
            <w:hideMark/>
          </w:tcPr>
          <w:p w14:paraId="2282DB31"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Total Assets</w:t>
            </w:r>
          </w:p>
        </w:tc>
        <w:tc>
          <w:tcPr>
            <w:tcW w:w="0" w:type="auto"/>
            <w:hideMark/>
          </w:tcPr>
          <w:p w14:paraId="111FADE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323,354</w:t>
            </w:r>
          </w:p>
        </w:tc>
        <w:tc>
          <w:tcPr>
            <w:tcW w:w="2848" w:type="dxa"/>
            <w:hideMark/>
          </w:tcPr>
          <w:p w14:paraId="075F9C97"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+12,966</w:t>
            </w:r>
          </w:p>
        </w:tc>
        <w:tc>
          <w:tcPr>
            <w:tcW w:w="2880" w:type="dxa"/>
            <w:hideMark/>
          </w:tcPr>
          <w:p w14:paraId="7A06F144"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336,320</w:t>
            </w:r>
          </w:p>
        </w:tc>
      </w:tr>
      <w:tr w:rsidR="006B5C0D" w:rsidRPr="006B5C0D" w14:paraId="15926926" w14:textId="77777777" w:rsidTr="00426190">
        <w:tc>
          <w:tcPr>
            <w:tcW w:w="0" w:type="auto"/>
            <w:hideMark/>
          </w:tcPr>
          <w:p w14:paraId="23B46CA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Total Liabilities</w:t>
            </w:r>
          </w:p>
        </w:tc>
        <w:tc>
          <w:tcPr>
            <w:tcW w:w="0" w:type="auto"/>
            <w:hideMark/>
          </w:tcPr>
          <w:p w14:paraId="5BB98C73"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170,249</w:t>
            </w:r>
          </w:p>
        </w:tc>
        <w:tc>
          <w:tcPr>
            <w:tcW w:w="2848" w:type="dxa"/>
            <w:hideMark/>
          </w:tcPr>
          <w:p w14:paraId="784DF7AF"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−10,000</w:t>
            </w:r>
          </w:p>
        </w:tc>
        <w:tc>
          <w:tcPr>
            <w:tcW w:w="2880" w:type="dxa"/>
            <w:hideMark/>
          </w:tcPr>
          <w:p w14:paraId="6223E198"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160,249</w:t>
            </w:r>
          </w:p>
        </w:tc>
      </w:tr>
      <w:tr w:rsidR="006B5C0D" w:rsidRPr="006B5C0D" w14:paraId="6B40BB0B" w14:textId="77777777" w:rsidTr="00426190">
        <w:tc>
          <w:tcPr>
            <w:tcW w:w="0" w:type="auto"/>
            <w:hideMark/>
          </w:tcPr>
          <w:p w14:paraId="2CD8A3FB"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Shareholders’ Equity</w:t>
            </w:r>
          </w:p>
        </w:tc>
        <w:tc>
          <w:tcPr>
            <w:tcW w:w="0" w:type="auto"/>
            <w:hideMark/>
          </w:tcPr>
          <w:p w14:paraId="0E17B179"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153,105</w:t>
            </w:r>
          </w:p>
        </w:tc>
        <w:tc>
          <w:tcPr>
            <w:tcW w:w="2848" w:type="dxa"/>
            <w:hideMark/>
          </w:tcPr>
          <w:p w14:paraId="3E0027E7"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+22,966</w:t>
            </w:r>
          </w:p>
        </w:tc>
        <w:tc>
          <w:tcPr>
            <w:tcW w:w="2880" w:type="dxa"/>
            <w:hideMark/>
          </w:tcPr>
          <w:p w14:paraId="2707A48F"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176,071</w:t>
            </w:r>
          </w:p>
        </w:tc>
      </w:tr>
    </w:tbl>
    <w:p w14:paraId="2D547E92" w14:textId="77777777" w:rsidR="006B5C0D" w:rsidRPr="006B5C0D" w:rsidRDefault="006B5C0D" w:rsidP="006B5C0D">
      <w:pPr>
        <w:tabs>
          <w:tab w:val="left" w:pos="915"/>
        </w:tabs>
        <w:spacing w:line="360" w:lineRule="auto"/>
        <w:jc w:val="center"/>
        <w:rPr>
          <w:rFonts w:ascii="Arial" w:hAnsi="Arial" w:cs="Arial"/>
          <w:b/>
          <w:bCs/>
          <w:sz w:val="24"/>
          <w:szCs w:val="24"/>
        </w:rPr>
      </w:pPr>
    </w:p>
    <w:p w14:paraId="1D887E55" w14:textId="77777777" w:rsidR="006B5C0D" w:rsidRPr="006B5C0D" w:rsidRDefault="006B5C0D" w:rsidP="006B5C0D">
      <w:pPr>
        <w:tabs>
          <w:tab w:val="left" w:pos="915"/>
        </w:tabs>
        <w:spacing w:line="360" w:lineRule="auto"/>
        <w:jc w:val="center"/>
        <w:rPr>
          <w:rFonts w:ascii="Arial" w:hAnsi="Arial" w:cs="Arial"/>
          <w:b/>
          <w:bCs/>
          <w:sz w:val="24"/>
          <w:szCs w:val="24"/>
        </w:rPr>
      </w:pPr>
    </w:p>
    <w:p w14:paraId="18634DCF"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noProof/>
        </w:rPr>
        <w:lastRenderedPageBreak/>
        <w:drawing>
          <wp:inline distT="0" distB="0" distL="0" distR="0" wp14:anchorId="1B59B65B" wp14:editId="5BB57356">
            <wp:extent cx="5324475" cy="3109595"/>
            <wp:effectExtent l="0" t="0" r="9525" b="14605"/>
            <wp:docPr id="9" name="Chart 9">
              <a:extLst xmlns:a="http://schemas.openxmlformats.org/drawingml/2006/main">
                <a:ext uri="{FF2B5EF4-FFF2-40B4-BE49-F238E27FC236}">
                  <a16:creationId xmlns:a16="http://schemas.microsoft.com/office/drawing/2014/main" id="{D246CC6B-6400-4322-BCE8-3FD89899B4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34ACCA41"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FIGURE: Pro Forma Statement of Financial Position Impact (2024)</w:t>
      </w:r>
    </w:p>
    <w:p w14:paraId="63D7E119" w14:textId="77777777" w:rsidR="006B5C0D" w:rsidRPr="00125757" w:rsidRDefault="006B5C0D" w:rsidP="00125757">
      <w:pPr>
        <w:pStyle w:val="Heading2"/>
        <w:numPr>
          <w:ilvl w:val="0"/>
          <w:numId w:val="17"/>
        </w:numPr>
        <w:jc w:val="center"/>
        <w:rPr>
          <w:b w:val="0"/>
          <w:bCs/>
        </w:rPr>
      </w:pPr>
      <w:bookmarkStart w:id="40" w:name="_Toc217280927"/>
      <w:r w:rsidRPr="00125757">
        <w:rPr>
          <w:bCs/>
        </w:rPr>
        <w:t>Table C2: Pro Forma Capital Structure Ratios</w:t>
      </w:r>
      <w:bookmarkEnd w:id="40"/>
    </w:p>
    <w:tbl>
      <w:tblPr>
        <w:tblStyle w:val="TableGrid"/>
        <w:tblW w:w="0" w:type="auto"/>
        <w:tblLook w:val="04A0" w:firstRow="1" w:lastRow="0" w:firstColumn="1" w:lastColumn="0" w:noHBand="0" w:noVBand="1"/>
      </w:tblPr>
      <w:tblGrid>
        <w:gridCol w:w="1920"/>
        <w:gridCol w:w="2800"/>
        <w:gridCol w:w="1820"/>
        <w:gridCol w:w="2140"/>
      </w:tblGrid>
      <w:tr w:rsidR="006B5C0D" w:rsidRPr="006B5C0D" w14:paraId="7E8424CC" w14:textId="77777777" w:rsidTr="00426190">
        <w:trPr>
          <w:trHeight w:val="300"/>
        </w:trPr>
        <w:tc>
          <w:tcPr>
            <w:tcW w:w="1920" w:type="dxa"/>
            <w:noWrap/>
            <w:hideMark/>
          </w:tcPr>
          <w:p w14:paraId="6BE372D7"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Ratio</w:t>
            </w:r>
          </w:p>
        </w:tc>
        <w:tc>
          <w:tcPr>
            <w:tcW w:w="2800" w:type="dxa"/>
            <w:noWrap/>
            <w:hideMark/>
          </w:tcPr>
          <w:p w14:paraId="0FB99E7D"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Formula</w:t>
            </w:r>
          </w:p>
        </w:tc>
        <w:tc>
          <w:tcPr>
            <w:tcW w:w="1820" w:type="dxa"/>
            <w:noWrap/>
            <w:hideMark/>
          </w:tcPr>
          <w:p w14:paraId="5F01E8F7"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Actual 2024</w:t>
            </w:r>
          </w:p>
        </w:tc>
        <w:tc>
          <w:tcPr>
            <w:tcW w:w="2140" w:type="dxa"/>
            <w:noWrap/>
            <w:hideMark/>
          </w:tcPr>
          <w:p w14:paraId="6753377A"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Pro</w:t>
            </w:r>
            <w:r w:rsidRPr="006B5C0D">
              <w:rPr>
                <w:rFonts w:ascii="Arial" w:hAnsi="Arial" w:cs="Arial"/>
                <w:b/>
                <w:bCs/>
                <w:sz w:val="24"/>
                <w:szCs w:val="24"/>
              </w:rPr>
              <w:noBreakHyphen/>
              <w:t>Forma 2024</w:t>
            </w:r>
          </w:p>
        </w:tc>
      </w:tr>
      <w:tr w:rsidR="006B5C0D" w:rsidRPr="006B5C0D" w14:paraId="16B1B86C" w14:textId="77777777" w:rsidTr="00426190">
        <w:trPr>
          <w:trHeight w:val="300"/>
        </w:trPr>
        <w:tc>
          <w:tcPr>
            <w:tcW w:w="1920" w:type="dxa"/>
            <w:noWrap/>
            <w:hideMark/>
          </w:tcPr>
          <w:p w14:paraId="2E84B260"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Debt to Equity</w:t>
            </w:r>
          </w:p>
        </w:tc>
        <w:tc>
          <w:tcPr>
            <w:tcW w:w="2800" w:type="dxa"/>
            <w:noWrap/>
            <w:hideMark/>
          </w:tcPr>
          <w:p w14:paraId="33BBE7EA"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Total Liabilities / Equity</w:t>
            </w:r>
          </w:p>
        </w:tc>
        <w:tc>
          <w:tcPr>
            <w:tcW w:w="1820" w:type="dxa"/>
            <w:noWrap/>
            <w:hideMark/>
          </w:tcPr>
          <w:p w14:paraId="4ABCCA15"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1.11</w:t>
            </w:r>
          </w:p>
        </w:tc>
        <w:tc>
          <w:tcPr>
            <w:tcW w:w="2140" w:type="dxa"/>
            <w:noWrap/>
            <w:hideMark/>
          </w:tcPr>
          <w:p w14:paraId="47A16BCF"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0.91</w:t>
            </w:r>
          </w:p>
        </w:tc>
      </w:tr>
      <w:tr w:rsidR="006B5C0D" w:rsidRPr="006B5C0D" w14:paraId="664EA247" w14:textId="77777777" w:rsidTr="00426190">
        <w:trPr>
          <w:trHeight w:val="300"/>
        </w:trPr>
        <w:tc>
          <w:tcPr>
            <w:tcW w:w="1920" w:type="dxa"/>
            <w:noWrap/>
            <w:hideMark/>
          </w:tcPr>
          <w:p w14:paraId="3AFCC101"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Debt to Capital</w:t>
            </w:r>
          </w:p>
        </w:tc>
        <w:tc>
          <w:tcPr>
            <w:tcW w:w="2800" w:type="dxa"/>
            <w:noWrap/>
            <w:hideMark/>
          </w:tcPr>
          <w:p w14:paraId="0D851EEE"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Liabilities / (Liabilities + Equity)</w:t>
            </w:r>
          </w:p>
        </w:tc>
        <w:tc>
          <w:tcPr>
            <w:tcW w:w="1820" w:type="dxa"/>
            <w:noWrap/>
            <w:hideMark/>
          </w:tcPr>
          <w:p w14:paraId="47004296"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0.53</w:t>
            </w:r>
          </w:p>
        </w:tc>
        <w:tc>
          <w:tcPr>
            <w:tcW w:w="2140" w:type="dxa"/>
            <w:noWrap/>
            <w:hideMark/>
          </w:tcPr>
          <w:p w14:paraId="7007622F"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0.48</w:t>
            </w:r>
          </w:p>
        </w:tc>
      </w:tr>
      <w:tr w:rsidR="006B5C0D" w:rsidRPr="006B5C0D" w14:paraId="460052A1" w14:textId="77777777" w:rsidTr="00426190">
        <w:trPr>
          <w:trHeight w:val="300"/>
        </w:trPr>
        <w:tc>
          <w:tcPr>
            <w:tcW w:w="1920" w:type="dxa"/>
            <w:noWrap/>
            <w:hideMark/>
          </w:tcPr>
          <w:p w14:paraId="71B46BB6"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Equity Multiplier</w:t>
            </w:r>
          </w:p>
        </w:tc>
        <w:tc>
          <w:tcPr>
            <w:tcW w:w="2800" w:type="dxa"/>
            <w:noWrap/>
            <w:hideMark/>
          </w:tcPr>
          <w:p w14:paraId="319510DE"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Total Assets / Equity</w:t>
            </w:r>
          </w:p>
        </w:tc>
        <w:tc>
          <w:tcPr>
            <w:tcW w:w="1820" w:type="dxa"/>
            <w:noWrap/>
            <w:hideMark/>
          </w:tcPr>
          <w:p w14:paraId="3EB4CFEB"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2.11</w:t>
            </w:r>
          </w:p>
        </w:tc>
        <w:tc>
          <w:tcPr>
            <w:tcW w:w="2140" w:type="dxa"/>
            <w:noWrap/>
            <w:hideMark/>
          </w:tcPr>
          <w:p w14:paraId="399937D9"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1.91</w:t>
            </w:r>
          </w:p>
        </w:tc>
      </w:tr>
    </w:tbl>
    <w:p w14:paraId="156EB951" w14:textId="77777777" w:rsidR="006B5C0D" w:rsidRPr="006B5C0D" w:rsidRDefault="006B5C0D" w:rsidP="006B5C0D">
      <w:pPr>
        <w:tabs>
          <w:tab w:val="left" w:pos="915"/>
        </w:tabs>
        <w:spacing w:line="360" w:lineRule="auto"/>
        <w:jc w:val="center"/>
        <w:rPr>
          <w:rFonts w:ascii="Arial" w:hAnsi="Arial" w:cs="Arial"/>
          <w:b/>
          <w:bCs/>
          <w:sz w:val="24"/>
          <w:szCs w:val="24"/>
        </w:rPr>
      </w:pPr>
    </w:p>
    <w:p w14:paraId="53C80F33"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noProof/>
        </w:rPr>
        <w:lastRenderedPageBreak/>
        <w:drawing>
          <wp:inline distT="0" distB="0" distL="0" distR="0" wp14:anchorId="5B167F82" wp14:editId="09269331">
            <wp:extent cx="4572000" cy="2743200"/>
            <wp:effectExtent l="0" t="0" r="0" b="0"/>
            <wp:docPr id="12" name="Chart 12">
              <a:extLst xmlns:a="http://schemas.openxmlformats.org/drawingml/2006/main">
                <a:ext uri="{FF2B5EF4-FFF2-40B4-BE49-F238E27FC236}">
                  <a16:creationId xmlns:a16="http://schemas.microsoft.com/office/drawing/2014/main" id="{FDF0C286-B2B1-4C1D-B042-C42DD72E6C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CFBE8E6" w14:textId="77777777" w:rsidR="006B5C0D" w:rsidRPr="006B5C0D" w:rsidRDefault="006B5C0D" w:rsidP="006B5C0D">
      <w:pPr>
        <w:spacing w:after="0" w:line="240" w:lineRule="auto"/>
        <w:jc w:val="center"/>
        <w:textAlignment w:val="baseline"/>
        <w:rPr>
          <w:rFonts w:ascii="Arial" w:eastAsia="Times New Roman" w:hAnsi="Arial" w:cs="Arial"/>
          <w:b/>
          <w:bCs/>
          <w:color w:val="595959"/>
          <w:kern w:val="24"/>
          <w:sz w:val="24"/>
          <w:szCs w:val="24"/>
        </w:rPr>
      </w:pPr>
      <w:r w:rsidRPr="006B5C0D">
        <w:rPr>
          <w:rFonts w:ascii="Arial" w:eastAsia="Times New Roman" w:hAnsi="Arial" w:cs="Arial"/>
          <w:b/>
          <w:bCs/>
          <w:sz w:val="24"/>
          <w:szCs w:val="24"/>
        </w:rPr>
        <w:t>FIGURE:</w:t>
      </w:r>
      <w:r w:rsidRPr="006B5C0D">
        <w:rPr>
          <w:rFonts w:ascii="Arial" w:eastAsia="Times New Roman" w:hAnsi="Arial" w:cs="Arial"/>
          <w:b/>
          <w:bCs/>
          <w:color w:val="595959"/>
          <w:kern w:val="24"/>
          <w:sz w:val="24"/>
          <w:szCs w:val="24"/>
        </w:rPr>
        <w:t xml:space="preserve"> Pro</w:t>
      </w:r>
      <w:r w:rsidRPr="006B5C0D">
        <w:rPr>
          <w:rFonts w:ascii="Arial" w:eastAsia="Times New Roman" w:hAnsi="Arial" w:cs="Arial"/>
          <w:b/>
          <w:bCs/>
          <w:color w:val="595959"/>
          <w:kern w:val="24"/>
          <w:sz w:val="24"/>
          <w:szCs w:val="24"/>
        </w:rPr>
        <w:noBreakHyphen/>
        <w:t>Forma Capital Structure Ratios</w:t>
      </w:r>
    </w:p>
    <w:p w14:paraId="2722A370" w14:textId="77777777" w:rsidR="006B5C0D" w:rsidRPr="006B5C0D" w:rsidRDefault="006B5C0D" w:rsidP="006B5C0D">
      <w:pPr>
        <w:tabs>
          <w:tab w:val="left" w:pos="915"/>
        </w:tabs>
        <w:spacing w:line="360" w:lineRule="auto"/>
        <w:jc w:val="center"/>
        <w:rPr>
          <w:rFonts w:ascii="Arial" w:hAnsi="Arial" w:cs="Arial"/>
          <w:b/>
          <w:bCs/>
          <w:sz w:val="24"/>
          <w:szCs w:val="24"/>
        </w:rPr>
      </w:pPr>
    </w:p>
    <w:p w14:paraId="76E4B808" w14:textId="77777777" w:rsidR="006B5C0D" w:rsidRPr="006B5C0D" w:rsidRDefault="006B5C0D" w:rsidP="006B5C0D">
      <w:pPr>
        <w:tabs>
          <w:tab w:val="left" w:pos="915"/>
        </w:tabs>
        <w:spacing w:line="360" w:lineRule="auto"/>
        <w:rPr>
          <w:rFonts w:ascii="Arial" w:hAnsi="Arial" w:cs="Arial"/>
          <w:sz w:val="24"/>
          <w:szCs w:val="24"/>
        </w:rPr>
      </w:pPr>
      <w:r w:rsidRPr="006B5C0D">
        <w:rPr>
          <w:rFonts w:ascii="Arial" w:hAnsi="Arial" w:cs="Arial"/>
          <w:sz w:val="24"/>
          <w:szCs w:val="24"/>
        </w:rPr>
        <w:t>The pro forma outcomes indicate a significant decrease in leverage alongside enhanced balance sheet strength.</w:t>
      </w:r>
    </w:p>
    <w:p w14:paraId="3F74FB86" w14:textId="77777777" w:rsidR="006B5C0D" w:rsidRPr="00125757" w:rsidRDefault="006B5C0D" w:rsidP="00125757">
      <w:pPr>
        <w:pStyle w:val="Heading2"/>
        <w:jc w:val="center"/>
        <w:rPr>
          <w:b w:val="0"/>
          <w:bCs/>
          <w:szCs w:val="28"/>
        </w:rPr>
      </w:pPr>
      <w:bookmarkStart w:id="41" w:name="_Toc217280928"/>
      <w:r w:rsidRPr="00125757">
        <w:rPr>
          <w:bCs/>
          <w:szCs w:val="28"/>
        </w:rPr>
        <w:t>Table C3: Interest Coverage Sensitivity</w:t>
      </w:r>
      <w:bookmarkEnd w:id="41"/>
    </w:p>
    <w:tbl>
      <w:tblPr>
        <w:tblStyle w:val="TableGrid"/>
        <w:tblW w:w="0" w:type="auto"/>
        <w:tblLook w:val="04A0" w:firstRow="1" w:lastRow="0" w:firstColumn="1" w:lastColumn="0" w:noHBand="0" w:noVBand="1"/>
      </w:tblPr>
      <w:tblGrid>
        <w:gridCol w:w="3160"/>
        <w:gridCol w:w="2505"/>
        <w:gridCol w:w="3420"/>
      </w:tblGrid>
      <w:tr w:rsidR="006B5C0D" w:rsidRPr="006B5C0D" w14:paraId="3877F802" w14:textId="77777777" w:rsidTr="00426190">
        <w:trPr>
          <w:trHeight w:val="300"/>
        </w:trPr>
        <w:tc>
          <w:tcPr>
            <w:tcW w:w="3160" w:type="dxa"/>
            <w:noWrap/>
            <w:hideMark/>
          </w:tcPr>
          <w:p w14:paraId="05E21DD3"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Item</w:t>
            </w:r>
          </w:p>
        </w:tc>
        <w:tc>
          <w:tcPr>
            <w:tcW w:w="2505" w:type="dxa"/>
            <w:noWrap/>
            <w:hideMark/>
          </w:tcPr>
          <w:p w14:paraId="4E9EC878"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Actual 2024</w:t>
            </w:r>
          </w:p>
        </w:tc>
        <w:tc>
          <w:tcPr>
            <w:tcW w:w="3420" w:type="dxa"/>
            <w:noWrap/>
            <w:hideMark/>
          </w:tcPr>
          <w:p w14:paraId="3C7D92DD"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Pro</w:t>
            </w:r>
            <w:r w:rsidRPr="006B5C0D">
              <w:rPr>
                <w:rFonts w:ascii="Arial" w:hAnsi="Arial" w:cs="Arial"/>
                <w:b/>
                <w:bCs/>
                <w:sz w:val="24"/>
                <w:szCs w:val="24"/>
              </w:rPr>
              <w:noBreakHyphen/>
              <w:t>Forma 2024</w:t>
            </w:r>
          </w:p>
        </w:tc>
      </w:tr>
      <w:tr w:rsidR="006B5C0D" w:rsidRPr="006B5C0D" w14:paraId="585D17C0" w14:textId="77777777" w:rsidTr="00426190">
        <w:trPr>
          <w:trHeight w:val="300"/>
        </w:trPr>
        <w:tc>
          <w:tcPr>
            <w:tcW w:w="3160" w:type="dxa"/>
            <w:noWrap/>
            <w:hideMark/>
          </w:tcPr>
          <w:p w14:paraId="6D7248C1"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EBIT (£ million)</w:t>
            </w:r>
          </w:p>
        </w:tc>
        <w:tc>
          <w:tcPr>
            <w:tcW w:w="2505" w:type="dxa"/>
            <w:noWrap/>
            <w:hideMark/>
          </w:tcPr>
          <w:p w14:paraId="545E00C2"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−15,297</w:t>
            </w:r>
          </w:p>
        </w:tc>
        <w:tc>
          <w:tcPr>
            <w:tcW w:w="3420" w:type="dxa"/>
            <w:noWrap/>
            <w:hideMark/>
          </w:tcPr>
          <w:p w14:paraId="354FFB01"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−15,297</w:t>
            </w:r>
          </w:p>
        </w:tc>
      </w:tr>
      <w:tr w:rsidR="006B5C0D" w:rsidRPr="006B5C0D" w14:paraId="083E71A9" w14:textId="77777777" w:rsidTr="00426190">
        <w:trPr>
          <w:trHeight w:val="300"/>
        </w:trPr>
        <w:tc>
          <w:tcPr>
            <w:tcW w:w="3160" w:type="dxa"/>
            <w:noWrap/>
            <w:hideMark/>
          </w:tcPr>
          <w:p w14:paraId="0664F80C"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Interest Expense (£ million)</w:t>
            </w:r>
          </w:p>
        </w:tc>
        <w:tc>
          <w:tcPr>
            <w:tcW w:w="2505" w:type="dxa"/>
            <w:noWrap/>
            <w:hideMark/>
          </w:tcPr>
          <w:p w14:paraId="6A8C88EC"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3,361</w:t>
            </w:r>
          </w:p>
        </w:tc>
        <w:tc>
          <w:tcPr>
            <w:tcW w:w="3420" w:type="dxa"/>
            <w:noWrap/>
            <w:hideMark/>
          </w:tcPr>
          <w:p w14:paraId="2C6DB827"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2,857</w:t>
            </w:r>
          </w:p>
        </w:tc>
      </w:tr>
      <w:tr w:rsidR="006B5C0D" w:rsidRPr="006B5C0D" w14:paraId="0BF85D7C" w14:textId="77777777" w:rsidTr="00426190">
        <w:trPr>
          <w:trHeight w:val="300"/>
        </w:trPr>
        <w:tc>
          <w:tcPr>
            <w:tcW w:w="3160" w:type="dxa"/>
            <w:noWrap/>
            <w:hideMark/>
          </w:tcPr>
          <w:p w14:paraId="5E9B0A6E"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Interest Coverage (EBIT / Interest)</w:t>
            </w:r>
          </w:p>
        </w:tc>
        <w:tc>
          <w:tcPr>
            <w:tcW w:w="2505" w:type="dxa"/>
            <w:noWrap/>
            <w:hideMark/>
          </w:tcPr>
          <w:p w14:paraId="7CEBF3FA"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−4.55</w:t>
            </w:r>
          </w:p>
        </w:tc>
        <w:tc>
          <w:tcPr>
            <w:tcW w:w="3420" w:type="dxa"/>
            <w:noWrap/>
            <w:hideMark/>
          </w:tcPr>
          <w:p w14:paraId="02FBABBF"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−3.36</w:t>
            </w:r>
          </w:p>
        </w:tc>
      </w:tr>
    </w:tbl>
    <w:p w14:paraId="52272023" w14:textId="77777777" w:rsidR="006B5C0D" w:rsidRPr="006B5C0D" w:rsidRDefault="006B5C0D" w:rsidP="006B5C0D">
      <w:pPr>
        <w:tabs>
          <w:tab w:val="left" w:pos="915"/>
        </w:tabs>
        <w:spacing w:line="360" w:lineRule="auto"/>
        <w:rPr>
          <w:rFonts w:ascii="Arial" w:hAnsi="Arial" w:cs="Arial"/>
          <w:b/>
          <w:bCs/>
          <w:sz w:val="24"/>
          <w:szCs w:val="24"/>
        </w:rPr>
      </w:pPr>
      <w:r w:rsidRPr="006B5C0D">
        <w:rPr>
          <w:rFonts w:ascii="Arial" w:hAnsi="Arial" w:cs="Arial"/>
          <w:b/>
          <w:bCs/>
          <w:sz w:val="24"/>
          <w:szCs w:val="24"/>
        </w:rPr>
        <w:t>Note: Interest expense decreases in proportion to the £10,000 million reduction in outstanding debt.</w:t>
      </w:r>
    </w:p>
    <w:p w14:paraId="4208B120"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noProof/>
        </w:rPr>
        <w:lastRenderedPageBreak/>
        <w:drawing>
          <wp:inline distT="0" distB="0" distL="0" distR="0" wp14:anchorId="27E98709" wp14:editId="70248BF2">
            <wp:extent cx="5838825" cy="3200400"/>
            <wp:effectExtent l="0" t="0" r="9525" b="0"/>
            <wp:docPr id="14" name="Chart 14">
              <a:extLst xmlns:a="http://schemas.openxmlformats.org/drawingml/2006/main">
                <a:ext uri="{FF2B5EF4-FFF2-40B4-BE49-F238E27FC236}">
                  <a16:creationId xmlns:a16="http://schemas.microsoft.com/office/drawing/2014/main" id="{7CEE4B46-1F74-44DA-8433-E377384FC1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6280020C"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FIGURE: Interest Coverage Sensitivity</w:t>
      </w:r>
    </w:p>
    <w:p w14:paraId="63DB7600" w14:textId="77777777" w:rsidR="006B5C0D" w:rsidRPr="00125757" w:rsidRDefault="006B5C0D" w:rsidP="00125757">
      <w:pPr>
        <w:pStyle w:val="Heading2"/>
        <w:jc w:val="center"/>
        <w:rPr>
          <w:b w:val="0"/>
          <w:bCs/>
        </w:rPr>
      </w:pPr>
      <w:bookmarkStart w:id="42" w:name="_Toc217280929"/>
      <w:r w:rsidRPr="00125757">
        <w:rPr>
          <w:bCs/>
        </w:rPr>
        <w:t>Table C4: Equity Dilution and EPS Impact</w:t>
      </w:r>
      <w:bookmarkEnd w:id="42"/>
    </w:p>
    <w:tbl>
      <w:tblPr>
        <w:tblStyle w:val="TableGrid"/>
        <w:tblW w:w="0" w:type="auto"/>
        <w:tblLook w:val="04A0" w:firstRow="1" w:lastRow="0" w:firstColumn="1" w:lastColumn="0" w:noHBand="0" w:noVBand="1"/>
      </w:tblPr>
      <w:tblGrid>
        <w:gridCol w:w="3360"/>
        <w:gridCol w:w="2580"/>
        <w:gridCol w:w="2800"/>
      </w:tblGrid>
      <w:tr w:rsidR="006B5C0D" w:rsidRPr="006B5C0D" w14:paraId="5AD72DB6" w14:textId="77777777" w:rsidTr="00426190">
        <w:trPr>
          <w:trHeight w:val="300"/>
        </w:trPr>
        <w:tc>
          <w:tcPr>
            <w:tcW w:w="3360" w:type="dxa"/>
            <w:noWrap/>
            <w:hideMark/>
          </w:tcPr>
          <w:p w14:paraId="754AD090"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Item</w:t>
            </w:r>
          </w:p>
        </w:tc>
        <w:tc>
          <w:tcPr>
            <w:tcW w:w="2580" w:type="dxa"/>
            <w:noWrap/>
            <w:hideMark/>
          </w:tcPr>
          <w:p w14:paraId="52301A19"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Actual 2024</w:t>
            </w:r>
          </w:p>
        </w:tc>
        <w:tc>
          <w:tcPr>
            <w:tcW w:w="2800" w:type="dxa"/>
            <w:noWrap/>
            <w:hideMark/>
          </w:tcPr>
          <w:p w14:paraId="1A661F9B"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Pro</w:t>
            </w:r>
            <w:r w:rsidRPr="006B5C0D">
              <w:rPr>
                <w:rFonts w:ascii="Arial" w:hAnsi="Arial" w:cs="Arial"/>
                <w:b/>
                <w:bCs/>
                <w:sz w:val="24"/>
                <w:szCs w:val="24"/>
              </w:rPr>
              <w:noBreakHyphen/>
              <w:t>Forma 2024</w:t>
            </w:r>
          </w:p>
        </w:tc>
      </w:tr>
      <w:tr w:rsidR="006B5C0D" w:rsidRPr="006B5C0D" w14:paraId="248183AB" w14:textId="77777777" w:rsidTr="00426190">
        <w:trPr>
          <w:trHeight w:val="300"/>
        </w:trPr>
        <w:tc>
          <w:tcPr>
            <w:tcW w:w="3360" w:type="dxa"/>
            <w:noWrap/>
            <w:hideMark/>
          </w:tcPr>
          <w:p w14:paraId="0C0185FF"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Shares Outstanding (million)</w:t>
            </w:r>
          </w:p>
        </w:tc>
        <w:tc>
          <w:tcPr>
            <w:tcW w:w="2580" w:type="dxa"/>
            <w:noWrap/>
            <w:hideMark/>
          </w:tcPr>
          <w:p w14:paraId="317E4A2D"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12,959</w:t>
            </w:r>
          </w:p>
        </w:tc>
        <w:tc>
          <w:tcPr>
            <w:tcW w:w="2800" w:type="dxa"/>
            <w:noWrap/>
            <w:hideMark/>
          </w:tcPr>
          <w:p w14:paraId="54F05F36"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14,903</w:t>
            </w:r>
          </w:p>
        </w:tc>
      </w:tr>
      <w:tr w:rsidR="006B5C0D" w:rsidRPr="006B5C0D" w14:paraId="068A3D21" w14:textId="77777777" w:rsidTr="00426190">
        <w:trPr>
          <w:trHeight w:val="300"/>
        </w:trPr>
        <w:tc>
          <w:tcPr>
            <w:tcW w:w="3360" w:type="dxa"/>
            <w:noWrap/>
            <w:hideMark/>
          </w:tcPr>
          <w:p w14:paraId="17A503ED"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Net Income (£ million)</w:t>
            </w:r>
          </w:p>
        </w:tc>
        <w:tc>
          <w:tcPr>
            <w:tcW w:w="2580" w:type="dxa"/>
            <w:noWrap/>
            <w:hideMark/>
          </w:tcPr>
          <w:p w14:paraId="3094558B"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−24,029</w:t>
            </w:r>
          </w:p>
        </w:tc>
        <w:tc>
          <w:tcPr>
            <w:tcW w:w="2800" w:type="dxa"/>
            <w:noWrap/>
            <w:hideMark/>
          </w:tcPr>
          <w:p w14:paraId="45A2830C"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−24,029</w:t>
            </w:r>
          </w:p>
        </w:tc>
      </w:tr>
      <w:tr w:rsidR="006B5C0D" w:rsidRPr="006B5C0D" w14:paraId="170F015B" w14:textId="77777777" w:rsidTr="00426190">
        <w:trPr>
          <w:trHeight w:val="300"/>
        </w:trPr>
        <w:tc>
          <w:tcPr>
            <w:tcW w:w="3360" w:type="dxa"/>
            <w:noWrap/>
            <w:hideMark/>
          </w:tcPr>
          <w:p w14:paraId="0057BF55"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Earnings per Share (£)</w:t>
            </w:r>
          </w:p>
        </w:tc>
        <w:tc>
          <w:tcPr>
            <w:tcW w:w="2580" w:type="dxa"/>
            <w:noWrap/>
            <w:hideMark/>
          </w:tcPr>
          <w:p w14:paraId="4153D707"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−1.85</w:t>
            </w:r>
          </w:p>
        </w:tc>
        <w:tc>
          <w:tcPr>
            <w:tcW w:w="2800" w:type="dxa"/>
            <w:noWrap/>
            <w:hideMark/>
          </w:tcPr>
          <w:p w14:paraId="486CF565" w14:textId="77777777" w:rsidR="006B5C0D" w:rsidRPr="006B5C0D" w:rsidRDefault="006B5C0D" w:rsidP="006B5C0D">
            <w:pPr>
              <w:tabs>
                <w:tab w:val="left" w:pos="915"/>
              </w:tabs>
              <w:spacing w:line="360" w:lineRule="auto"/>
              <w:jc w:val="center"/>
              <w:rPr>
                <w:rFonts w:ascii="Arial" w:hAnsi="Arial" w:cs="Arial"/>
                <w:sz w:val="24"/>
                <w:szCs w:val="24"/>
              </w:rPr>
            </w:pPr>
            <w:r w:rsidRPr="006B5C0D">
              <w:rPr>
                <w:rFonts w:ascii="Arial" w:hAnsi="Arial" w:cs="Arial"/>
                <w:sz w:val="24"/>
                <w:szCs w:val="24"/>
              </w:rPr>
              <w:t>−1.61</w:t>
            </w:r>
          </w:p>
        </w:tc>
      </w:tr>
    </w:tbl>
    <w:p w14:paraId="35B3B57C" w14:textId="77777777" w:rsidR="006B5C0D" w:rsidRPr="006B5C0D" w:rsidRDefault="006B5C0D" w:rsidP="006B5C0D">
      <w:pPr>
        <w:tabs>
          <w:tab w:val="left" w:pos="915"/>
        </w:tabs>
        <w:spacing w:line="360" w:lineRule="auto"/>
        <w:jc w:val="center"/>
        <w:rPr>
          <w:rFonts w:ascii="Arial" w:hAnsi="Arial" w:cs="Arial"/>
          <w:sz w:val="24"/>
          <w:szCs w:val="24"/>
        </w:rPr>
      </w:pPr>
    </w:p>
    <w:p w14:paraId="4A461D14" w14:textId="77777777" w:rsidR="006B5C0D" w:rsidRPr="006B5C0D" w:rsidRDefault="006B5C0D" w:rsidP="006B5C0D">
      <w:pPr>
        <w:tabs>
          <w:tab w:val="left" w:pos="915"/>
        </w:tabs>
        <w:spacing w:line="360" w:lineRule="auto"/>
        <w:jc w:val="both"/>
        <w:rPr>
          <w:rFonts w:ascii="Arial" w:hAnsi="Arial" w:cs="Arial"/>
          <w:b/>
          <w:bCs/>
          <w:sz w:val="24"/>
          <w:szCs w:val="24"/>
        </w:rPr>
      </w:pPr>
      <w:r w:rsidRPr="006B5C0D">
        <w:rPr>
          <w:rFonts w:ascii="Arial" w:hAnsi="Arial" w:cs="Arial"/>
          <w:b/>
          <w:bCs/>
          <w:sz w:val="24"/>
          <w:szCs w:val="24"/>
        </w:rPr>
        <w:t>NOTE:</w:t>
      </w:r>
      <w:r w:rsidRPr="006B5C0D">
        <w:rPr>
          <w:b/>
          <w:bCs/>
        </w:rPr>
        <w:t xml:space="preserve"> </w:t>
      </w:r>
      <w:r w:rsidRPr="006B5C0D">
        <w:rPr>
          <w:rFonts w:ascii="Arial" w:hAnsi="Arial" w:cs="Arial"/>
          <w:b/>
          <w:bCs/>
          <w:sz w:val="24"/>
          <w:szCs w:val="24"/>
        </w:rPr>
        <w:t>Although the rights issue expands the share base, it reduces losses per share, indicating dilution with stabilising effects.</w:t>
      </w:r>
    </w:p>
    <w:p w14:paraId="7ED66998" w14:textId="77777777" w:rsidR="006B5C0D" w:rsidRPr="006B5C0D" w:rsidRDefault="006B5C0D" w:rsidP="006B5C0D">
      <w:pPr>
        <w:tabs>
          <w:tab w:val="left" w:pos="915"/>
        </w:tabs>
        <w:spacing w:line="360" w:lineRule="auto"/>
        <w:jc w:val="both"/>
        <w:rPr>
          <w:rFonts w:ascii="Arial" w:hAnsi="Arial" w:cs="Arial"/>
          <w:b/>
          <w:bCs/>
          <w:sz w:val="24"/>
          <w:szCs w:val="24"/>
        </w:rPr>
      </w:pPr>
      <w:r w:rsidRPr="006B5C0D">
        <w:rPr>
          <w:noProof/>
        </w:rPr>
        <w:lastRenderedPageBreak/>
        <w:drawing>
          <wp:inline distT="0" distB="0" distL="0" distR="0" wp14:anchorId="7DA74555" wp14:editId="5943FC31">
            <wp:extent cx="6038850" cy="3733800"/>
            <wp:effectExtent l="0" t="0" r="0" b="0"/>
            <wp:docPr id="16" name="Chart 16">
              <a:extLst xmlns:a="http://schemas.openxmlformats.org/drawingml/2006/main">
                <a:ext uri="{FF2B5EF4-FFF2-40B4-BE49-F238E27FC236}">
                  <a16:creationId xmlns:a16="http://schemas.microsoft.com/office/drawing/2014/main" id="{9E9117E1-CD61-40A5-9F47-EE1A372641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029DEA8D"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FIGURE: Equity Dilution and EPS Impact</w:t>
      </w:r>
    </w:p>
    <w:p w14:paraId="7F3BE049" w14:textId="77777777" w:rsidR="006B5C0D" w:rsidRPr="00125757" w:rsidRDefault="006B5C0D" w:rsidP="00125757">
      <w:pPr>
        <w:pStyle w:val="Heading2"/>
        <w:jc w:val="center"/>
        <w:rPr>
          <w:b w:val="0"/>
          <w:bCs/>
        </w:rPr>
      </w:pPr>
      <w:bookmarkStart w:id="43" w:name="_Toc217280930"/>
      <w:r w:rsidRPr="00125757">
        <w:rPr>
          <w:bCs/>
        </w:rPr>
        <w:t xml:space="preserve">Table C5: </w:t>
      </w:r>
      <w:bookmarkStart w:id="44" w:name="_Hlk217157853"/>
      <w:r w:rsidRPr="00125757">
        <w:rPr>
          <w:bCs/>
        </w:rPr>
        <w:t>Liquidity and Solvency Improvement Indicators</w:t>
      </w:r>
      <w:bookmarkEnd w:id="43"/>
    </w:p>
    <w:tbl>
      <w:tblPr>
        <w:tblStyle w:val="TableGrid"/>
        <w:tblW w:w="0" w:type="auto"/>
        <w:tblLook w:val="04A0" w:firstRow="1" w:lastRow="0" w:firstColumn="1" w:lastColumn="0" w:noHBand="0" w:noVBand="1"/>
      </w:tblPr>
      <w:tblGrid>
        <w:gridCol w:w="3314"/>
        <w:gridCol w:w="3066"/>
        <w:gridCol w:w="2970"/>
      </w:tblGrid>
      <w:tr w:rsidR="006B5C0D" w:rsidRPr="006B5C0D" w14:paraId="0893B165" w14:textId="77777777" w:rsidTr="00426190">
        <w:tc>
          <w:tcPr>
            <w:tcW w:w="0" w:type="auto"/>
            <w:hideMark/>
          </w:tcPr>
          <w:bookmarkEnd w:id="44"/>
          <w:p w14:paraId="37185226"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Metric</w:t>
            </w:r>
          </w:p>
        </w:tc>
        <w:tc>
          <w:tcPr>
            <w:tcW w:w="3066" w:type="dxa"/>
            <w:hideMark/>
          </w:tcPr>
          <w:p w14:paraId="3B144F80"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Actual 2024</w:t>
            </w:r>
          </w:p>
        </w:tc>
        <w:tc>
          <w:tcPr>
            <w:tcW w:w="2970" w:type="dxa"/>
            <w:hideMark/>
          </w:tcPr>
          <w:p w14:paraId="153AB739"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Pro</w:t>
            </w:r>
            <w:r w:rsidRPr="006B5C0D">
              <w:rPr>
                <w:rFonts w:ascii="Arial" w:hAnsi="Arial" w:cs="Arial"/>
                <w:sz w:val="24"/>
                <w:szCs w:val="24"/>
              </w:rPr>
              <w:noBreakHyphen/>
              <w:t>Forma 2024</w:t>
            </w:r>
          </w:p>
        </w:tc>
      </w:tr>
      <w:tr w:rsidR="006B5C0D" w:rsidRPr="006B5C0D" w14:paraId="0478E8B3" w14:textId="77777777" w:rsidTr="00426190">
        <w:tc>
          <w:tcPr>
            <w:tcW w:w="0" w:type="auto"/>
            <w:hideMark/>
          </w:tcPr>
          <w:p w14:paraId="25091F33"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Operating Cash Flow to Debt</w:t>
            </w:r>
          </w:p>
        </w:tc>
        <w:tc>
          <w:tcPr>
            <w:tcW w:w="3066" w:type="dxa"/>
            <w:hideMark/>
          </w:tcPr>
          <w:p w14:paraId="69FEA125"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0.09</w:t>
            </w:r>
          </w:p>
        </w:tc>
        <w:tc>
          <w:tcPr>
            <w:tcW w:w="2970" w:type="dxa"/>
            <w:hideMark/>
          </w:tcPr>
          <w:p w14:paraId="6878FC6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0.09</w:t>
            </w:r>
          </w:p>
        </w:tc>
      </w:tr>
      <w:tr w:rsidR="006B5C0D" w:rsidRPr="006B5C0D" w14:paraId="23CB8803" w14:textId="77777777" w:rsidTr="00426190">
        <w:tc>
          <w:tcPr>
            <w:tcW w:w="0" w:type="auto"/>
            <w:hideMark/>
          </w:tcPr>
          <w:p w14:paraId="2D83BB3F"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Debt Reduction (£ million)</w:t>
            </w:r>
          </w:p>
        </w:tc>
        <w:tc>
          <w:tcPr>
            <w:tcW w:w="3066" w:type="dxa"/>
            <w:hideMark/>
          </w:tcPr>
          <w:p w14:paraId="31B33DC6"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w:t>
            </w:r>
          </w:p>
        </w:tc>
        <w:tc>
          <w:tcPr>
            <w:tcW w:w="2970" w:type="dxa"/>
            <w:hideMark/>
          </w:tcPr>
          <w:p w14:paraId="44559F42"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10,000</w:t>
            </w:r>
          </w:p>
        </w:tc>
      </w:tr>
      <w:tr w:rsidR="006B5C0D" w:rsidRPr="006B5C0D" w14:paraId="513D53C0" w14:textId="77777777" w:rsidTr="00426190">
        <w:tc>
          <w:tcPr>
            <w:tcW w:w="0" w:type="auto"/>
            <w:hideMark/>
          </w:tcPr>
          <w:p w14:paraId="522D972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Equity Buffer Increase (£ million)</w:t>
            </w:r>
          </w:p>
        </w:tc>
        <w:tc>
          <w:tcPr>
            <w:tcW w:w="3066" w:type="dxa"/>
            <w:hideMark/>
          </w:tcPr>
          <w:p w14:paraId="3A0DB37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w:t>
            </w:r>
          </w:p>
        </w:tc>
        <w:tc>
          <w:tcPr>
            <w:tcW w:w="2970" w:type="dxa"/>
            <w:hideMark/>
          </w:tcPr>
          <w:p w14:paraId="3AAB1B26"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22,966</w:t>
            </w:r>
          </w:p>
        </w:tc>
      </w:tr>
    </w:tbl>
    <w:p w14:paraId="38C2C983" w14:textId="77777777" w:rsidR="006B5C0D" w:rsidRPr="006B5C0D" w:rsidRDefault="006B5C0D" w:rsidP="006B5C0D">
      <w:pPr>
        <w:tabs>
          <w:tab w:val="left" w:pos="915"/>
        </w:tabs>
        <w:spacing w:line="360" w:lineRule="auto"/>
        <w:rPr>
          <w:rFonts w:ascii="Arial" w:hAnsi="Arial" w:cs="Arial"/>
          <w:b/>
          <w:bCs/>
          <w:sz w:val="24"/>
          <w:szCs w:val="24"/>
        </w:rPr>
      </w:pPr>
    </w:p>
    <w:p w14:paraId="23B97B7C"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noProof/>
        </w:rPr>
        <w:lastRenderedPageBreak/>
        <w:drawing>
          <wp:inline distT="0" distB="0" distL="0" distR="0" wp14:anchorId="634E34F3" wp14:editId="0EB1DB8B">
            <wp:extent cx="6010275" cy="2743200"/>
            <wp:effectExtent l="0" t="0" r="9525" b="0"/>
            <wp:docPr id="17" name="Chart 17">
              <a:extLst xmlns:a="http://schemas.openxmlformats.org/drawingml/2006/main">
                <a:ext uri="{FF2B5EF4-FFF2-40B4-BE49-F238E27FC236}">
                  <a16:creationId xmlns:a16="http://schemas.microsoft.com/office/drawing/2014/main" id="{CFD381E8-8620-4617-A099-28D84843EC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1DC3162C"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t>FIGURE:</w:t>
      </w:r>
      <w:r w:rsidRPr="006B5C0D">
        <w:t xml:space="preserve"> </w:t>
      </w:r>
      <w:r w:rsidRPr="006B5C0D">
        <w:rPr>
          <w:rFonts w:ascii="Arial" w:hAnsi="Arial" w:cs="Arial"/>
          <w:b/>
          <w:bCs/>
          <w:sz w:val="24"/>
          <w:szCs w:val="24"/>
        </w:rPr>
        <w:t>Liquidity and Solvency Improvement Indicators</w:t>
      </w:r>
    </w:p>
    <w:p w14:paraId="60364C75" w14:textId="77777777" w:rsidR="006B5C0D" w:rsidRPr="00125757" w:rsidRDefault="006B5C0D" w:rsidP="00125757">
      <w:pPr>
        <w:pStyle w:val="Heading3"/>
        <w:jc w:val="center"/>
        <w:rPr>
          <w:b/>
          <w:bCs/>
        </w:rPr>
      </w:pPr>
      <w:bookmarkStart w:id="45" w:name="_Toc217280931"/>
      <w:r w:rsidRPr="00125757">
        <w:rPr>
          <w:b/>
          <w:bCs/>
        </w:rPr>
        <w:t>INTERPRETATION FOR APPENDIX C</w:t>
      </w:r>
      <w:bookmarkEnd w:id="45"/>
    </w:p>
    <w:p w14:paraId="1E20005E" w14:textId="77777777" w:rsidR="006B5C0D" w:rsidRPr="006B5C0D" w:rsidRDefault="006B5C0D" w:rsidP="006B5C0D">
      <w:pPr>
        <w:tabs>
          <w:tab w:val="left" w:pos="915"/>
        </w:tabs>
        <w:spacing w:line="360" w:lineRule="auto"/>
        <w:jc w:val="both"/>
        <w:rPr>
          <w:rFonts w:ascii="Arial" w:hAnsi="Arial" w:cs="Arial"/>
          <w:sz w:val="24"/>
          <w:szCs w:val="24"/>
        </w:rPr>
      </w:pPr>
      <w:r w:rsidRPr="006B5C0D">
        <w:rPr>
          <w:rFonts w:ascii="Arial" w:hAnsi="Arial" w:cs="Arial"/>
          <w:sz w:val="24"/>
          <w:szCs w:val="24"/>
        </w:rPr>
        <w:t>The combination of equity capital and asset divestiture as revealed in Appendix C shows that this process has a strong rebalancing effect on the financial risk profile of General Electronics. Despite the fact that the base-case estimates suggest that operating losses are still experienced in the immediate future, the restructuring has a meaningful compression of leverage, restoring the equity depth, and balancing out the balance-sheet vulnerability. Notably, the usefulness of the intervention is not about recovering the income immediately but rather, its ability to lessen the risk of insolvency, normalise expectations among the creditors and restore the financing facilities. The revised capital structure by separating short-term performance failure with existential financial danger increases both managerial and strategic levels of freedom to undergo a disciplined operational restructuring and discretionary investment as opposed to responding to a call to fire cost reduction. This meaning means that as restructuring it needs to be seen as a risk-containment and option-preservation move and not as an effort to maximize profits, providing the financial bases on which sustainable operating renewal can actually take place.</w:t>
      </w:r>
    </w:p>
    <w:p w14:paraId="4CBAE426" w14:textId="77777777" w:rsidR="006B5C0D" w:rsidRDefault="006B5C0D" w:rsidP="006B5C0D">
      <w:pPr>
        <w:tabs>
          <w:tab w:val="left" w:pos="915"/>
        </w:tabs>
        <w:spacing w:line="360" w:lineRule="auto"/>
        <w:jc w:val="center"/>
        <w:rPr>
          <w:rFonts w:ascii="Arial" w:hAnsi="Arial" w:cs="Arial"/>
          <w:b/>
          <w:bCs/>
          <w:sz w:val="24"/>
          <w:szCs w:val="24"/>
        </w:rPr>
      </w:pPr>
    </w:p>
    <w:p w14:paraId="5B7703A3" w14:textId="77777777" w:rsidR="00125757" w:rsidRPr="006B5C0D" w:rsidRDefault="00125757" w:rsidP="006B5C0D">
      <w:pPr>
        <w:tabs>
          <w:tab w:val="left" w:pos="915"/>
        </w:tabs>
        <w:spacing w:line="360" w:lineRule="auto"/>
        <w:jc w:val="center"/>
        <w:rPr>
          <w:rFonts w:ascii="Arial" w:hAnsi="Arial" w:cs="Arial"/>
          <w:b/>
          <w:bCs/>
          <w:sz w:val="24"/>
          <w:szCs w:val="24"/>
        </w:rPr>
      </w:pPr>
    </w:p>
    <w:p w14:paraId="38CF6304" w14:textId="7FD3675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b/>
          <w:bCs/>
          <w:sz w:val="24"/>
          <w:szCs w:val="24"/>
        </w:rPr>
        <w:lastRenderedPageBreak/>
        <w:t>Appendix D: Investment Appraisal and Capital Budgeting Calculations</w:t>
      </w:r>
    </w:p>
    <w:p w14:paraId="071668CC" w14:textId="77777777" w:rsidR="006B5C0D" w:rsidRPr="00125757" w:rsidRDefault="006B5C0D" w:rsidP="00125757">
      <w:pPr>
        <w:pStyle w:val="Heading2"/>
        <w:jc w:val="center"/>
        <w:rPr>
          <w:b w:val="0"/>
          <w:bCs/>
        </w:rPr>
      </w:pPr>
      <w:bookmarkStart w:id="46" w:name="_Toc217280932"/>
      <w:r w:rsidRPr="00125757">
        <w:rPr>
          <w:bCs/>
        </w:rPr>
        <w:t>Table D1: Payback Period (PBP) Calculations</w:t>
      </w:r>
      <w:bookmarkEnd w:id="46"/>
    </w:p>
    <w:tbl>
      <w:tblPr>
        <w:tblStyle w:val="TableGrid"/>
        <w:tblW w:w="0" w:type="auto"/>
        <w:tblLook w:val="04A0" w:firstRow="1" w:lastRow="0" w:firstColumn="1" w:lastColumn="0" w:noHBand="0" w:noVBand="1"/>
      </w:tblPr>
      <w:tblGrid>
        <w:gridCol w:w="9350"/>
      </w:tblGrid>
      <w:tr w:rsidR="006B5C0D" w:rsidRPr="006B5C0D" w14:paraId="5A82A303" w14:textId="77777777" w:rsidTr="00426190">
        <w:tc>
          <w:tcPr>
            <w:tcW w:w="9350" w:type="dxa"/>
            <w:shd w:val="clear" w:color="auto" w:fill="FFE599" w:themeFill="accent4" w:themeFillTint="66"/>
          </w:tcPr>
          <w:p w14:paraId="01BF1382" w14:textId="77777777" w:rsidR="006B5C0D" w:rsidRPr="006B5C0D" w:rsidRDefault="006B5C0D" w:rsidP="006B5C0D">
            <w:pPr>
              <w:spacing w:line="360" w:lineRule="auto"/>
              <w:rPr>
                <w:rFonts w:ascii="Arial" w:hAnsi="Arial" w:cs="Arial"/>
                <w:b/>
                <w:bCs/>
                <w:sz w:val="28"/>
                <w:szCs w:val="28"/>
              </w:rPr>
            </w:pPr>
            <m:oMathPara>
              <m:oMath>
                <m:r>
                  <m:rPr>
                    <m:sty m:val="bi"/>
                  </m:rPr>
                  <w:rPr>
                    <w:rFonts w:ascii="Cambria Math" w:hAnsi="Cambria Math" w:cs="Arial"/>
                    <w:sz w:val="28"/>
                    <w:szCs w:val="28"/>
                  </w:rPr>
                  <m:t>Payback Period (PBP</m:t>
                </m:r>
                <m:r>
                  <m:rPr>
                    <m:sty m:val="b"/>
                  </m:rPr>
                  <w:rPr>
                    <w:rFonts w:ascii="Cambria Math" w:hAnsi="Cambria Math" w:cs="Arial"/>
                    <w:sz w:val="28"/>
                    <w:szCs w:val="28"/>
                  </w:rPr>
                  <m:t xml:space="preserve">= </m:t>
                </m:r>
                <m:f>
                  <m:fPr>
                    <m:ctrlPr>
                      <w:rPr>
                        <w:rFonts w:ascii="Cambria Math" w:hAnsi="Cambria Math" w:cs="Arial"/>
                        <w:b/>
                        <w:bCs/>
                        <w:i/>
                        <w:sz w:val="28"/>
                        <w:szCs w:val="28"/>
                      </w:rPr>
                    </m:ctrlPr>
                  </m:fPr>
                  <m:num>
                    <m:r>
                      <m:rPr>
                        <m:sty m:val="b"/>
                      </m:rPr>
                      <w:rPr>
                        <w:rFonts w:ascii="Cambria Math" w:hAnsi="Cambria Math" w:cs="Arial"/>
                        <w:sz w:val="28"/>
                        <w:szCs w:val="28"/>
                      </w:rPr>
                      <m:t>Unrecovered investment at start of year​</m:t>
                    </m:r>
                  </m:num>
                  <m:den>
                    <m:r>
                      <m:rPr>
                        <m:sty m:val="bi"/>
                      </m:rPr>
                      <w:rPr>
                        <w:rFonts w:ascii="Cambria Math" w:hAnsi="Cambria Math" w:cs="Arial"/>
                        <w:sz w:val="28"/>
                        <w:szCs w:val="28"/>
                      </w:rPr>
                      <m:t>Cash Inflow During the Year</m:t>
                    </m:r>
                  </m:den>
                </m:f>
              </m:oMath>
            </m:oMathPara>
          </w:p>
          <w:p w14:paraId="1A5C1AF3" w14:textId="77777777" w:rsidR="006B5C0D" w:rsidRPr="006B5C0D" w:rsidRDefault="006B5C0D" w:rsidP="006B5C0D">
            <w:pPr>
              <w:tabs>
                <w:tab w:val="left" w:pos="915"/>
              </w:tabs>
              <w:spacing w:line="360" w:lineRule="auto"/>
              <w:jc w:val="center"/>
              <w:rPr>
                <w:rFonts w:ascii="Arial" w:hAnsi="Arial" w:cs="Arial"/>
                <w:b/>
                <w:bCs/>
                <w:sz w:val="24"/>
                <w:szCs w:val="24"/>
              </w:rPr>
            </w:pPr>
          </w:p>
        </w:tc>
      </w:tr>
    </w:tbl>
    <w:p w14:paraId="60B4868D" w14:textId="77777777" w:rsidR="006B5C0D" w:rsidRPr="006B5C0D" w:rsidRDefault="006B5C0D" w:rsidP="006B5C0D">
      <w:pPr>
        <w:tabs>
          <w:tab w:val="left" w:pos="915"/>
        </w:tabs>
        <w:spacing w:line="360" w:lineRule="auto"/>
        <w:jc w:val="center"/>
        <w:rPr>
          <w:rFonts w:ascii="Arial" w:hAnsi="Arial" w:cs="Arial"/>
          <w:b/>
          <w:bCs/>
          <w:sz w:val="24"/>
          <w:szCs w:val="24"/>
        </w:rPr>
      </w:pPr>
    </w:p>
    <w:tbl>
      <w:tblPr>
        <w:tblStyle w:val="TableGrid"/>
        <w:tblW w:w="0" w:type="auto"/>
        <w:tblLook w:val="04A0" w:firstRow="1" w:lastRow="0" w:firstColumn="1" w:lastColumn="0" w:noHBand="0" w:noVBand="1"/>
      </w:tblPr>
      <w:tblGrid>
        <w:gridCol w:w="2160"/>
        <w:gridCol w:w="2515"/>
        <w:gridCol w:w="2250"/>
        <w:gridCol w:w="2340"/>
      </w:tblGrid>
      <w:tr w:rsidR="006B5C0D" w:rsidRPr="006B5C0D" w14:paraId="751C0610" w14:textId="77777777" w:rsidTr="00426190">
        <w:tc>
          <w:tcPr>
            <w:tcW w:w="2160" w:type="dxa"/>
          </w:tcPr>
          <w:p w14:paraId="089AAE9C" w14:textId="77777777" w:rsidR="006B5C0D" w:rsidRPr="006B5C0D" w:rsidRDefault="006B5C0D" w:rsidP="006B5C0D">
            <w:pPr>
              <w:spacing w:line="360" w:lineRule="auto"/>
              <w:jc w:val="center"/>
              <w:rPr>
                <w:rFonts w:ascii="Arial" w:hAnsi="Arial" w:cs="Arial"/>
              </w:rPr>
            </w:pPr>
            <w:r w:rsidRPr="006B5C0D">
              <w:rPr>
                <w:rFonts w:ascii="Arial" w:hAnsi="Arial" w:cs="Arial"/>
              </w:rPr>
              <w:t>Project</w:t>
            </w:r>
          </w:p>
        </w:tc>
        <w:tc>
          <w:tcPr>
            <w:tcW w:w="2515" w:type="dxa"/>
          </w:tcPr>
          <w:p w14:paraId="312952EA" w14:textId="77777777" w:rsidR="006B5C0D" w:rsidRPr="006B5C0D" w:rsidRDefault="006B5C0D" w:rsidP="006B5C0D">
            <w:pPr>
              <w:spacing w:line="360" w:lineRule="auto"/>
              <w:rPr>
                <w:rFonts w:ascii="Arial" w:hAnsi="Arial" w:cs="Arial"/>
              </w:rPr>
            </w:pPr>
            <w:r w:rsidRPr="006B5C0D">
              <w:rPr>
                <w:rFonts w:ascii="Arial" w:hAnsi="Arial" w:cs="Arial"/>
              </w:rPr>
              <w:t>Annual Cash Inflows (£m)</w:t>
            </w:r>
          </w:p>
        </w:tc>
        <w:tc>
          <w:tcPr>
            <w:tcW w:w="2250" w:type="dxa"/>
          </w:tcPr>
          <w:p w14:paraId="195EB659" w14:textId="77777777" w:rsidR="006B5C0D" w:rsidRPr="006B5C0D" w:rsidRDefault="006B5C0D" w:rsidP="006B5C0D">
            <w:pPr>
              <w:spacing w:line="360" w:lineRule="auto"/>
              <w:rPr>
                <w:rFonts w:ascii="Arial" w:hAnsi="Arial" w:cs="Arial"/>
              </w:rPr>
            </w:pPr>
            <w:r w:rsidRPr="006B5C0D">
              <w:rPr>
                <w:rFonts w:ascii="Arial" w:hAnsi="Arial" w:cs="Arial"/>
              </w:rPr>
              <w:t>Cumulative Cash Flows (£m)</w:t>
            </w:r>
          </w:p>
        </w:tc>
        <w:tc>
          <w:tcPr>
            <w:tcW w:w="2340" w:type="dxa"/>
          </w:tcPr>
          <w:p w14:paraId="618637EA" w14:textId="77777777" w:rsidR="006B5C0D" w:rsidRPr="006B5C0D" w:rsidRDefault="006B5C0D" w:rsidP="006B5C0D">
            <w:pPr>
              <w:spacing w:line="360" w:lineRule="auto"/>
              <w:rPr>
                <w:rFonts w:ascii="Arial" w:hAnsi="Arial" w:cs="Arial"/>
              </w:rPr>
            </w:pPr>
            <w:r w:rsidRPr="006B5C0D">
              <w:rPr>
                <w:rFonts w:ascii="Arial" w:hAnsi="Arial" w:cs="Arial"/>
              </w:rPr>
              <w:t>Payback Period (Years)</w:t>
            </w:r>
          </w:p>
        </w:tc>
      </w:tr>
      <w:tr w:rsidR="006B5C0D" w:rsidRPr="006B5C0D" w14:paraId="333D7CAB" w14:textId="77777777" w:rsidTr="00426190">
        <w:tc>
          <w:tcPr>
            <w:tcW w:w="2160" w:type="dxa"/>
          </w:tcPr>
          <w:p w14:paraId="4F218FE5"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A</w:t>
            </w:r>
          </w:p>
        </w:tc>
        <w:tc>
          <w:tcPr>
            <w:tcW w:w="2515" w:type="dxa"/>
          </w:tcPr>
          <w:p w14:paraId="559A163D"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10, 12, 14, 10, 8</w:t>
            </w:r>
          </w:p>
        </w:tc>
        <w:tc>
          <w:tcPr>
            <w:tcW w:w="2250" w:type="dxa"/>
          </w:tcPr>
          <w:p w14:paraId="1353F808"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10, 22, 36, 46, 54</w:t>
            </w:r>
          </w:p>
        </w:tc>
        <w:tc>
          <w:tcPr>
            <w:tcW w:w="2340" w:type="dxa"/>
          </w:tcPr>
          <w:p w14:paraId="175F0487"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3.4</w:t>
            </w:r>
          </w:p>
        </w:tc>
      </w:tr>
      <w:tr w:rsidR="006B5C0D" w:rsidRPr="006B5C0D" w14:paraId="50590C7B" w14:textId="77777777" w:rsidTr="00426190">
        <w:tc>
          <w:tcPr>
            <w:tcW w:w="2160" w:type="dxa"/>
          </w:tcPr>
          <w:p w14:paraId="58E48CD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B</w:t>
            </w:r>
          </w:p>
        </w:tc>
        <w:tc>
          <w:tcPr>
            <w:tcW w:w="2515" w:type="dxa"/>
          </w:tcPr>
          <w:p w14:paraId="52FC7424"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6, 6, 6, 6, 6</w:t>
            </w:r>
          </w:p>
        </w:tc>
        <w:tc>
          <w:tcPr>
            <w:tcW w:w="2250" w:type="dxa"/>
          </w:tcPr>
          <w:p w14:paraId="3A0066F7"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6, 12, 18, 24, 30</w:t>
            </w:r>
          </w:p>
        </w:tc>
        <w:tc>
          <w:tcPr>
            <w:tcW w:w="2340" w:type="dxa"/>
          </w:tcPr>
          <w:p w14:paraId="3C7ADC0F"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5.0</w:t>
            </w:r>
          </w:p>
        </w:tc>
      </w:tr>
      <w:tr w:rsidR="006B5C0D" w:rsidRPr="006B5C0D" w14:paraId="2BBFC1D4" w14:textId="77777777" w:rsidTr="00426190">
        <w:tc>
          <w:tcPr>
            <w:tcW w:w="2160" w:type="dxa"/>
          </w:tcPr>
          <w:p w14:paraId="0340AD25"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C</w:t>
            </w:r>
          </w:p>
        </w:tc>
        <w:tc>
          <w:tcPr>
            <w:tcW w:w="2515" w:type="dxa"/>
          </w:tcPr>
          <w:p w14:paraId="633F0B7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5, 10, 20, 25, 15</w:t>
            </w:r>
          </w:p>
        </w:tc>
        <w:tc>
          <w:tcPr>
            <w:tcW w:w="2250" w:type="dxa"/>
          </w:tcPr>
          <w:p w14:paraId="04A83984"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5, 15, 35, 60, 75</w:t>
            </w:r>
          </w:p>
        </w:tc>
        <w:tc>
          <w:tcPr>
            <w:tcW w:w="2340" w:type="dxa"/>
          </w:tcPr>
          <w:p w14:paraId="44B3408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3.6</w:t>
            </w:r>
          </w:p>
        </w:tc>
      </w:tr>
    </w:tbl>
    <w:p w14:paraId="767BB7BB" w14:textId="77777777" w:rsidR="006B5C0D" w:rsidRPr="006B5C0D" w:rsidRDefault="006B5C0D" w:rsidP="006B5C0D">
      <w:pPr>
        <w:tabs>
          <w:tab w:val="left" w:pos="915"/>
        </w:tabs>
        <w:spacing w:line="360" w:lineRule="auto"/>
        <w:jc w:val="center"/>
        <w:rPr>
          <w:rFonts w:ascii="Arial" w:hAnsi="Arial" w:cs="Arial"/>
          <w:b/>
          <w:bCs/>
          <w:sz w:val="24"/>
          <w:szCs w:val="24"/>
        </w:rPr>
      </w:pPr>
    </w:p>
    <w:p w14:paraId="03447959" w14:textId="77777777" w:rsidR="006B5C0D" w:rsidRPr="00125757" w:rsidRDefault="006B5C0D" w:rsidP="00125757">
      <w:pPr>
        <w:pStyle w:val="Heading2"/>
        <w:jc w:val="center"/>
        <w:rPr>
          <w:b w:val="0"/>
          <w:bCs/>
        </w:rPr>
      </w:pPr>
      <w:bookmarkStart w:id="47" w:name="_Toc217280933"/>
      <w:r w:rsidRPr="00125757">
        <w:rPr>
          <w:bCs/>
        </w:rPr>
        <w:t>Table D2: Profitability Index (PI) Calculations</w:t>
      </w:r>
      <w:bookmarkEnd w:id="47"/>
    </w:p>
    <w:p w14:paraId="74EFFAE9"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noProof/>
        </w:rPr>
        <w:drawing>
          <wp:inline distT="0" distB="0" distL="0" distR="0" wp14:anchorId="4D1635DB" wp14:editId="681CE221">
            <wp:extent cx="4743450" cy="600075"/>
            <wp:effectExtent l="38100" t="38100" r="38100" b="476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743450" cy="600075"/>
                    </a:xfrm>
                    <a:prstGeom prst="rect">
                      <a:avLst/>
                    </a:prstGeom>
                    <a:ln w="38100">
                      <a:solidFill>
                        <a:sysClr val="windowText" lastClr="000000"/>
                      </a:solidFill>
                    </a:ln>
                  </pic:spPr>
                </pic:pic>
              </a:graphicData>
            </a:graphic>
          </wp:inline>
        </w:drawing>
      </w:r>
    </w:p>
    <w:tbl>
      <w:tblPr>
        <w:tblStyle w:val="TableGrid"/>
        <w:tblW w:w="0" w:type="auto"/>
        <w:tblInd w:w="535" w:type="dxa"/>
        <w:tblLook w:val="04A0" w:firstRow="1" w:lastRow="0" w:firstColumn="1" w:lastColumn="0" w:noHBand="0" w:noVBand="1"/>
      </w:tblPr>
      <w:tblGrid>
        <w:gridCol w:w="2160"/>
        <w:gridCol w:w="1625"/>
        <w:gridCol w:w="2605"/>
        <w:gridCol w:w="2160"/>
      </w:tblGrid>
      <w:tr w:rsidR="006B5C0D" w:rsidRPr="006B5C0D" w14:paraId="6167C5F5" w14:textId="77777777" w:rsidTr="00426190">
        <w:tc>
          <w:tcPr>
            <w:tcW w:w="2160" w:type="dxa"/>
          </w:tcPr>
          <w:p w14:paraId="3579A399"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Project</w:t>
            </w:r>
          </w:p>
        </w:tc>
        <w:tc>
          <w:tcPr>
            <w:tcW w:w="1625" w:type="dxa"/>
          </w:tcPr>
          <w:p w14:paraId="1686052B"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PV of Inflows (£m)</w:t>
            </w:r>
          </w:p>
        </w:tc>
        <w:tc>
          <w:tcPr>
            <w:tcW w:w="2605" w:type="dxa"/>
          </w:tcPr>
          <w:p w14:paraId="2E80FB45"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Initial Investment (£m)</w:t>
            </w:r>
          </w:p>
        </w:tc>
        <w:tc>
          <w:tcPr>
            <w:tcW w:w="2160" w:type="dxa"/>
          </w:tcPr>
          <w:p w14:paraId="253445D5"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Profitability Index</w:t>
            </w:r>
          </w:p>
        </w:tc>
      </w:tr>
      <w:tr w:rsidR="006B5C0D" w:rsidRPr="006B5C0D" w14:paraId="3F329006" w14:textId="77777777" w:rsidTr="00426190">
        <w:tc>
          <w:tcPr>
            <w:tcW w:w="2160" w:type="dxa"/>
          </w:tcPr>
          <w:p w14:paraId="65223014"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A</w:t>
            </w:r>
          </w:p>
        </w:tc>
        <w:tc>
          <w:tcPr>
            <w:tcW w:w="1625" w:type="dxa"/>
          </w:tcPr>
          <w:p w14:paraId="6B9B5491"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41.92</w:t>
            </w:r>
          </w:p>
        </w:tc>
        <w:tc>
          <w:tcPr>
            <w:tcW w:w="2605" w:type="dxa"/>
          </w:tcPr>
          <w:p w14:paraId="41082EB2"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40</w:t>
            </w:r>
          </w:p>
        </w:tc>
        <w:tc>
          <w:tcPr>
            <w:tcW w:w="2160" w:type="dxa"/>
          </w:tcPr>
          <w:p w14:paraId="71F42B6B"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1.048</w:t>
            </w:r>
          </w:p>
        </w:tc>
      </w:tr>
      <w:tr w:rsidR="006B5C0D" w:rsidRPr="006B5C0D" w14:paraId="67A14C5D" w14:textId="77777777" w:rsidTr="00426190">
        <w:tc>
          <w:tcPr>
            <w:tcW w:w="2160" w:type="dxa"/>
          </w:tcPr>
          <w:p w14:paraId="11CBFC3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B</w:t>
            </w:r>
          </w:p>
        </w:tc>
        <w:tc>
          <w:tcPr>
            <w:tcW w:w="1625" w:type="dxa"/>
          </w:tcPr>
          <w:p w14:paraId="599883A1"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29.79</w:t>
            </w:r>
          </w:p>
        </w:tc>
        <w:tc>
          <w:tcPr>
            <w:tcW w:w="2605" w:type="dxa"/>
          </w:tcPr>
          <w:p w14:paraId="4AFE9EA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30</w:t>
            </w:r>
          </w:p>
        </w:tc>
        <w:tc>
          <w:tcPr>
            <w:tcW w:w="2160" w:type="dxa"/>
          </w:tcPr>
          <w:p w14:paraId="2519BE2B"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0.993</w:t>
            </w:r>
          </w:p>
        </w:tc>
      </w:tr>
      <w:tr w:rsidR="006B5C0D" w:rsidRPr="006B5C0D" w14:paraId="5E91419B" w14:textId="77777777" w:rsidTr="00426190">
        <w:tc>
          <w:tcPr>
            <w:tcW w:w="2160" w:type="dxa"/>
          </w:tcPr>
          <w:p w14:paraId="31FB7656"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C</w:t>
            </w:r>
          </w:p>
        </w:tc>
        <w:tc>
          <w:tcPr>
            <w:tcW w:w="1625" w:type="dxa"/>
          </w:tcPr>
          <w:p w14:paraId="16F77FF6"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71.28</w:t>
            </w:r>
          </w:p>
        </w:tc>
        <w:tc>
          <w:tcPr>
            <w:tcW w:w="2605" w:type="dxa"/>
          </w:tcPr>
          <w:p w14:paraId="2FF4B51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50</w:t>
            </w:r>
          </w:p>
        </w:tc>
        <w:tc>
          <w:tcPr>
            <w:tcW w:w="2160" w:type="dxa"/>
          </w:tcPr>
          <w:p w14:paraId="59D514F1"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1.426</w:t>
            </w:r>
          </w:p>
        </w:tc>
      </w:tr>
    </w:tbl>
    <w:p w14:paraId="058ED245" w14:textId="77777777" w:rsidR="006B5C0D" w:rsidRPr="006B5C0D" w:rsidRDefault="006B5C0D" w:rsidP="006B5C0D">
      <w:pPr>
        <w:tabs>
          <w:tab w:val="left" w:pos="915"/>
        </w:tabs>
        <w:spacing w:line="360" w:lineRule="auto"/>
        <w:jc w:val="center"/>
        <w:rPr>
          <w:rFonts w:ascii="Arial" w:hAnsi="Arial" w:cs="Arial"/>
          <w:b/>
          <w:bCs/>
          <w:sz w:val="24"/>
          <w:szCs w:val="24"/>
        </w:rPr>
      </w:pPr>
    </w:p>
    <w:p w14:paraId="53255750" w14:textId="77777777" w:rsidR="006B5C0D" w:rsidRPr="006B5C0D" w:rsidRDefault="006B5C0D" w:rsidP="006B5C0D">
      <w:pPr>
        <w:tabs>
          <w:tab w:val="left" w:pos="915"/>
        </w:tabs>
        <w:spacing w:line="360" w:lineRule="auto"/>
        <w:jc w:val="center"/>
        <w:rPr>
          <w:rFonts w:ascii="Arial" w:hAnsi="Arial" w:cs="Arial"/>
          <w:b/>
          <w:bCs/>
          <w:sz w:val="24"/>
          <w:szCs w:val="24"/>
        </w:rPr>
      </w:pPr>
    </w:p>
    <w:p w14:paraId="5A938562" w14:textId="77777777" w:rsidR="006B5C0D" w:rsidRPr="006B5C0D" w:rsidRDefault="006B5C0D" w:rsidP="006B5C0D">
      <w:pPr>
        <w:tabs>
          <w:tab w:val="left" w:pos="915"/>
        </w:tabs>
        <w:spacing w:line="360" w:lineRule="auto"/>
        <w:jc w:val="center"/>
        <w:rPr>
          <w:rFonts w:ascii="Arial" w:hAnsi="Arial" w:cs="Arial"/>
          <w:b/>
          <w:bCs/>
          <w:sz w:val="24"/>
          <w:szCs w:val="24"/>
        </w:rPr>
      </w:pPr>
    </w:p>
    <w:p w14:paraId="6870DAF7" w14:textId="77777777" w:rsidR="006B5C0D" w:rsidRPr="006B5C0D" w:rsidRDefault="006B5C0D" w:rsidP="006B5C0D">
      <w:pPr>
        <w:tabs>
          <w:tab w:val="left" w:pos="915"/>
        </w:tabs>
        <w:spacing w:line="360" w:lineRule="auto"/>
        <w:jc w:val="center"/>
        <w:rPr>
          <w:rFonts w:ascii="Arial" w:hAnsi="Arial" w:cs="Arial"/>
          <w:b/>
          <w:bCs/>
          <w:sz w:val="24"/>
          <w:szCs w:val="24"/>
        </w:rPr>
      </w:pPr>
    </w:p>
    <w:p w14:paraId="4C8D11D1" w14:textId="77777777" w:rsidR="006B5C0D" w:rsidRDefault="006B5C0D" w:rsidP="006B5C0D">
      <w:pPr>
        <w:tabs>
          <w:tab w:val="left" w:pos="915"/>
        </w:tabs>
        <w:spacing w:line="360" w:lineRule="auto"/>
        <w:jc w:val="center"/>
        <w:rPr>
          <w:rFonts w:ascii="Arial" w:hAnsi="Arial" w:cs="Arial"/>
          <w:b/>
          <w:bCs/>
          <w:sz w:val="24"/>
          <w:szCs w:val="24"/>
        </w:rPr>
      </w:pPr>
    </w:p>
    <w:p w14:paraId="17C3A9B5" w14:textId="77777777" w:rsidR="00125757" w:rsidRPr="006B5C0D" w:rsidRDefault="00125757" w:rsidP="006B5C0D">
      <w:pPr>
        <w:tabs>
          <w:tab w:val="left" w:pos="915"/>
        </w:tabs>
        <w:spacing w:line="360" w:lineRule="auto"/>
        <w:jc w:val="center"/>
        <w:rPr>
          <w:rFonts w:ascii="Arial" w:hAnsi="Arial" w:cs="Arial"/>
          <w:b/>
          <w:bCs/>
          <w:sz w:val="24"/>
          <w:szCs w:val="24"/>
        </w:rPr>
      </w:pPr>
    </w:p>
    <w:p w14:paraId="5AF161D4" w14:textId="77777777" w:rsidR="006B5C0D" w:rsidRPr="006B5C0D" w:rsidRDefault="006B5C0D" w:rsidP="006B5C0D">
      <w:pPr>
        <w:tabs>
          <w:tab w:val="left" w:pos="915"/>
        </w:tabs>
        <w:spacing w:line="360" w:lineRule="auto"/>
        <w:jc w:val="center"/>
        <w:rPr>
          <w:rFonts w:ascii="Arial" w:hAnsi="Arial" w:cs="Arial"/>
          <w:b/>
          <w:bCs/>
          <w:sz w:val="24"/>
          <w:szCs w:val="24"/>
        </w:rPr>
      </w:pPr>
    </w:p>
    <w:p w14:paraId="7942F939" w14:textId="77777777" w:rsidR="006B5C0D" w:rsidRPr="00125757" w:rsidRDefault="006B5C0D" w:rsidP="00125757">
      <w:pPr>
        <w:pStyle w:val="Heading2"/>
        <w:jc w:val="center"/>
        <w:rPr>
          <w:b w:val="0"/>
          <w:bCs/>
        </w:rPr>
      </w:pPr>
      <w:bookmarkStart w:id="48" w:name="_Toc217280934"/>
      <w:r w:rsidRPr="00125757">
        <w:rPr>
          <w:bCs/>
        </w:rPr>
        <w:t>Table D3: Internal Rate of Return (IRR) Estimates</w:t>
      </w:r>
      <w:bookmarkEnd w:id="48"/>
    </w:p>
    <w:p w14:paraId="195FFF8A" w14:textId="77777777" w:rsidR="006B5C0D" w:rsidRPr="006B5C0D" w:rsidRDefault="006B5C0D" w:rsidP="006B5C0D">
      <w:pPr>
        <w:tabs>
          <w:tab w:val="left" w:pos="915"/>
        </w:tabs>
        <w:spacing w:line="360" w:lineRule="auto"/>
        <w:jc w:val="center"/>
        <w:rPr>
          <w:rFonts w:ascii="Arial" w:hAnsi="Arial" w:cs="Arial"/>
          <w:b/>
          <w:bCs/>
          <w:sz w:val="24"/>
          <w:szCs w:val="24"/>
        </w:rPr>
      </w:pPr>
      <w:r w:rsidRPr="006B5C0D">
        <w:rPr>
          <w:rFonts w:ascii="Arial" w:hAnsi="Arial" w:cs="Arial"/>
          <w:noProof/>
        </w:rPr>
        <w:drawing>
          <wp:inline distT="0" distB="0" distL="0" distR="0" wp14:anchorId="371C0872" wp14:editId="497CCBF0">
            <wp:extent cx="5105400" cy="1314450"/>
            <wp:effectExtent l="38100" t="38100" r="38100" b="3810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15789" b="3508"/>
                    <a:stretch/>
                  </pic:blipFill>
                  <pic:spPr bwMode="auto">
                    <a:xfrm>
                      <a:off x="0" y="0"/>
                      <a:ext cx="5105400" cy="1314450"/>
                    </a:xfrm>
                    <a:prstGeom prst="rect">
                      <a:avLst/>
                    </a:prstGeom>
                    <a:ln w="38100">
                      <a:solidFill>
                        <a:sysClr val="windowText" lastClr="000000"/>
                      </a:solidFill>
                    </a:ln>
                    <a:extLst>
                      <a:ext uri="{53640926-AAD7-44D8-BBD7-CCE9431645EC}">
                        <a14:shadowObscured xmlns:a14="http://schemas.microsoft.com/office/drawing/2010/main"/>
                      </a:ext>
                    </a:extLst>
                  </pic:spPr>
                </pic:pic>
              </a:graphicData>
            </a:graphic>
          </wp:inline>
        </w:drawing>
      </w:r>
    </w:p>
    <w:tbl>
      <w:tblPr>
        <w:tblStyle w:val="TableGrid"/>
        <w:tblW w:w="0" w:type="auto"/>
        <w:tblInd w:w="1075" w:type="dxa"/>
        <w:tblLook w:val="04A0" w:firstRow="1" w:lastRow="0" w:firstColumn="1" w:lastColumn="0" w:noHBand="0" w:noVBand="1"/>
      </w:tblPr>
      <w:tblGrid>
        <w:gridCol w:w="3245"/>
        <w:gridCol w:w="4135"/>
      </w:tblGrid>
      <w:tr w:rsidR="006B5C0D" w:rsidRPr="006B5C0D" w14:paraId="7A1585EA" w14:textId="77777777" w:rsidTr="00426190">
        <w:tc>
          <w:tcPr>
            <w:tcW w:w="3245" w:type="dxa"/>
          </w:tcPr>
          <w:p w14:paraId="12DB001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Project</w:t>
            </w:r>
          </w:p>
        </w:tc>
        <w:tc>
          <w:tcPr>
            <w:tcW w:w="4135" w:type="dxa"/>
          </w:tcPr>
          <w:p w14:paraId="76A02E1A"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Estimated IRR (%)</w:t>
            </w:r>
          </w:p>
        </w:tc>
      </w:tr>
      <w:tr w:rsidR="006B5C0D" w:rsidRPr="006B5C0D" w14:paraId="5DDB64CD" w14:textId="77777777" w:rsidTr="00426190">
        <w:tc>
          <w:tcPr>
            <w:tcW w:w="3245" w:type="dxa"/>
          </w:tcPr>
          <w:p w14:paraId="26BF668F"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A</w:t>
            </w:r>
          </w:p>
        </w:tc>
        <w:tc>
          <w:tcPr>
            <w:tcW w:w="4135" w:type="dxa"/>
          </w:tcPr>
          <w:p w14:paraId="17CE3BD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10.7</w:t>
            </w:r>
          </w:p>
        </w:tc>
      </w:tr>
      <w:tr w:rsidR="006B5C0D" w:rsidRPr="006B5C0D" w14:paraId="2D2988F1" w14:textId="77777777" w:rsidTr="00426190">
        <w:tc>
          <w:tcPr>
            <w:tcW w:w="3245" w:type="dxa"/>
          </w:tcPr>
          <w:p w14:paraId="44B6EC4E"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B</w:t>
            </w:r>
          </w:p>
        </w:tc>
        <w:tc>
          <w:tcPr>
            <w:tcW w:w="4135" w:type="dxa"/>
          </w:tcPr>
          <w:p w14:paraId="38945264"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9.8</w:t>
            </w:r>
          </w:p>
        </w:tc>
      </w:tr>
      <w:tr w:rsidR="006B5C0D" w:rsidRPr="006B5C0D" w14:paraId="4626D595" w14:textId="77777777" w:rsidTr="00426190">
        <w:tc>
          <w:tcPr>
            <w:tcW w:w="3245" w:type="dxa"/>
          </w:tcPr>
          <w:p w14:paraId="2D774B63"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C</w:t>
            </w:r>
          </w:p>
        </w:tc>
        <w:tc>
          <w:tcPr>
            <w:tcW w:w="4135" w:type="dxa"/>
          </w:tcPr>
          <w:p w14:paraId="5493D387" w14:textId="77777777" w:rsidR="006B5C0D" w:rsidRPr="006B5C0D" w:rsidRDefault="006B5C0D" w:rsidP="006B5C0D">
            <w:pPr>
              <w:spacing w:line="360" w:lineRule="auto"/>
              <w:jc w:val="center"/>
              <w:rPr>
                <w:rFonts w:ascii="Arial" w:hAnsi="Arial" w:cs="Arial"/>
                <w:sz w:val="24"/>
                <w:szCs w:val="24"/>
              </w:rPr>
            </w:pPr>
            <w:r w:rsidRPr="006B5C0D">
              <w:rPr>
                <w:rFonts w:ascii="Arial" w:hAnsi="Arial" w:cs="Arial"/>
                <w:sz w:val="24"/>
                <w:szCs w:val="24"/>
              </w:rPr>
              <w:t>28.6</w:t>
            </w:r>
          </w:p>
        </w:tc>
      </w:tr>
    </w:tbl>
    <w:p w14:paraId="5ADC926A" w14:textId="5AF1AD61" w:rsidR="006B5C0D" w:rsidRDefault="0088459D" w:rsidP="006B5C0D">
      <w:pPr>
        <w:tabs>
          <w:tab w:val="left" w:pos="915"/>
        </w:tabs>
        <w:spacing w:line="360" w:lineRule="auto"/>
        <w:rPr>
          <w:rFonts w:ascii="Arial" w:hAnsi="Arial" w:cs="Arial"/>
          <w:b/>
          <w:bCs/>
          <w:sz w:val="24"/>
          <w:szCs w:val="24"/>
        </w:rPr>
      </w:pPr>
      <w:r>
        <w:rPr>
          <w:rFonts w:ascii="Arial" w:hAnsi="Arial" w:cs="Arial"/>
          <w:b/>
          <w:bCs/>
          <w:sz w:val="24"/>
          <w:szCs w:val="24"/>
        </w:rPr>
        <w:t xml:space="preserve"> </w:t>
      </w:r>
    </w:p>
    <w:p w14:paraId="04954479" w14:textId="1C292FE0" w:rsidR="0088459D" w:rsidRPr="0088459D" w:rsidRDefault="0088459D" w:rsidP="0088459D">
      <w:pPr>
        <w:pStyle w:val="Heading2"/>
        <w:jc w:val="center"/>
        <w:rPr>
          <w:b w:val="0"/>
          <w:bCs/>
        </w:rPr>
      </w:pPr>
      <w:bookmarkStart w:id="49" w:name="_Toc217280935"/>
      <w:r w:rsidRPr="0088459D">
        <w:rPr>
          <w:bCs/>
        </w:rPr>
        <w:t>Table D4: Accounting Rate of Return (ARR) Estimates</w:t>
      </w:r>
      <w:bookmarkEnd w:id="49"/>
    </w:p>
    <w:p w14:paraId="5AE9CBD1" w14:textId="77777777" w:rsidR="006B5C0D" w:rsidRPr="006B5C0D" w:rsidRDefault="006B5C0D" w:rsidP="006B5C0D">
      <w:pPr>
        <w:tabs>
          <w:tab w:val="left" w:pos="915"/>
        </w:tabs>
        <w:spacing w:line="360" w:lineRule="auto"/>
        <w:rPr>
          <w:rFonts w:ascii="Arial" w:hAnsi="Arial" w:cs="Arial"/>
          <w:b/>
          <w:bCs/>
          <w:sz w:val="24"/>
          <w:szCs w:val="24"/>
        </w:rPr>
      </w:pPr>
    </w:p>
    <w:p w14:paraId="241C87E8" w14:textId="3D65AEAB" w:rsidR="0074795A" w:rsidRPr="00386049" w:rsidRDefault="0088459D" w:rsidP="00386049">
      <w:pPr>
        <w:spacing w:line="360" w:lineRule="auto"/>
        <w:jc w:val="both"/>
        <w:rPr>
          <w:rFonts w:ascii="Arial" w:hAnsi="Arial" w:cs="Arial"/>
          <w:sz w:val="24"/>
          <w:szCs w:val="24"/>
        </w:rPr>
      </w:pPr>
      <w:r w:rsidRPr="00FE4F98">
        <w:rPr>
          <w:rFonts w:ascii="Arial" w:hAnsi="Arial" w:cs="Arial"/>
          <w:noProof/>
        </w:rPr>
        <w:drawing>
          <wp:inline distT="0" distB="0" distL="0" distR="0" wp14:anchorId="00EAB50F" wp14:editId="424C92A8">
            <wp:extent cx="5943600" cy="1145322"/>
            <wp:effectExtent l="57150" t="57150" r="57150" b="552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1145322"/>
                    </a:xfrm>
                    <a:prstGeom prst="rect">
                      <a:avLst/>
                    </a:prstGeom>
                    <a:ln w="57150">
                      <a:solidFill>
                        <a:schemeClr val="tx1"/>
                      </a:solidFill>
                    </a:ln>
                    <a:effectLst>
                      <a:softEdge rad="112500"/>
                    </a:effectLst>
                  </pic:spPr>
                </pic:pic>
              </a:graphicData>
            </a:graphic>
          </wp:inline>
        </w:drawing>
      </w:r>
    </w:p>
    <w:tbl>
      <w:tblPr>
        <w:tblStyle w:val="TableGrid"/>
        <w:tblW w:w="0" w:type="auto"/>
        <w:tblLook w:val="04A0" w:firstRow="1" w:lastRow="0" w:firstColumn="1" w:lastColumn="0" w:noHBand="0" w:noVBand="1"/>
      </w:tblPr>
      <w:tblGrid>
        <w:gridCol w:w="1030"/>
        <w:gridCol w:w="1872"/>
        <w:gridCol w:w="2115"/>
        <w:gridCol w:w="1615"/>
        <w:gridCol w:w="1821"/>
        <w:gridCol w:w="897"/>
      </w:tblGrid>
      <w:tr w:rsidR="0088459D" w:rsidRPr="0088459D" w14:paraId="5B579CE9" w14:textId="77777777" w:rsidTr="00965E34">
        <w:tc>
          <w:tcPr>
            <w:tcW w:w="0" w:type="auto"/>
            <w:hideMark/>
          </w:tcPr>
          <w:p w14:paraId="4AD55C5F" w14:textId="77777777" w:rsidR="0088459D" w:rsidRPr="0088459D" w:rsidRDefault="0088459D" w:rsidP="0088459D">
            <w:pPr>
              <w:spacing w:line="360" w:lineRule="auto"/>
              <w:jc w:val="center"/>
              <w:rPr>
                <w:rFonts w:ascii="Arial" w:eastAsia="Times New Roman" w:hAnsi="Arial" w:cs="Arial"/>
                <w:b/>
                <w:bCs/>
                <w:sz w:val="24"/>
                <w:szCs w:val="24"/>
              </w:rPr>
            </w:pPr>
            <w:r w:rsidRPr="0088459D">
              <w:rPr>
                <w:rFonts w:ascii="Arial" w:eastAsia="Times New Roman" w:hAnsi="Arial" w:cs="Arial"/>
                <w:b/>
                <w:bCs/>
                <w:sz w:val="24"/>
                <w:szCs w:val="24"/>
              </w:rPr>
              <w:t>Project</w:t>
            </w:r>
          </w:p>
        </w:tc>
        <w:tc>
          <w:tcPr>
            <w:tcW w:w="0" w:type="auto"/>
            <w:hideMark/>
          </w:tcPr>
          <w:p w14:paraId="76458B7D" w14:textId="77777777" w:rsidR="0088459D" w:rsidRPr="0088459D" w:rsidRDefault="0088459D" w:rsidP="0088459D">
            <w:pPr>
              <w:spacing w:line="360" w:lineRule="auto"/>
              <w:jc w:val="center"/>
              <w:rPr>
                <w:rFonts w:ascii="Arial" w:eastAsia="Times New Roman" w:hAnsi="Arial" w:cs="Arial"/>
                <w:b/>
                <w:bCs/>
                <w:sz w:val="24"/>
                <w:szCs w:val="24"/>
              </w:rPr>
            </w:pPr>
            <w:r w:rsidRPr="0088459D">
              <w:rPr>
                <w:rFonts w:ascii="Arial" w:eastAsia="Times New Roman" w:hAnsi="Arial" w:cs="Arial"/>
                <w:b/>
                <w:bCs/>
                <w:sz w:val="24"/>
                <w:szCs w:val="24"/>
              </w:rPr>
              <w:t>Initial Investment (£m)</w:t>
            </w:r>
          </w:p>
        </w:tc>
        <w:tc>
          <w:tcPr>
            <w:tcW w:w="0" w:type="auto"/>
            <w:hideMark/>
          </w:tcPr>
          <w:p w14:paraId="65053896" w14:textId="77777777" w:rsidR="0088459D" w:rsidRPr="0088459D" w:rsidRDefault="0088459D" w:rsidP="0088459D">
            <w:pPr>
              <w:spacing w:line="360" w:lineRule="auto"/>
              <w:jc w:val="center"/>
              <w:rPr>
                <w:rFonts w:ascii="Arial" w:eastAsia="Times New Roman" w:hAnsi="Arial" w:cs="Arial"/>
                <w:b/>
                <w:bCs/>
                <w:sz w:val="24"/>
                <w:szCs w:val="24"/>
              </w:rPr>
            </w:pPr>
            <w:r w:rsidRPr="0088459D">
              <w:rPr>
                <w:rFonts w:ascii="Arial" w:eastAsia="Times New Roman" w:hAnsi="Arial" w:cs="Arial"/>
                <w:b/>
                <w:bCs/>
                <w:sz w:val="24"/>
                <w:szCs w:val="24"/>
              </w:rPr>
              <w:t>Annual Depreciation (£m)</w:t>
            </w:r>
          </w:p>
        </w:tc>
        <w:tc>
          <w:tcPr>
            <w:tcW w:w="0" w:type="auto"/>
            <w:hideMark/>
          </w:tcPr>
          <w:p w14:paraId="1458CE34" w14:textId="77777777" w:rsidR="0088459D" w:rsidRPr="0088459D" w:rsidRDefault="0088459D" w:rsidP="0088459D">
            <w:pPr>
              <w:spacing w:line="360" w:lineRule="auto"/>
              <w:jc w:val="center"/>
              <w:rPr>
                <w:rFonts w:ascii="Arial" w:eastAsia="Times New Roman" w:hAnsi="Arial" w:cs="Arial"/>
                <w:b/>
                <w:bCs/>
                <w:sz w:val="24"/>
                <w:szCs w:val="24"/>
              </w:rPr>
            </w:pPr>
            <w:r w:rsidRPr="0088459D">
              <w:rPr>
                <w:rFonts w:ascii="Arial" w:eastAsia="Times New Roman" w:hAnsi="Arial" w:cs="Arial"/>
                <w:b/>
                <w:bCs/>
                <w:sz w:val="24"/>
                <w:szCs w:val="24"/>
              </w:rPr>
              <w:t>Total Cash Inflows (£m)</w:t>
            </w:r>
          </w:p>
        </w:tc>
        <w:tc>
          <w:tcPr>
            <w:tcW w:w="0" w:type="auto"/>
            <w:hideMark/>
          </w:tcPr>
          <w:p w14:paraId="2DEB5019" w14:textId="77777777" w:rsidR="0088459D" w:rsidRPr="0088459D" w:rsidRDefault="0088459D" w:rsidP="0088459D">
            <w:pPr>
              <w:spacing w:line="360" w:lineRule="auto"/>
              <w:jc w:val="center"/>
              <w:rPr>
                <w:rFonts w:ascii="Arial" w:eastAsia="Times New Roman" w:hAnsi="Arial" w:cs="Arial"/>
                <w:b/>
                <w:bCs/>
                <w:sz w:val="24"/>
                <w:szCs w:val="24"/>
              </w:rPr>
            </w:pPr>
            <w:r w:rsidRPr="0088459D">
              <w:rPr>
                <w:rFonts w:ascii="Arial" w:eastAsia="Times New Roman" w:hAnsi="Arial" w:cs="Arial"/>
                <w:b/>
                <w:bCs/>
                <w:sz w:val="24"/>
                <w:szCs w:val="24"/>
              </w:rPr>
              <w:t>Average Annual Profit (£m)</w:t>
            </w:r>
          </w:p>
        </w:tc>
        <w:tc>
          <w:tcPr>
            <w:tcW w:w="0" w:type="auto"/>
            <w:hideMark/>
          </w:tcPr>
          <w:p w14:paraId="376C9331" w14:textId="77777777" w:rsidR="0088459D" w:rsidRPr="0088459D" w:rsidRDefault="0088459D" w:rsidP="0088459D">
            <w:pPr>
              <w:spacing w:line="360" w:lineRule="auto"/>
              <w:jc w:val="center"/>
              <w:rPr>
                <w:rFonts w:ascii="Arial" w:eastAsia="Times New Roman" w:hAnsi="Arial" w:cs="Arial"/>
                <w:b/>
                <w:bCs/>
                <w:sz w:val="24"/>
                <w:szCs w:val="24"/>
              </w:rPr>
            </w:pPr>
            <w:r w:rsidRPr="0088459D">
              <w:rPr>
                <w:rFonts w:ascii="Arial" w:eastAsia="Times New Roman" w:hAnsi="Arial" w:cs="Arial"/>
                <w:b/>
                <w:bCs/>
                <w:sz w:val="24"/>
                <w:szCs w:val="24"/>
              </w:rPr>
              <w:t>ARR</w:t>
            </w:r>
          </w:p>
        </w:tc>
      </w:tr>
      <w:tr w:rsidR="0088459D" w:rsidRPr="0088459D" w14:paraId="2CB7CF7A" w14:textId="77777777" w:rsidTr="00965E34">
        <w:tc>
          <w:tcPr>
            <w:tcW w:w="0" w:type="auto"/>
            <w:hideMark/>
          </w:tcPr>
          <w:p w14:paraId="4B2B75E1"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A</w:t>
            </w:r>
          </w:p>
        </w:tc>
        <w:tc>
          <w:tcPr>
            <w:tcW w:w="0" w:type="auto"/>
            <w:hideMark/>
          </w:tcPr>
          <w:p w14:paraId="5D560D68"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40</w:t>
            </w:r>
          </w:p>
        </w:tc>
        <w:tc>
          <w:tcPr>
            <w:tcW w:w="0" w:type="auto"/>
            <w:hideMark/>
          </w:tcPr>
          <w:p w14:paraId="494D325C"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8</w:t>
            </w:r>
          </w:p>
        </w:tc>
        <w:tc>
          <w:tcPr>
            <w:tcW w:w="0" w:type="auto"/>
            <w:hideMark/>
          </w:tcPr>
          <w:p w14:paraId="3191DC9F"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54</w:t>
            </w:r>
          </w:p>
        </w:tc>
        <w:tc>
          <w:tcPr>
            <w:tcW w:w="0" w:type="auto"/>
            <w:hideMark/>
          </w:tcPr>
          <w:p w14:paraId="43C99A80"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(54 − 40) ÷ 5 = 2.8</w:t>
            </w:r>
          </w:p>
        </w:tc>
        <w:tc>
          <w:tcPr>
            <w:tcW w:w="0" w:type="auto"/>
            <w:hideMark/>
          </w:tcPr>
          <w:p w14:paraId="2838F911"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b/>
                <w:bCs/>
                <w:sz w:val="24"/>
                <w:szCs w:val="24"/>
              </w:rPr>
              <w:t>7.0%</w:t>
            </w:r>
          </w:p>
        </w:tc>
      </w:tr>
      <w:tr w:rsidR="0088459D" w:rsidRPr="0088459D" w14:paraId="402D5A94" w14:textId="77777777" w:rsidTr="00965E34">
        <w:tc>
          <w:tcPr>
            <w:tcW w:w="0" w:type="auto"/>
            <w:hideMark/>
          </w:tcPr>
          <w:p w14:paraId="229F4E0B"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B</w:t>
            </w:r>
          </w:p>
        </w:tc>
        <w:tc>
          <w:tcPr>
            <w:tcW w:w="0" w:type="auto"/>
            <w:hideMark/>
          </w:tcPr>
          <w:p w14:paraId="5481C3DA"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30</w:t>
            </w:r>
          </w:p>
        </w:tc>
        <w:tc>
          <w:tcPr>
            <w:tcW w:w="0" w:type="auto"/>
            <w:hideMark/>
          </w:tcPr>
          <w:p w14:paraId="11436375"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6</w:t>
            </w:r>
          </w:p>
        </w:tc>
        <w:tc>
          <w:tcPr>
            <w:tcW w:w="0" w:type="auto"/>
            <w:hideMark/>
          </w:tcPr>
          <w:p w14:paraId="614B2A23"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30</w:t>
            </w:r>
          </w:p>
        </w:tc>
        <w:tc>
          <w:tcPr>
            <w:tcW w:w="0" w:type="auto"/>
            <w:hideMark/>
          </w:tcPr>
          <w:p w14:paraId="1B9C681E"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(30 − 30) ÷ 5 = 0</w:t>
            </w:r>
          </w:p>
        </w:tc>
        <w:tc>
          <w:tcPr>
            <w:tcW w:w="0" w:type="auto"/>
            <w:hideMark/>
          </w:tcPr>
          <w:p w14:paraId="5A5313D9"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b/>
                <w:bCs/>
                <w:sz w:val="24"/>
                <w:szCs w:val="24"/>
              </w:rPr>
              <w:t>0.0%</w:t>
            </w:r>
          </w:p>
        </w:tc>
      </w:tr>
      <w:tr w:rsidR="0088459D" w:rsidRPr="0088459D" w14:paraId="463C6E10" w14:textId="77777777" w:rsidTr="00965E34">
        <w:tc>
          <w:tcPr>
            <w:tcW w:w="0" w:type="auto"/>
            <w:hideMark/>
          </w:tcPr>
          <w:p w14:paraId="26F8A513"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C</w:t>
            </w:r>
          </w:p>
        </w:tc>
        <w:tc>
          <w:tcPr>
            <w:tcW w:w="0" w:type="auto"/>
            <w:hideMark/>
          </w:tcPr>
          <w:p w14:paraId="2BE1A46B"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50</w:t>
            </w:r>
          </w:p>
        </w:tc>
        <w:tc>
          <w:tcPr>
            <w:tcW w:w="0" w:type="auto"/>
            <w:hideMark/>
          </w:tcPr>
          <w:p w14:paraId="0A6D6089"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10</w:t>
            </w:r>
          </w:p>
        </w:tc>
        <w:tc>
          <w:tcPr>
            <w:tcW w:w="0" w:type="auto"/>
            <w:hideMark/>
          </w:tcPr>
          <w:p w14:paraId="211D1C12"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75</w:t>
            </w:r>
          </w:p>
        </w:tc>
        <w:tc>
          <w:tcPr>
            <w:tcW w:w="0" w:type="auto"/>
            <w:hideMark/>
          </w:tcPr>
          <w:p w14:paraId="74CAB022"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sz w:val="24"/>
                <w:szCs w:val="24"/>
              </w:rPr>
              <w:t>(75 − 50) ÷ 5 = 5.0</w:t>
            </w:r>
          </w:p>
        </w:tc>
        <w:tc>
          <w:tcPr>
            <w:tcW w:w="0" w:type="auto"/>
            <w:hideMark/>
          </w:tcPr>
          <w:p w14:paraId="1ED40123" w14:textId="77777777" w:rsidR="0088459D" w:rsidRPr="0088459D" w:rsidRDefault="0088459D" w:rsidP="003A4DE8">
            <w:pPr>
              <w:spacing w:line="360" w:lineRule="auto"/>
              <w:jc w:val="center"/>
              <w:rPr>
                <w:rFonts w:ascii="Arial" w:eastAsia="Times New Roman" w:hAnsi="Arial" w:cs="Arial"/>
                <w:sz w:val="24"/>
                <w:szCs w:val="24"/>
              </w:rPr>
            </w:pPr>
            <w:r w:rsidRPr="0088459D">
              <w:rPr>
                <w:rFonts w:ascii="Arial" w:eastAsia="Times New Roman" w:hAnsi="Arial" w:cs="Arial"/>
                <w:b/>
                <w:bCs/>
                <w:sz w:val="24"/>
                <w:szCs w:val="24"/>
              </w:rPr>
              <w:t>10.0%</w:t>
            </w:r>
          </w:p>
        </w:tc>
      </w:tr>
    </w:tbl>
    <w:p w14:paraId="3E8AE266" w14:textId="6401D2F0" w:rsidR="0074795A" w:rsidRDefault="0074795A" w:rsidP="00386049">
      <w:pPr>
        <w:spacing w:line="360" w:lineRule="auto"/>
        <w:jc w:val="both"/>
        <w:rPr>
          <w:rFonts w:ascii="Arial" w:hAnsi="Arial" w:cs="Arial"/>
          <w:sz w:val="28"/>
          <w:szCs w:val="28"/>
        </w:rPr>
      </w:pPr>
    </w:p>
    <w:p w14:paraId="35062FB5" w14:textId="17915FDD" w:rsidR="003A4DE8" w:rsidRDefault="003A4DE8" w:rsidP="003A4DE8">
      <w:pPr>
        <w:pStyle w:val="Heading2"/>
        <w:jc w:val="center"/>
        <w:rPr>
          <w:rFonts w:cs="Arial"/>
          <w:b w:val="0"/>
          <w:bCs/>
          <w:sz w:val="24"/>
          <w:szCs w:val="24"/>
        </w:rPr>
      </w:pPr>
      <w:bookmarkStart w:id="50" w:name="_Toc217280936"/>
      <w:r w:rsidRPr="003A4DE8">
        <w:rPr>
          <w:rFonts w:cs="Arial"/>
          <w:bCs/>
          <w:sz w:val="24"/>
          <w:szCs w:val="24"/>
        </w:rPr>
        <w:t>Table D5: Net Present Value (NPV) Calculations (10% Discount Rate)</w:t>
      </w:r>
      <w:bookmarkEnd w:id="50"/>
    </w:p>
    <w:p w14:paraId="3F176026" w14:textId="175DAF39" w:rsidR="003A4DE8" w:rsidRDefault="003A4DE8" w:rsidP="003A4DE8"/>
    <w:p w14:paraId="0017E15F" w14:textId="6D44B9DC" w:rsidR="003A4DE8" w:rsidRDefault="003A4DE8" w:rsidP="003A4DE8">
      <w:r>
        <w:rPr>
          <w:noProof/>
        </w:rPr>
        <mc:AlternateContent>
          <mc:Choice Requires="wps">
            <w:drawing>
              <wp:anchor distT="0" distB="0" distL="114300" distR="114300" simplePos="0" relativeHeight="251659264" behindDoc="0" locked="0" layoutInCell="1" allowOverlap="1" wp14:anchorId="5831C2F4" wp14:editId="3CB2D50E">
                <wp:simplePos x="0" y="0"/>
                <wp:positionH relativeFrom="column">
                  <wp:posOffset>781050</wp:posOffset>
                </wp:positionH>
                <wp:positionV relativeFrom="paragraph">
                  <wp:posOffset>86995</wp:posOffset>
                </wp:positionV>
                <wp:extent cx="4524375" cy="733425"/>
                <wp:effectExtent l="19050" t="19050" r="28575" b="28575"/>
                <wp:wrapNone/>
                <wp:docPr id="15" name="Text Box 15"/>
                <wp:cNvGraphicFramePr/>
                <a:graphic xmlns:a="http://schemas.openxmlformats.org/drawingml/2006/main">
                  <a:graphicData uri="http://schemas.microsoft.com/office/word/2010/wordprocessingShape">
                    <wps:wsp>
                      <wps:cNvSpPr txBox="1"/>
                      <wps:spPr>
                        <a:xfrm>
                          <a:off x="0" y="0"/>
                          <a:ext cx="4524375" cy="733425"/>
                        </a:xfrm>
                        <a:prstGeom prst="rect">
                          <a:avLst/>
                        </a:prstGeom>
                        <a:solidFill>
                          <a:schemeClr val="accent6">
                            <a:lumMod val="40000"/>
                            <a:lumOff val="60000"/>
                          </a:schemeClr>
                        </a:solidFill>
                        <a:ln w="38100">
                          <a:solidFill>
                            <a:schemeClr val="tx1"/>
                          </a:solidFill>
                        </a:ln>
                      </wps:spPr>
                      <wps:txbx>
                        <w:txbxContent>
                          <w:p w14:paraId="240B97F5" w14:textId="77777777" w:rsidR="003A4DE8" w:rsidRPr="00922363" w:rsidRDefault="003A4DE8" w:rsidP="003A4DE8">
                            <w:pPr>
                              <w:spacing w:line="360" w:lineRule="auto"/>
                              <w:rPr>
                                <w:rFonts w:ascii="Arial" w:hAnsi="Arial" w:cs="Arial"/>
                              </w:rPr>
                            </w:pPr>
                            <m:oMathPara>
                              <m:oMath>
                                <m:r>
                                  <w:rPr>
                                    <w:rFonts w:ascii="Cambria Math" w:hAnsi="Cambria Math" w:cs="Arial"/>
                                  </w:rPr>
                                  <m:t>NPV=PV of cash inflows-initial cash outflows.</m:t>
                                </m:r>
                              </m:oMath>
                            </m:oMathPara>
                          </w:p>
                          <w:p w14:paraId="6BD147CD" w14:textId="77777777" w:rsidR="003A4DE8" w:rsidRPr="00922363" w:rsidRDefault="003A4DE8" w:rsidP="003A4DE8">
                            <w:pPr>
                              <w:spacing w:line="360" w:lineRule="auto"/>
                              <w:jc w:val="center"/>
                              <w:rPr>
                                <w:rFonts w:ascii="Arial" w:eastAsiaTheme="minorEastAsia" w:hAnsi="Arial" w:cs="Arial"/>
                              </w:rPr>
                            </w:pPr>
                            <w:r w:rsidRPr="00922363">
                              <w:rPr>
                                <w:rFonts w:ascii="Arial" w:eastAsiaTheme="minorEastAsia" w:hAnsi="Arial" w:cs="Arial"/>
                              </w:rPr>
                              <w:t xml:space="preserve">NPV= </w:t>
                            </w:r>
                            <m:oMath>
                              <m:f>
                                <m:fPr>
                                  <m:ctrlPr>
                                    <w:rPr>
                                      <w:rFonts w:ascii="Cambria Math" w:hAnsi="Cambria Math" w:cs="Arial"/>
                                      <w:i/>
                                    </w:rPr>
                                  </m:ctrlPr>
                                </m:fPr>
                                <m:num>
                                  <m:r>
                                    <w:rPr>
                                      <w:rFonts w:ascii="Cambria Math" w:hAnsi="Cambria Math" w:cs="Arial"/>
                                    </w:rPr>
                                    <m:t>CFt</m:t>
                                  </m:r>
                                </m:num>
                                <m:den>
                                  <m:sSup>
                                    <m:sSupPr>
                                      <m:ctrlPr>
                                        <w:rPr>
                                          <w:rFonts w:ascii="Cambria Math" w:hAnsi="Cambria Math" w:cs="Arial"/>
                                          <w:i/>
                                        </w:rPr>
                                      </m:ctrlPr>
                                    </m:sSupPr>
                                    <m:e>
                                      <m:r>
                                        <w:rPr>
                                          <w:rFonts w:ascii="Cambria Math" w:hAnsi="Cambria Math" w:cs="Arial"/>
                                        </w:rPr>
                                        <m:t>(1+r)</m:t>
                                      </m:r>
                                    </m:e>
                                    <m:sup>
                                      <m:r>
                                        <w:rPr>
                                          <w:rFonts w:ascii="Cambria Math" w:hAnsi="Cambria Math" w:cs="Arial"/>
                                        </w:rPr>
                                        <m:t>t</m:t>
                                      </m:r>
                                    </m:sup>
                                  </m:sSup>
                                </m:den>
                              </m:f>
                              <m:r>
                                <w:rPr>
                                  <w:rFonts w:ascii="Cambria Math" w:hAnsi="Cambria Math" w:cs="Arial"/>
                                </w:rPr>
                                <m:t>-Io</m:t>
                              </m:r>
                            </m:oMath>
                          </w:p>
                          <w:p w14:paraId="5F84DBCF" w14:textId="77777777" w:rsidR="003A4DE8" w:rsidRDefault="003A4D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831C2F4" id="_x0000_t202" coordsize="21600,21600" o:spt="202" path="m,l,21600r21600,l21600,xe">
                <v:stroke joinstyle="miter"/>
                <v:path gradientshapeok="t" o:connecttype="rect"/>
              </v:shapetype>
              <v:shape id="Text Box 15" o:spid="_x0000_s1026" type="#_x0000_t202" style="position:absolute;margin-left:61.5pt;margin-top:6.85pt;width:356.25pt;height:57.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" fillcolor="#c5e0b3 [1305]" strokecolor="black [3213]" strokeweight="3pt">
                <v:textbox>
                  <w:txbxContent>
                    <w:p w14:paraId="240B97F5" w14:textId="77777777" w:rsidR="003A4DE8" w:rsidRPr="00922363" w:rsidRDefault="003A4DE8" w:rsidP="003A4DE8">
                      <w:pPr>
                        <w:spacing w:line="360" w:lineRule="auto"/>
                        <w:rPr>
                          <w:rFonts w:ascii="Arial" w:hAnsi="Arial" w:cs="Arial"/>
                        </w:rPr>
                      </w:pPr>
                      <m:oMathPara>
                        <m:oMath>
                          <m:r>
                            <w:rPr>
                              <w:rFonts w:ascii="Cambria Math" w:hAnsi="Cambria Math" w:cs="Arial"/>
                            </w:rPr>
                            <m:t>NPV=PV of cash inflows-initial cash outflows.</m:t>
                          </m:r>
                        </m:oMath>
                      </m:oMathPara>
                    </w:p>
                    <w:p w14:paraId="6BD147CD" w14:textId="77777777" w:rsidR="003A4DE8" w:rsidRPr="00922363" w:rsidRDefault="003A4DE8" w:rsidP="003A4DE8">
                      <w:pPr>
                        <w:spacing w:line="360" w:lineRule="auto"/>
                        <w:jc w:val="center"/>
                        <w:rPr>
                          <w:rFonts w:ascii="Arial" w:eastAsiaTheme="minorEastAsia" w:hAnsi="Arial" w:cs="Arial"/>
                        </w:rPr>
                      </w:pPr>
                      <w:r w:rsidRPr="00922363">
                        <w:rPr>
                          <w:rFonts w:ascii="Arial" w:eastAsiaTheme="minorEastAsia" w:hAnsi="Arial" w:cs="Arial"/>
                        </w:rPr>
                        <w:t xml:space="preserve">NPV= </w:t>
                      </w:r>
                      <m:oMath>
                        <m:f>
                          <m:fPr>
                            <m:ctrlPr>
                              <w:rPr>
                                <w:rFonts w:ascii="Cambria Math" w:hAnsi="Cambria Math" w:cs="Arial"/>
                                <w:i/>
                              </w:rPr>
                            </m:ctrlPr>
                          </m:fPr>
                          <m:num>
                            <m:r>
                              <w:rPr>
                                <w:rFonts w:ascii="Cambria Math" w:hAnsi="Cambria Math" w:cs="Arial"/>
                              </w:rPr>
                              <m:t>CFt</m:t>
                            </m:r>
                          </m:num>
                          <m:den>
                            <m:sSup>
                              <m:sSupPr>
                                <m:ctrlPr>
                                  <w:rPr>
                                    <w:rFonts w:ascii="Cambria Math" w:hAnsi="Cambria Math" w:cs="Arial"/>
                                    <w:i/>
                                  </w:rPr>
                                </m:ctrlPr>
                              </m:sSupPr>
                              <m:e>
                                <m:r>
                                  <w:rPr>
                                    <w:rFonts w:ascii="Cambria Math" w:hAnsi="Cambria Math" w:cs="Arial"/>
                                  </w:rPr>
                                  <m:t>(1+r)</m:t>
                                </m:r>
                              </m:e>
                              <m:sup>
                                <m:r>
                                  <w:rPr>
                                    <w:rFonts w:ascii="Cambria Math" w:hAnsi="Cambria Math" w:cs="Arial"/>
                                  </w:rPr>
                                  <m:t>t</m:t>
                                </m:r>
                              </m:sup>
                            </m:sSup>
                          </m:den>
                        </m:f>
                        <m:r>
                          <w:rPr>
                            <w:rFonts w:ascii="Cambria Math" w:hAnsi="Cambria Math" w:cs="Arial"/>
                          </w:rPr>
                          <m:t>-Io</m:t>
                        </m:r>
                      </m:oMath>
                    </w:p>
                    <w:p w14:paraId="5F84DBCF" w14:textId="77777777" w:rsidR="003A4DE8" w:rsidRDefault="003A4DE8"/>
                  </w:txbxContent>
                </v:textbox>
              </v:shape>
            </w:pict>
          </mc:Fallback>
        </mc:AlternateContent>
      </w:r>
    </w:p>
    <w:p w14:paraId="009B2915" w14:textId="570C3F53" w:rsidR="003A4DE8" w:rsidRPr="003A4DE8" w:rsidRDefault="003A4DE8" w:rsidP="003A4DE8"/>
    <w:p w14:paraId="0BE630F7" w14:textId="18F13718" w:rsidR="003A4DE8" w:rsidRPr="003A4DE8" w:rsidRDefault="003A4DE8" w:rsidP="003A4DE8"/>
    <w:p w14:paraId="4165D2B2" w14:textId="7A50DE10" w:rsidR="003A4DE8" w:rsidRDefault="003A4DE8" w:rsidP="003A4DE8"/>
    <w:p w14:paraId="12BAA0BB" w14:textId="77777777" w:rsidR="002C35F1" w:rsidRDefault="003A4DE8" w:rsidP="003A4DE8">
      <w:pPr>
        <w:tabs>
          <w:tab w:val="left" w:pos="3225"/>
        </w:tabs>
      </w:pPr>
      <w:r>
        <w:tab/>
      </w:r>
    </w:p>
    <w:tbl>
      <w:tblPr>
        <w:tblStyle w:val="TableGrid1"/>
        <w:tblW w:w="0" w:type="auto"/>
        <w:tblLook w:val="04A0" w:firstRow="1" w:lastRow="0" w:firstColumn="1" w:lastColumn="0" w:noHBand="0" w:noVBand="1"/>
      </w:tblPr>
      <w:tblGrid>
        <w:gridCol w:w="1030"/>
        <w:gridCol w:w="1108"/>
        <w:gridCol w:w="1109"/>
        <w:gridCol w:w="1151"/>
        <w:gridCol w:w="1151"/>
        <w:gridCol w:w="1109"/>
        <w:gridCol w:w="1647"/>
        <w:gridCol w:w="1045"/>
      </w:tblGrid>
      <w:tr w:rsidR="002C35F1" w:rsidRPr="002C35F1" w14:paraId="541C5DEE" w14:textId="77777777" w:rsidTr="002C35F1">
        <w:tc>
          <w:tcPr>
            <w:tcW w:w="0" w:type="auto"/>
            <w:hideMark/>
          </w:tcPr>
          <w:p w14:paraId="1CB4D704"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Project</w:t>
            </w:r>
          </w:p>
        </w:tc>
        <w:tc>
          <w:tcPr>
            <w:tcW w:w="0" w:type="auto"/>
            <w:hideMark/>
          </w:tcPr>
          <w:p w14:paraId="60A966F4"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Year 1 (£m)</w:t>
            </w:r>
          </w:p>
        </w:tc>
        <w:tc>
          <w:tcPr>
            <w:tcW w:w="0" w:type="auto"/>
            <w:hideMark/>
          </w:tcPr>
          <w:p w14:paraId="5DDF88D0"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Year 2 (£m)</w:t>
            </w:r>
          </w:p>
        </w:tc>
        <w:tc>
          <w:tcPr>
            <w:tcW w:w="0" w:type="auto"/>
            <w:hideMark/>
          </w:tcPr>
          <w:p w14:paraId="63907C29"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Year 3 (£m)</w:t>
            </w:r>
          </w:p>
        </w:tc>
        <w:tc>
          <w:tcPr>
            <w:tcW w:w="0" w:type="auto"/>
            <w:hideMark/>
          </w:tcPr>
          <w:p w14:paraId="38F8209D"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Year 4 (£m)</w:t>
            </w:r>
          </w:p>
        </w:tc>
        <w:tc>
          <w:tcPr>
            <w:tcW w:w="0" w:type="auto"/>
            <w:hideMark/>
          </w:tcPr>
          <w:p w14:paraId="2207FA35"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Year 5 (£m)</w:t>
            </w:r>
          </w:p>
        </w:tc>
        <w:tc>
          <w:tcPr>
            <w:tcW w:w="0" w:type="auto"/>
            <w:hideMark/>
          </w:tcPr>
          <w:p w14:paraId="27168E8F"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PV of Inflows (£m)</w:t>
            </w:r>
          </w:p>
        </w:tc>
        <w:tc>
          <w:tcPr>
            <w:tcW w:w="0" w:type="auto"/>
            <w:hideMark/>
          </w:tcPr>
          <w:p w14:paraId="2767CC7B" w14:textId="77777777" w:rsidR="002C35F1" w:rsidRPr="002C35F1" w:rsidRDefault="002C35F1" w:rsidP="002C35F1">
            <w:pPr>
              <w:jc w:val="center"/>
              <w:rPr>
                <w:rFonts w:ascii="Arial" w:eastAsia="Times New Roman" w:hAnsi="Arial" w:cs="Arial"/>
                <w:b/>
                <w:bCs/>
                <w:sz w:val="24"/>
                <w:szCs w:val="24"/>
              </w:rPr>
            </w:pPr>
            <w:r w:rsidRPr="002C35F1">
              <w:rPr>
                <w:rFonts w:ascii="Arial" w:eastAsia="Times New Roman" w:hAnsi="Arial" w:cs="Arial"/>
                <w:b/>
                <w:bCs/>
                <w:sz w:val="24"/>
                <w:szCs w:val="24"/>
              </w:rPr>
              <w:t>NPV (£m)</w:t>
            </w:r>
          </w:p>
        </w:tc>
      </w:tr>
      <w:tr w:rsidR="002C35F1" w:rsidRPr="002C35F1" w14:paraId="545EB058" w14:textId="77777777" w:rsidTr="002C35F1">
        <w:tc>
          <w:tcPr>
            <w:tcW w:w="0" w:type="auto"/>
            <w:hideMark/>
          </w:tcPr>
          <w:p w14:paraId="5F4C45BB"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A</w:t>
            </w:r>
          </w:p>
        </w:tc>
        <w:tc>
          <w:tcPr>
            <w:tcW w:w="0" w:type="auto"/>
            <w:hideMark/>
          </w:tcPr>
          <w:p w14:paraId="0C1C01B6"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9.09</w:t>
            </w:r>
          </w:p>
        </w:tc>
        <w:tc>
          <w:tcPr>
            <w:tcW w:w="0" w:type="auto"/>
            <w:hideMark/>
          </w:tcPr>
          <w:p w14:paraId="297A5060"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9.91</w:t>
            </w:r>
          </w:p>
        </w:tc>
        <w:tc>
          <w:tcPr>
            <w:tcW w:w="0" w:type="auto"/>
            <w:hideMark/>
          </w:tcPr>
          <w:p w14:paraId="546A41A0"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10.51</w:t>
            </w:r>
          </w:p>
        </w:tc>
        <w:tc>
          <w:tcPr>
            <w:tcW w:w="0" w:type="auto"/>
            <w:hideMark/>
          </w:tcPr>
          <w:p w14:paraId="0B646D4C"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6.83</w:t>
            </w:r>
          </w:p>
        </w:tc>
        <w:tc>
          <w:tcPr>
            <w:tcW w:w="0" w:type="auto"/>
            <w:hideMark/>
          </w:tcPr>
          <w:p w14:paraId="26C1ABBE"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4.97</w:t>
            </w:r>
          </w:p>
        </w:tc>
        <w:tc>
          <w:tcPr>
            <w:tcW w:w="0" w:type="auto"/>
            <w:hideMark/>
          </w:tcPr>
          <w:p w14:paraId="6EE6552A"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b/>
                <w:bCs/>
                <w:sz w:val="24"/>
                <w:szCs w:val="24"/>
              </w:rPr>
              <w:t>41.32</w:t>
            </w:r>
          </w:p>
        </w:tc>
        <w:tc>
          <w:tcPr>
            <w:tcW w:w="0" w:type="auto"/>
            <w:hideMark/>
          </w:tcPr>
          <w:p w14:paraId="155E0E7E"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b/>
                <w:bCs/>
                <w:sz w:val="24"/>
                <w:szCs w:val="24"/>
              </w:rPr>
              <w:t>+1.32</w:t>
            </w:r>
          </w:p>
        </w:tc>
      </w:tr>
      <w:tr w:rsidR="002C35F1" w:rsidRPr="002C35F1" w14:paraId="2ECBFA7F" w14:textId="77777777" w:rsidTr="002C35F1">
        <w:tc>
          <w:tcPr>
            <w:tcW w:w="0" w:type="auto"/>
            <w:hideMark/>
          </w:tcPr>
          <w:p w14:paraId="4F9FFF21"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B</w:t>
            </w:r>
          </w:p>
        </w:tc>
        <w:tc>
          <w:tcPr>
            <w:tcW w:w="0" w:type="auto"/>
            <w:hideMark/>
          </w:tcPr>
          <w:p w14:paraId="480B62B0"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5.45</w:t>
            </w:r>
          </w:p>
        </w:tc>
        <w:tc>
          <w:tcPr>
            <w:tcW w:w="0" w:type="auto"/>
            <w:hideMark/>
          </w:tcPr>
          <w:p w14:paraId="77D5E1A3"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4.96</w:t>
            </w:r>
          </w:p>
        </w:tc>
        <w:tc>
          <w:tcPr>
            <w:tcW w:w="0" w:type="auto"/>
            <w:hideMark/>
          </w:tcPr>
          <w:p w14:paraId="633E130A"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4.51</w:t>
            </w:r>
          </w:p>
        </w:tc>
        <w:tc>
          <w:tcPr>
            <w:tcW w:w="0" w:type="auto"/>
            <w:hideMark/>
          </w:tcPr>
          <w:p w14:paraId="5F6D44F7"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4.10</w:t>
            </w:r>
          </w:p>
        </w:tc>
        <w:tc>
          <w:tcPr>
            <w:tcW w:w="0" w:type="auto"/>
            <w:hideMark/>
          </w:tcPr>
          <w:p w14:paraId="7DFBABDE"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3.73</w:t>
            </w:r>
          </w:p>
        </w:tc>
        <w:tc>
          <w:tcPr>
            <w:tcW w:w="0" w:type="auto"/>
            <w:hideMark/>
          </w:tcPr>
          <w:p w14:paraId="3AFD5251"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b/>
                <w:bCs/>
                <w:sz w:val="24"/>
                <w:szCs w:val="24"/>
              </w:rPr>
              <w:t>22.74</w:t>
            </w:r>
          </w:p>
        </w:tc>
        <w:tc>
          <w:tcPr>
            <w:tcW w:w="0" w:type="auto"/>
            <w:hideMark/>
          </w:tcPr>
          <w:p w14:paraId="234BD235"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b/>
                <w:bCs/>
                <w:sz w:val="24"/>
                <w:szCs w:val="24"/>
              </w:rPr>
              <w:t>−7.26</w:t>
            </w:r>
          </w:p>
        </w:tc>
      </w:tr>
      <w:tr w:rsidR="002C35F1" w:rsidRPr="002C35F1" w14:paraId="0C893493" w14:textId="77777777" w:rsidTr="002C35F1">
        <w:tc>
          <w:tcPr>
            <w:tcW w:w="0" w:type="auto"/>
            <w:hideMark/>
          </w:tcPr>
          <w:p w14:paraId="6255994D"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C</w:t>
            </w:r>
          </w:p>
        </w:tc>
        <w:tc>
          <w:tcPr>
            <w:tcW w:w="0" w:type="auto"/>
            <w:hideMark/>
          </w:tcPr>
          <w:p w14:paraId="08E6FD89"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4.55</w:t>
            </w:r>
          </w:p>
        </w:tc>
        <w:tc>
          <w:tcPr>
            <w:tcW w:w="0" w:type="auto"/>
            <w:hideMark/>
          </w:tcPr>
          <w:p w14:paraId="20992D17"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8.26</w:t>
            </w:r>
          </w:p>
        </w:tc>
        <w:tc>
          <w:tcPr>
            <w:tcW w:w="0" w:type="auto"/>
            <w:hideMark/>
          </w:tcPr>
          <w:p w14:paraId="2F63874D"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15.02</w:t>
            </w:r>
          </w:p>
        </w:tc>
        <w:tc>
          <w:tcPr>
            <w:tcW w:w="0" w:type="auto"/>
            <w:hideMark/>
          </w:tcPr>
          <w:p w14:paraId="184A5471"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17.08</w:t>
            </w:r>
          </w:p>
        </w:tc>
        <w:tc>
          <w:tcPr>
            <w:tcW w:w="0" w:type="auto"/>
            <w:hideMark/>
          </w:tcPr>
          <w:p w14:paraId="769620C1"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sz w:val="24"/>
                <w:szCs w:val="24"/>
              </w:rPr>
              <w:t>9.32</w:t>
            </w:r>
          </w:p>
        </w:tc>
        <w:tc>
          <w:tcPr>
            <w:tcW w:w="0" w:type="auto"/>
            <w:hideMark/>
          </w:tcPr>
          <w:p w14:paraId="787384AB"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b/>
                <w:bCs/>
                <w:sz w:val="24"/>
                <w:szCs w:val="24"/>
              </w:rPr>
              <w:t>54.23</w:t>
            </w:r>
          </w:p>
        </w:tc>
        <w:tc>
          <w:tcPr>
            <w:tcW w:w="0" w:type="auto"/>
            <w:hideMark/>
          </w:tcPr>
          <w:p w14:paraId="02B59E5E" w14:textId="77777777" w:rsidR="002C35F1" w:rsidRPr="002C35F1" w:rsidRDefault="002C35F1" w:rsidP="002C35F1">
            <w:pPr>
              <w:jc w:val="center"/>
              <w:rPr>
                <w:rFonts w:ascii="Arial" w:eastAsia="Times New Roman" w:hAnsi="Arial" w:cs="Arial"/>
                <w:sz w:val="24"/>
                <w:szCs w:val="24"/>
              </w:rPr>
            </w:pPr>
            <w:r w:rsidRPr="002C35F1">
              <w:rPr>
                <w:rFonts w:ascii="Arial" w:eastAsia="Times New Roman" w:hAnsi="Arial" w:cs="Arial"/>
                <w:b/>
                <w:bCs/>
                <w:sz w:val="24"/>
                <w:szCs w:val="24"/>
              </w:rPr>
              <w:t>+4.23</w:t>
            </w:r>
          </w:p>
        </w:tc>
      </w:tr>
    </w:tbl>
    <w:p w14:paraId="06D11EB2" w14:textId="0821C621" w:rsidR="003A4DE8" w:rsidRDefault="003A4DE8" w:rsidP="003A4DE8">
      <w:pPr>
        <w:tabs>
          <w:tab w:val="left" w:pos="3225"/>
        </w:tabs>
      </w:pPr>
    </w:p>
    <w:p w14:paraId="523F6E86" w14:textId="667FE843" w:rsidR="002C35F1" w:rsidRDefault="002C35F1" w:rsidP="003A4DE8">
      <w:pPr>
        <w:tabs>
          <w:tab w:val="left" w:pos="3225"/>
        </w:tabs>
      </w:pPr>
    </w:p>
    <w:p w14:paraId="53FE4D85" w14:textId="5DF0D8D5" w:rsidR="002C35F1" w:rsidRDefault="002C35F1" w:rsidP="003A4DE8">
      <w:pPr>
        <w:tabs>
          <w:tab w:val="left" w:pos="3225"/>
        </w:tabs>
      </w:pPr>
    </w:p>
    <w:p w14:paraId="7BBB4455" w14:textId="77777777" w:rsidR="002C35F1" w:rsidRPr="003A4DE8" w:rsidRDefault="002C35F1" w:rsidP="003A4DE8">
      <w:pPr>
        <w:tabs>
          <w:tab w:val="left" w:pos="3225"/>
        </w:tabs>
      </w:pPr>
    </w:p>
    <w:sectPr w:rsidR="002C35F1" w:rsidRPr="003A4DE8">
      <w:footerReference w:type="default" r:id="rId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E04EA" w14:textId="77777777" w:rsidR="005A6A5E" w:rsidRDefault="005A6A5E" w:rsidP="00B149E8">
      <w:pPr>
        <w:spacing w:after="0" w:line="240" w:lineRule="auto"/>
      </w:pPr>
      <w:r>
        <w:separator/>
      </w:r>
    </w:p>
  </w:endnote>
  <w:endnote w:type="continuationSeparator" w:id="0">
    <w:p w14:paraId="33DF2245" w14:textId="77777777" w:rsidR="005A6A5E" w:rsidRDefault="005A6A5E" w:rsidP="00B14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413983"/>
      <w:docPartObj>
        <w:docPartGallery w:val="Page Numbers (Bottom of Page)"/>
        <w:docPartUnique/>
      </w:docPartObj>
    </w:sdtPr>
    <w:sdtEndPr/>
    <w:sdtContent>
      <w:p w14:paraId="54403DBF" w14:textId="36678A53" w:rsidR="00B149E8" w:rsidRDefault="00B149E8">
        <w:pPr>
          <w:pStyle w:val="Footer"/>
          <w:jc w:val="center"/>
        </w:pPr>
        <w:r>
          <w:fldChar w:fldCharType="begin"/>
        </w:r>
        <w:r>
          <w:instrText xml:space="preserve"> PAGE   \* MERGEFORMAT </w:instrText>
        </w:r>
        <w:r>
          <w:fldChar w:fldCharType="separate"/>
        </w:r>
        <w:r>
          <w:t>2</w:t>
        </w:r>
        <w:r>
          <w:fldChar w:fldCharType="end"/>
        </w:r>
      </w:p>
    </w:sdtContent>
  </w:sdt>
  <w:p w14:paraId="45E4081D" w14:textId="77777777" w:rsidR="00B149E8" w:rsidRDefault="00B14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497A9" w14:textId="77777777" w:rsidR="005A6A5E" w:rsidRDefault="005A6A5E" w:rsidP="00B149E8">
      <w:pPr>
        <w:spacing w:after="0" w:line="240" w:lineRule="auto"/>
      </w:pPr>
      <w:r>
        <w:separator/>
      </w:r>
    </w:p>
  </w:footnote>
  <w:footnote w:type="continuationSeparator" w:id="0">
    <w:p w14:paraId="42704073" w14:textId="77777777" w:rsidR="005A6A5E" w:rsidRDefault="005A6A5E" w:rsidP="00B14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D1974"/>
    <w:multiLevelType w:val="multilevel"/>
    <w:tmpl w:val="6CF21954"/>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CC509C3"/>
    <w:multiLevelType w:val="hybridMultilevel"/>
    <w:tmpl w:val="7DBC1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860141"/>
    <w:multiLevelType w:val="hybridMultilevel"/>
    <w:tmpl w:val="9ED4B9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CD707D"/>
    <w:multiLevelType w:val="hybridMultilevel"/>
    <w:tmpl w:val="6082E8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6076EF"/>
    <w:multiLevelType w:val="multilevel"/>
    <w:tmpl w:val="1CCADB60"/>
    <w:lvl w:ilvl="0">
      <w:start w:val="3"/>
      <w:numFmt w:val="decimal"/>
      <w:lvlText w:val="%1."/>
      <w:lvlJc w:val="left"/>
      <w:pPr>
        <w:ind w:left="720" w:hanging="360"/>
      </w:pPr>
      <w:rPr>
        <w:rFonts w:hint="default"/>
      </w:rPr>
    </w:lvl>
    <w:lvl w:ilvl="1">
      <w:start w:val="1"/>
      <w:numFmt w:val="decimal"/>
      <w:lvlText w:val="%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F8028B1"/>
    <w:multiLevelType w:val="multilevel"/>
    <w:tmpl w:val="6DE8EDF2"/>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21296006"/>
    <w:multiLevelType w:val="multilevel"/>
    <w:tmpl w:val="45D2E36E"/>
    <w:lvl w:ilvl="0">
      <w:start w:val="1"/>
      <w:numFmt w:val="decimal"/>
      <w:lvlText w:val="%1"/>
      <w:lvlJc w:val="left"/>
      <w:pPr>
        <w:ind w:left="360" w:hanging="360"/>
      </w:pPr>
      <w:rPr>
        <w:rFonts w:hint="default"/>
      </w:rPr>
    </w:lvl>
    <w:lvl w:ilvl="1">
      <w:start w:val="6"/>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7" w15:restartNumberingAfterBreak="0">
    <w:nsid w:val="2A996585"/>
    <w:multiLevelType w:val="multilevel"/>
    <w:tmpl w:val="C5723E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DFB3389"/>
    <w:multiLevelType w:val="hybridMultilevel"/>
    <w:tmpl w:val="7466E9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F30802"/>
    <w:multiLevelType w:val="multilevel"/>
    <w:tmpl w:val="CA989EA4"/>
    <w:lvl w:ilvl="0">
      <w:start w:val="3"/>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48FD5865"/>
    <w:multiLevelType w:val="hybridMultilevel"/>
    <w:tmpl w:val="DF7AC75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A5138EC"/>
    <w:multiLevelType w:val="hybridMultilevel"/>
    <w:tmpl w:val="FB441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40606E"/>
    <w:multiLevelType w:val="hybridMultilevel"/>
    <w:tmpl w:val="4FDE8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7037C7"/>
    <w:multiLevelType w:val="hybridMultilevel"/>
    <w:tmpl w:val="1D825A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D90983"/>
    <w:multiLevelType w:val="hybridMultilevel"/>
    <w:tmpl w:val="25D6F0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1C76359"/>
    <w:multiLevelType w:val="hybridMultilevel"/>
    <w:tmpl w:val="230AB7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87407F0"/>
    <w:multiLevelType w:val="hybridMultilevel"/>
    <w:tmpl w:val="73FE62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DBA10A7"/>
    <w:multiLevelType w:val="hybridMultilevel"/>
    <w:tmpl w:val="17C68C8A"/>
    <w:lvl w:ilvl="0" w:tplc="2A3A47CA">
      <w:start w:val="1"/>
      <w:numFmt w:val="bullet"/>
      <w:lvlText w:val="•"/>
      <w:lvlJc w:val="left"/>
      <w:pPr>
        <w:tabs>
          <w:tab w:val="num" w:pos="720"/>
        </w:tabs>
        <w:ind w:left="720" w:hanging="360"/>
      </w:pPr>
      <w:rPr>
        <w:rFonts w:ascii="Arial" w:hAnsi="Arial" w:hint="default"/>
      </w:rPr>
    </w:lvl>
    <w:lvl w:ilvl="1" w:tplc="9A88D032" w:tentative="1">
      <w:start w:val="1"/>
      <w:numFmt w:val="bullet"/>
      <w:lvlText w:val="•"/>
      <w:lvlJc w:val="left"/>
      <w:pPr>
        <w:tabs>
          <w:tab w:val="num" w:pos="1440"/>
        </w:tabs>
        <w:ind w:left="1440" w:hanging="360"/>
      </w:pPr>
      <w:rPr>
        <w:rFonts w:ascii="Arial" w:hAnsi="Arial" w:hint="default"/>
      </w:rPr>
    </w:lvl>
    <w:lvl w:ilvl="2" w:tplc="A5505DA0" w:tentative="1">
      <w:start w:val="1"/>
      <w:numFmt w:val="bullet"/>
      <w:lvlText w:val="•"/>
      <w:lvlJc w:val="left"/>
      <w:pPr>
        <w:tabs>
          <w:tab w:val="num" w:pos="2160"/>
        </w:tabs>
        <w:ind w:left="2160" w:hanging="360"/>
      </w:pPr>
      <w:rPr>
        <w:rFonts w:ascii="Arial" w:hAnsi="Arial" w:hint="default"/>
      </w:rPr>
    </w:lvl>
    <w:lvl w:ilvl="3" w:tplc="599C1BA6" w:tentative="1">
      <w:start w:val="1"/>
      <w:numFmt w:val="bullet"/>
      <w:lvlText w:val="•"/>
      <w:lvlJc w:val="left"/>
      <w:pPr>
        <w:tabs>
          <w:tab w:val="num" w:pos="2880"/>
        </w:tabs>
        <w:ind w:left="2880" w:hanging="360"/>
      </w:pPr>
      <w:rPr>
        <w:rFonts w:ascii="Arial" w:hAnsi="Arial" w:hint="default"/>
      </w:rPr>
    </w:lvl>
    <w:lvl w:ilvl="4" w:tplc="2CE0FB88" w:tentative="1">
      <w:start w:val="1"/>
      <w:numFmt w:val="bullet"/>
      <w:lvlText w:val="•"/>
      <w:lvlJc w:val="left"/>
      <w:pPr>
        <w:tabs>
          <w:tab w:val="num" w:pos="3600"/>
        </w:tabs>
        <w:ind w:left="3600" w:hanging="360"/>
      </w:pPr>
      <w:rPr>
        <w:rFonts w:ascii="Arial" w:hAnsi="Arial" w:hint="default"/>
      </w:rPr>
    </w:lvl>
    <w:lvl w:ilvl="5" w:tplc="48AA27EA" w:tentative="1">
      <w:start w:val="1"/>
      <w:numFmt w:val="bullet"/>
      <w:lvlText w:val="•"/>
      <w:lvlJc w:val="left"/>
      <w:pPr>
        <w:tabs>
          <w:tab w:val="num" w:pos="4320"/>
        </w:tabs>
        <w:ind w:left="4320" w:hanging="360"/>
      </w:pPr>
      <w:rPr>
        <w:rFonts w:ascii="Arial" w:hAnsi="Arial" w:hint="default"/>
      </w:rPr>
    </w:lvl>
    <w:lvl w:ilvl="6" w:tplc="83C6C140" w:tentative="1">
      <w:start w:val="1"/>
      <w:numFmt w:val="bullet"/>
      <w:lvlText w:val="•"/>
      <w:lvlJc w:val="left"/>
      <w:pPr>
        <w:tabs>
          <w:tab w:val="num" w:pos="5040"/>
        </w:tabs>
        <w:ind w:left="5040" w:hanging="360"/>
      </w:pPr>
      <w:rPr>
        <w:rFonts w:ascii="Arial" w:hAnsi="Arial" w:hint="default"/>
      </w:rPr>
    </w:lvl>
    <w:lvl w:ilvl="7" w:tplc="41A47D94" w:tentative="1">
      <w:start w:val="1"/>
      <w:numFmt w:val="bullet"/>
      <w:lvlText w:val="•"/>
      <w:lvlJc w:val="left"/>
      <w:pPr>
        <w:tabs>
          <w:tab w:val="num" w:pos="5760"/>
        </w:tabs>
        <w:ind w:left="5760" w:hanging="360"/>
      </w:pPr>
      <w:rPr>
        <w:rFonts w:ascii="Arial" w:hAnsi="Arial" w:hint="default"/>
      </w:rPr>
    </w:lvl>
    <w:lvl w:ilvl="8" w:tplc="13FC104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F63506C"/>
    <w:multiLevelType w:val="hybridMultilevel"/>
    <w:tmpl w:val="2F0647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9"/>
  </w:num>
  <w:num w:numId="5">
    <w:abstractNumId w:val="8"/>
  </w:num>
  <w:num w:numId="6">
    <w:abstractNumId w:val="12"/>
  </w:num>
  <w:num w:numId="7">
    <w:abstractNumId w:val="16"/>
  </w:num>
  <w:num w:numId="8">
    <w:abstractNumId w:val="14"/>
  </w:num>
  <w:num w:numId="9">
    <w:abstractNumId w:val="18"/>
  </w:num>
  <w:num w:numId="10">
    <w:abstractNumId w:val="13"/>
  </w:num>
  <w:num w:numId="11">
    <w:abstractNumId w:val="10"/>
  </w:num>
  <w:num w:numId="12">
    <w:abstractNumId w:val="11"/>
  </w:num>
  <w:num w:numId="13">
    <w:abstractNumId w:val="1"/>
  </w:num>
  <w:num w:numId="14">
    <w:abstractNumId w:val="4"/>
  </w:num>
  <w:num w:numId="15">
    <w:abstractNumId w:val="3"/>
  </w:num>
  <w:num w:numId="16">
    <w:abstractNumId w:val="2"/>
  </w:num>
  <w:num w:numId="17">
    <w:abstractNumId w:val="15"/>
  </w:num>
  <w:num w:numId="18">
    <w:abstractNumId w:val="17"/>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95A"/>
    <w:rsid w:val="00021D9B"/>
    <w:rsid w:val="00050CDF"/>
    <w:rsid w:val="000950B8"/>
    <w:rsid w:val="00125757"/>
    <w:rsid w:val="00130EDE"/>
    <w:rsid w:val="00133712"/>
    <w:rsid w:val="00187FBA"/>
    <w:rsid w:val="0019103D"/>
    <w:rsid w:val="001E4625"/>
    <w:rsid w:val="001F294D"/>
    <w:rsid w:val="00206611"/>
    <w:rsid w:val="002070CE"/>
    <w:rsid w:val="00233716"/>
    <w:rsid w:val="00240538"/>
    <w:rsid w:val="00246965"/>
    <w:rsid w:val="0025573A"/>
    <w:rsid w:val="0026675E"/>
    <w:rsid w:val="002705FA"/>
    <w:rsid w:val="00281CD7"/>
    <w:rsid w:val="00290D49"/>
    <w:rsid w:val="00294A1A"/>
    <w:rsid w:val="0029501A"/>
    <w:rsid w:val="002A3095"/>
    <w:rsid w:val="002A6087"/>
    <w:rsid w:val="002C35F1"/>
    <w:rsid w:val="002C5631"/>
    <w:rsid w:val="002D4226"/>
    <w:rsid w:val="002D5DD5"/>
    <w:rsid w:val="003007DF"/>
    <w:rsid w:val="00306B48"/>
    <w:rsid w:val="00307070"/>
    <w:rsid w:val="00350F23"/>
    <w:rsid w:val="00365132"/>
    <w:rsid w:val="00374F65"/>
    <w:rsid w:val="00386049"/>
    <w:rsid w:val="003A4DE8"/>
    <w:rsid w:val="003E18AA"/>
    <w:rsid w:val="003E79FF"/>
    <w:rsid w:val="003F274F"/>
    <w:rsid w:val="0040428E"/>
    <w:rsid w:val="00430301"/>
    <w:rsid w:val="00430FA2"/>
    <w:rsid w:val="004376FD"/>
    <w:rsid w:val="00487808"/>
    <w:rsid w:val="004A611A"/>
    <w:rsid w:val="004B45C7"/>
    <w:rsid w:val="005645FC"/>
    <w:rsid w:val="00584920"/>
    <w:rsid w:val="005A6A5E"/>
    <w:rsid w:val="005C70BE"/>
    <w:rsid w:val="005D095A"/>
    <w:rsid w:val="005D37B9"/>
    <w:rsid w:val="005D4674"/>
    <w:rsid w:val="006478AC"/>
    <w:rsid w:val="00695400"/>
    <w:rsid w:val="006A3A0D"/>
    <w:rsid w:val="006B1242"/>
    <w:rsid w:val="006B5C0D"/>
    <w:rsid w:val="006C2787"/>
    <w:rsid w:val="006F4A77"/>
    <w:rsid w:val="00711F6E"/>
    <w:rsid w:val="00722627"/>
    <w:rsid w:val="0074795A"/>
    <w:rsid w:val="00763482"/>
    <w:rsid w:val="00763996"/>
    <w:rsid w:val="007650EF"/>
    <w:rsid w:val="00794C5D"/>
    <w:rsid w:val="007A0FC7"/>
    <w:rsid w:val="007E19F1"/>
    <w:rsid w:val="007F6CA2"/>
    <w:rsid w:val="008303A9"/>
    <w:rsid w:val="0084012F"/>
    <w:rsid w:val="0084176D"/>
    <w:rsid w:val="00861084"/>
    <w:rsid w:val="0088459D"/>
    <w:rsid w:val="008A3DAC"/>
    <w:rsid w:val="008C4059"/>
    <w:rsid w:val="008D5E8B"/>
    <w:rsid w:val="0094331B"/>
    <w:rsid w:val="00947217"/>
    <w:rsid w:val="009918BA"/>
    <w:rsid w:val="009B38D0"/>
    <w:rsid w:val="009B74A5"/>
    <w:rsid w:val="009D6356"/>
    <w:rsid w:val="00A55060"/>
    <w:rsid w:val="00A62FE2"/>
    <w:rsid w:val="00A931D2"/>
    <w:rsid w:val="00AB6465"/>
    <w:rsid w:val="00AB6D55"/>
    <w:rsid w:val="00B0416D"/>
    <w:rsid w:val="00B07189"/>
    <w:rsid w:val="00B149E8"/>
    <w:rsid w:val="00B27756"/>
    <w:rsid w:val="00B52E1B"/>
    <w:rsid w:val="00B92EB6"/>
    <w:rsid w:val="00BA09A0"/>
    <w:rsid w:val="00BB7DAC"/>
    <w:rsid w:val="00BC15DF"/>
    <w:rsid w:val="00BE06C9"/>
    <w:rsid w:val="00BE74BD"/>
    <w:rsid w:val="00C335E8"/>
    <w:rsid w:val="00C81BB7"/>
    <w:rsid w:val="00CA3CA9"/>
    <w:rsid w:val="00CA783B"/>
    <w:rsid w:val="00CA7DC0"/>
    <w:rsid w:val="00CE1EDD"/>
    <w:rsid w:val="00CE61A1"/>
    <w:rsid w:val="00D16671"/>
    <w:rsid w:val="00D27DDD"/>
    <w:rsid w:val="00D57A96"/>
    <w:rsid w:val="00D756D7"/>
    <w:rsid w:val="00D819B1"/>
    <w:rsid w:val="00DA099C"/>
    <w:rsid w:val="00DA496A"/>
    <w:rsid w:val="00DC16A5"/>
    <w:rsid w:val="00E17A77"/>
    <w:rsid w:val="00E51283"/>
    <w:rsid w:val="00E66AF4"/>
    <w:rsid w:val="00EC2335"/>
    <w:rsid w:val="00ED518C"/>
    <w:rsid w:val="00EE7F0E"/>
    <w:rsid w:val="00F10CED"/>
    <w:rsid w:val="00F217C3"/>
    <w:rsid w:val="00F60BC2"/>
    <w:rsid w:val="00F83FB8"/>
    <w:rsid w:val="00F970DC"/>
    <w:rsid w:val="00FE4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33F19"/>
  <w15:chartTrackingRefBased/>
  <w15:docId w15:val="{611CC803-8B73-4752-97AC-E2E032497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DE8"/>
  </w:style>
  <w:style w:type="paragraph" w:styleId="Heading1">
    <w:name w:val="heading 1"/>
    <w:basedOn w:val="Normal"/>
    <w:next w:val="Normal"/>
    <w:link w:val="Heading1Char"/>
    <w:uiPriority w:val="9"/>
    <w:qFormat/>
    <w:rsid w:val="00ED518C"/>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ED518C"/>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1257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9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49E8"/>
    <w:rPr>
      <w:noProof/>
      <w:lang w:val="en-GB"/>
    </w:rPr>
  </w:style>
  <w:style w:type="paragraph" w:styleId="Footer">
    <w:name w:val="footer"/>
    <w:basedOn w:val="Normal"/>
    <w:link w:val="FooterChar"/>
    <w:uiPriority w:val="99"/>
    <w:unhideWhenUsed/>
    <w:rsid w:val="00B149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9E8"/>
    <w:rPr>
      <w:noProof/>
      <w:lang w:val="en-GB"/>
    </w:rPr>
  </w:style>
  <w:style w:type="character" w:customStyle="1" w:styleId="Heading1Char">
    <w:name w:val="Heading 1 Char"/>
    <w:basedOn w:val="DefaultParagraphFont"/>
    <w:link w:val="Heading1"/>
    <w:uiPriority w:val="9"/>
    <w:rsid w:val="00ED518C"/>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B149E8"/>
    <w:pPr>
      <w:outlineLvl w:val="9"/>
    </w:pPr>
  </w:style>
  <w:style w:type="character" w:customStyle="1" w:styleId="Heading2Char">
    <w:name w:val="Heading 2 Char"/>
    <w:basedOn w:val="DefaultParagraphFont"/>
    <w:link w:val="Heading2"/>
    <w:uiPriority w:val="9"/>
    <w:rsid w:val="00ED518C"/>
    <w:rPr>
      <w:rFonts w:ascii="Arial" w:eastAsiaTheme="majorEastAsia" w:hAnsi="Arial" w:cstheme="majorBidi"/>
      <w:b/>
      <w:sz w:val="28"/>
      <w:szCs w:val="26"/>
    </w:rPr>
  </w:style>
  <w:style w:type="paragraph" w:styleId="ListParagraph">
    <w:name w:val="List Paragraph"/>
    <w:basedOn w:val="Normal"/>
    <w:uiPriority w:val="34"/>
    <w:qFormat/>
    <w:rsid w:val="00DC16A5"/>
    <w:pPr>
      <w:ind w:left="720"/>
      <w:contextualSpacing/>
    </w:pPr>
  </w:style>
  <w:style w:type="character" w:styleId="Hyperlink">
    <w:name w:val="Hyperlink"/>
    <w:basedOn w:val="DefaultParagraphFont"/>
    <w:uiPriority w:val="99"/>
    <w:unhideWhenUsed/>
    <w:rsid w:val="00386049"/>
    <w:rPr>
      <w:color w:val="0563C1" w:themeColor="hyperlink"/>
      <w:u w:val="single"/>
    </w:rPr>
  </w:style>
  <w:style w:type="character" w:styleId="UnresolvedMention">
    <w:name w:val="Unresolved Mention"/>
    <w:basedOn w:val="DefaultParagraphFont"/>
    <w:uiPriority w:val="99"/>
    <w:semiHidden/>
    <w:unhideWhenUsed/>
    <w:rsid w:val="00386049"/>
    <w:rPr>
      <w:color w:val="605E5C"/>
      <w:shd w:val="clear" w:color="auto" w:fill="E1DFDD"/>
    </w:rPr>
  </w:style>
  <w:style w:type="table" w:styleId="TableGrid">
    <w:name w:val="Table Grid"/>
    <w:basedOn w:val="TableNormal"/>
    <w:uiPriority w:val="39"/>
    <w:rsid w:val="006B5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B5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B5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6B5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B5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25757"/>
    <w:rPr>
      <w:rFonts w:asciiTheme="majorHAnsi" w:eastAsiaTheme="majorEastAsia" w:hAnsiTheme="majorHAnsi" w:cstheme="majorBidi"/>
      <w:noProof/>
      <w:color w:val="1F3763" w:themeColor="accent1" w:themeShade="7F"/>
      <w:sz w:val="24"/>
      <w:szCs w:val="24"/>
      <w:lang w:val="en-GB"/>
    </w:rPr>
  </w:style>
  <w:style w:type="paragraph" w:styleId="TOC1">
    <w:name w:val="toc 1"/>
    <w:basedOn w:val="Normal"/>
    <w:next w:val="Normal"/>
    <w:autoRedefine/>
    <w:uiPriority w:val="39"/>
    <w:unhideWhenUsed/>
    <w:rsid w:val="00125757"/>
    <w:pPr>
      <w:spacing w:after="100"/>
    </w:pPr>
  </w:style>
  <w:style w:type="paragraph" w:styleId="TOC2">
    <w:name w:val="toc 2"/>
    <w:basedOn w:val="Normal"/>
    <w:next w:val="Normal"/>
    <w:autoRedefine/>
    <w:uiPriority w:val="39"/>
    <w:unhideWhenUsed/>
    <w:rsid w:val="00125757"/>
    <w:pPr>
      <w:spacing w:after="100"/>
      <w:ind w:left="220"/>
    </w:pPr>
  </w:style>
  <w:style w:type="paragraph" w:styleId="TOC3">
    <w:name w:val="toc 3"/>
    <w:basedOn w:val="Normal"/>
    <w:next w:val="Normal"/>
    <w:autoRedefine/>
    <w:uiPriority w:val="39"/>
    <w:unhideWhenUsed/>
    <w:rsid w:val="00125757"/>
    <w:pPr>
      <w:spacing w:after="100"/>
      <w:ind w:left="440"/>
    </w:pPr>
  </w:style>
  <w:style w:type="paragraph" w:styleId="NoSpacing">
    <w:name w:val="No Spacing"/>
    <w:uiPriority w:val="1"/>
    <w:qFormat/>
    <w:rsid w:val="00ED518C"/>
    <w:pPr>
      <w:spacing w:after="0" w:line="240" w:lineRule="auto"/>
    </w:pPr>
  </w:style>
  <w:style w:type="paragraph" w:styleId="NormalWeb">
    <w:name w:val="Normal (Web)"/>
    <w:basedOn w:val="Normal"/>
    <w:uiPriority w:val="99"/>
    <w:unhideWhenUsed/>
    <w:rsid w:val="00EC233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469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02255">
      <w:bodyDiv w:val="1"/>
      <w:marLeft w:val="0"/>
      <w:marRight w:val="0"/>
      <w:marTop w:val="0"/>
      <w:marBottom w:val="0"/>
      <w:divBdr>
        <w:top w:val="none" w:sz="0" w:space="0" w:color="auto"/>
        <w:left w:val="none" w:sz="0" w:space="0" w:color="auto"/>
        <w:bottom w:val="none" w:sz="0" w:space="0" w:color="auto"/>
        <w:right w:val="none" w:sz="0" w:space="0" w:color="auto"/>
      </w:divBdr>
    </w:div>
    <w:div w:id="842428031">
      <w:bodyDiv w:val="1"/>
      <w:marLeft w:val="0"/>
      <w:marRight w:val="0"/>
      <w:marTop w:val="0"/>
      <w:marBottom w:val="0"/>
      <w:divBdr>
        <w:top w:val="none" w:sz="0" w:space="0" w:color="auto"/>
        <w:left w:val="none" w:sz="0" w:space="0" w:color="auto"/>
        <w:bottom w:val="none" w:sz="0" w:space="0" w:color="auto"/>
        <w:right w:val="none" w:sz="0" w:space="0" w:color="auto"/>
      </w:divBdr>
    </w:div>
    <w:div w:id="872184819">
      <w:bodyDiv w:val="1"/>
      <w:marLeft w:val="0"/>
      <w:marRight w:val="0"/>
      <w:marTop w:val="0"/>
      <w:marBottom w:val="0"/>
      <w:divBdr>
        <w:top w:val="none" w:sz="0" w:space="0" w:color="auto"/>
        <w:left w:val="none" w:sz="0" w:space="0" w:color="auto"/>
        <w:bottom w:val="none" w:sz="0" w:space="0" w:color="auto"/>
        <w:right w:val="none" w:sz="0" w:space="0" w:color="auto"/>
      </w:divBdr>
    </w:div>
    <w:div w:id="1329752044">
      <w:bodyDiv w:val="1"/>
      <w:marLeft w:val="0"/>
      <w:marRight w:val="0"/>
      <w:marTop w:val="0"/>
      <w:marBottom w:val="0"/>
      <w:divBdr>
        <w:top w:val="none" w:sz="0" w:space="0" w:color="auto"/>
        <w:left w:val="none" w:sz="0" w:space="0" w:color="auto"/>
        <w:bottom w:val="none" w:sz="0" w:space="0" w:color="auto"/>
        <w:right w:val="none" w:sz="0" w:space="0" w:color="auto"/>
      </w:divBdr>
    </w:div>
    <w:div w:id="213741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8035/dijefa.v3i5.1507" TargetMode="External"/><Relationship Id="rId18" Type="http://schemas.openxmlformats.org/officeDocument/2006/relationships/hyperlink" Target="https://doi.org/10.1177/21582440211008875" TargetMode="External"/><Relationship Id="rId26" Type="http://schemas.openxmlformats.org/officeDocument/2006/relationships/hyperlink" Target="https://doi.org/10.2139/ssrn.2542042" TargetMode="External"/><Relationship Id="rId39" Type="http://schemas.openxmlformats.org/officeDocument/2006/relationships/chart" Target="charts/chart8.xml"/><Relationship Id="rId21" Type="http://schemas.openxmlformats.org/officeDocument/2006/relationships/hyperlink" Target="https://doi.org/10.24912/jm.v26i1.843" TargetMode="External"/><Relationship Id="rId34" Type="http://schemas.openxmlformats.org/officeDocument/2006/relationships/chart" Target="charts/chart3.xml"/><Relationship Id="rId42" Type="http://schemas.openxmlformats.org/officeDocument/2006/relationships/diagramQuickStyle" Target="diagrams/quickStyle1.xml"/><Relationship Id="rId47" Type="http://schemas.openxmlformats.org/officeDocument/2006/relationships/chart" Target="charts/chart11.xml"/><Relationship Id="rId50" Type="http://schemas.openxmlformats.org/officeDocument/2006/relationships/image" Target="media/image2.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267/j.uscm.2023.3.006" TargetMode="External"/><Relationship Id="rId29" Type="http://schemas.openxmlformats.org/officeDocument/2006/relationships/hyperlink" Target="http://www.taxtmi.com/article/detailed?id=15616" TargetMode="External"/><Relationship Id="rId11" Type="http://schemas.openxmlformats.org/officeDocument/2006/relationships/hyperlink" Target="https://doi.org/10.5465/amr.2019.0386" TargetMode="External"/><Relationship Id="rId24" Type="http://schemas.openxmlformats.org/officeDocument/2006/relationships/hyperlink" Target="http://www.researchgate.net" TargetMode="External"/><Relationship Id="rId32" Type="http://schemas.openxmlformats.org/officeDocument/2006/relationships/chart" Target="charts/chart1.xml"/><Relationship Id="rId37" Type="http://schemas.openxmlformats.org/officeDocument/2006/relationships/chart" Target="charts/chart6.xml"/><Relationship Id="rId40" Type="http://schemas.openxmlformats.org/officeDocument/2006/relationships/diagramData" Target="diagrams/data1.xml"/><Relationship Id="rId45" Type="http://schemas.openxmlformats.org/officeDocument/2006/relationships/chart" Target="charts/chart9.xm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2139/ssrn.5073801" TargetMode="External"/><Relationship Id="rId19" Type="http://schemas.openxmlformats.org/officeDocument/2006/relationships/hyperlink" Target="http://www.jpmorgan.com/insights/treasury/receivables/understanding-and-optimizing-your-cash-conversion-cycle" TargetMode="External"/><Relationship Id="rId31" Type="http://schemas.openxmlformats.org/officeDocument/2006/relationships/hyperlink" Target="http://www.researchgate.net" TargetMode="External"/><Relationship Id="rId44" Type="http://schemas.microsoft.com/office/2007/relationships/diagramDrawing" Target="diagrams/drawing1.xml"/><Relationship Id="rId52"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www.financialprofessionals.org/training-resources/resources/articles/Details/beyond-the-balance-sheet-the-strategic-role-of-today-s-cfo" TargetMode="External"/><Relationship Id="rId14" Type="http://schemas.openxmlformats.org/officeDocument/2006/relationships/hyperlink" Target="http://www.embat.io/en/blog/working-capital-optimisation-strategies" TargetMode="External"/><Relationship Id="rId22" Type="http://schemas.openxmlformats.org/officeDocument/2006/relationships/hyperlink" Target="https://doi.org/10.24294/jipd.v8i5.3827" TargetMode="External"/><Relationship Id="rId27" Type="http://schemas.openxmlformats.org/officeDocument/2006/relationships/hyperlink" Target="https://doi.org/10.1057/palgrave.jors.2602410" TargetMode="External"/><Relationship Id="rId30" Type="http://schemas.openxmlformats.org/officeDocument/2006/relationships/hyperlink" Target="https://doi.org/10.47191/jefms/v5-i10-10" TargetMode="External"/><Relationship Id="rId35" Type="http://schemas.openxmlformats.org/officeDocument/2006/relationships/chart" Target="charts/chart4.xml"/><Relationship Id="rId43" Type="http://schemas.openxmlformats.org/officeDocument/2006/relationships/diagramColors" Target="diagrams/colors1.xml"/><Relationship Id="rId48" Type="http://schemas.openxmlformats.org/officeDocument/2006/relationships/chart" Target="charts/chart12.xml"/><Relationship Id="rId8" Type="http://schemas.openxmlformats.org/officeDocument/2006/relationships/image" Target="media/image1.png"/><Relationship Id="rId51"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doi.org/10.1111/j.1468-5957.1982.tb01012.x" TargetMode="External"/><Relationship Id="rId17" Type="http://schemas.openxmlformats.org/officeDocument/2006/relationships/hyperlink" Target="https://doi.org/10.37648/ijrssh.v10i04.043" TargetMode="External"/><Relationship Id="rId25" Type="http://schemas.openxmlformats.org/officeDocument/2006/relationships/hyperlink" Target="https://doi.org/10.1080/20430795.2019.1625012" TargetMode="External"/><Relationship Id="rId33" Type="http://schemas.openxmlformats.org/officeDocument/2006/relationships/chart" Target="charts/chart2.xml"/><Relationship Id="rId38" Type="http://schemas.openxmlformats.org/officeDocument/2006/relationships/chart" Target="charts/chart7.xml"/><Relationship Id="rId46" Type="http://schemas.openxmlformats.org/officeDocument/2006/relationships/chart" Target="charts/chart10.xml"/><Relationship Id="rId20" Type="http://schemas.openxmlformats.org/officeDocument/2006/relationships/hyperlink" Target="https://doi.org/10.6007/ijarafms/v11-i3/10660" TargetMode="External"/><Relationship Id="rId41" Type="http://schemas.openxmlformats.org/officeDocument/2006/relationships/diagramLayout" Target="diagrams/layout1.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cg-12-2021-0440" TargetMode="External"/><Relationship Id="rId23" Type="http://schemas.openxmlformats.org/officeDocument/2006/relationships/hyperlink" Target="https://doi.org/10.29138/ijebd.v8i2.3234" TargetMode="External"/><Relationship Id="rId28" Type="http://schemas.openxmlformats.org/officeDocument/2006/relationships/hyperlink" Target="https://doi.org/10.54691/bcpbm.v35i.3219" TargetMode="External"/><Relationship Id="rId36" Type="http://schemas.openxmlformats.org/officeDocument/2006/relationships/chart" Target="charts/chart5.xml"/><Relationship Id="rId49" Type="http://schemas.openxmlformats.org/officeDocument/2006/relationships/chart" Target="charts/chart1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400" b="1" i="0" u="none" strike="noStrike" cap="none" baseline="0">
                <a:effectLst/>
              </a:rPr>
              <a:t>Profitability Ratios</a:t>
            </a:r>
            <a:r>
              <a:rPr lang="en-US"/>
              <a: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pt idx="0">
                  <c:v>2020</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Sheet1!$A$2:$A$6</c:f>
              <c:strCache>
                <c:ptCount val="5"/>
                <c:pt idx="0">
                  <c:v>Gross Profit Margin</c:v>
                </c:pt>
                <c:pt idx="1">
                  <c:v>Operating Profit Margin</c:v>
                </c:pt>
                <c:pt idx="2">
                  <c:v>Net Profit Margin</c:v>
                </c:pt>
                <c:pt idx="3">
                  <c:v>Return on Assets (ROA)</c:v>
                </c:pt>
                <c:pt idx="4">
                  <c:v>Return on Equity (ROE)</c:v>
                </c:pt>
              </c:strCache>
              <c:extLst/>
            </c:strRef>
          </c:cat>
          <c:val>
            <c:numRef>
              <c:f>Sheet1!$C$2:$C$6</c:f>
              <c:numCache>
                <c:formatCode>0.00%</c:formatCode>
                <c:ptCount val="5"/>
                <c:pt idx="0">
                  <c:v>0.28670000000000001</c:v>
                </c:pt>
                <c:pt idx="1">
                  <c:v>6.0600000000000001E-2</c:v>
                </c:pt>
                <c:pt idx="2">
                  <c:v>6.2799999999999995E-2</c:v>
                </c:pt>
                <c:pt idx="3">
                  <c:v>7.5600000000000001E-2</c:v>
                </c:pt>
                <c:pt idx="4">
                  <c:v>0.1231</c:v>
                </c:pt>
              </c:numCache>
            </c:numRef>
          </c:val>
          <c:extLst>
            <c:ext xmlns:c16="http://schemas.microsoft.com/office/drawing/2014/chart" uri="{C3380CC4-5D6E-409C-BE32-E72D297353CC}">
              <c16:uniqueId val="{00000000-3426-48B6-9932-1F435AF6FF4E}"/>
            </c:ext>
          </c:extLst>
        </c:ser>
        <c:ser>
          <c:idx val="1"/>
          <c:order val="1"/>
          <c:tx>
            <c:strRef>
              <c:f>Sheet1!$D$1</c:f>
              <c:strCache>
                <c:ptCount val="1"/>
                <c:pt idx="0">
                  <c:v>2021</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Sheet1!$A$2:$A$6</c:f>
              <c:strCache>
                <c:ptCount val="5"/>
                <c:pt idx="0">
                  <c:v>Gross Profit Margin</c:v>
                </c:pt>
                <c:pt idx="1">
                  <c:v>Operating Profit Margin</c:v>
                </c:pt>
                <c:pt idx="2">
                  <c:v>Net Profit Margin</c:v>
                </c:pt>
                <c:pt idx="3">
                  <c:v>Return on Assets (ROA)</c:v>
                </c:pt>
                <c:pt idx="4">
                  <c:v>Return on Equity (ROE)</c:v>
                </c:pt>
              </c:strCache>
              <c:extLst/>
            </c:strRef>
          </c:cat>
          <c:val>
            <c:numRef>
              <c:f>Sheet1!$D$2:$D$6</c:f>
              <c:numCache>
                <c:formatCode>0.00%</c:formatCode>
                <c:ptCount val="5"/>
                <c:pt idx="0">
                  <c:v>0.28760000000000002</c:v>
                </c:pt>
                <c:pt idx="1">
                  <c:v>3.8699999999999998E-2</c:v>
                </c:pt>
                <c:pt idx="2">
                  <c:v>8.8000000000000005E-3</c:v>
                </c:pt>
                <c:pt idx="3">
                  <c:v>1.04E-2</c:v>
                </c:pt>
                <c:pt idx="4">
                  <c:v>1.9199999999999998E-2</c:v>
                </c:pt>
              </c:numCache>
            </c:numRef>
          </c:val>
          <c:extLst>
            <c:ext xmlns:c16="http://schemas.microsoft.com/office/drawing/2014/chart" uri="{C3380CC4-5D6E-409C-BE32-E72D297353CC}">
              <c16:uniqueId val="{00000001-3426-48B6-9932-1F435AF6FF4E}"/>
            </c:ext>
          </c:extLst>
        </c:ser>
        <c:ser>
          <c:idx val="2"/>
          <c:order val="2"/>
          <c:tx>
            <c:strRef>
              <c:f>Sheet1!$E$1</c:f>
              <c:strCache>
                <c:ptCount val="1"/>
                <c:pt idx="0">
                  <c:v>2022</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Sheet1!$A$2:$A$6</c:f>
              <c:strCache>
                <c:ptCount val="5"/>
                <c:pt idx="0">
                  <c:v>Gross Profit Margin</c:v>
                </c:pt>
                <c:pt idx="1">
                  <c:v>Operating Profit Margin</c:v>
                </c:pt>
                <c:pt idx="2">
                  <c:v>Net Profit Margin</c:v>
                </c:pt>
                <c:pt idx="3">
                  <c:v>Return on Assets (ROA)</c:v>
                </c:pt>
                <c:pt idx="4">
                  <c:v>Return on Equity (ROE)</c:v>
                </c:pt>
              </c:strCache>
              <c:extLst/>
            </c:strRef>
          </c:cat>
          <c:val>
            <c:numRef>
              <c:f>Sheet1!$E$2:$E$6</c:f>
              <c:numCache>
                <c:formatCode>0.00%</c:formatCode>
                <c:ptCount val="5"/>
                <c:pt idx="0">
                  <c:v>0.28060000000000002</c:v>
                </c:pt>
                <c:pt idx="1">
                  <c:v>2.6800000000000001E-2</c:v>
                </c:pt>
                <c:pt idx="2">
                  <c:v>8.0000000000000004E-4</c:v>
                </c:pt>
                <c:pt idx="3">
                  <c:v>8.0000000000000004E-4</c:v>
                </c:pt>
                <c:pt idx="4">
                  <c:v>1.5E-3</c:v>
                </c:pt>
              </c:numCache>
            </c:numRef>
          </c:val>
          <c:extLst>
            <c:ext xmlns:c16="http://schemas.microsoft.com/office/drawing/2014/chart" uri="{C3380CC4-5D6E-409C-BE32-E72D297353CC}">
              <c16:uniqueId val="{00000002-3426-48B6-9932-1F435AF6FF4E}"/>
            </c:ext>
          </c:extLst>
        </c:ser>
        <c:ser>
          <c:idx val="3"/>
          <c:order val="3"/>
          <c:tx>
            <c:strRef>
              <c:f>Sheet1!$F$1</c:f>
              <c:strCache>
                <c:ptCount val="1"/>
                <c:pt idx="0">
                  <c:v>2023</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Sheet1!$A$2:$A$6</c:f>
              <c:strCache>
                <c:ptCount val="5"/>
                <c:pt idx="0">
                  <c:v>Gross Profit Margin</c:v>
                </c:pt>
                <c:pt idx="1">
                  <c:v>Operating Profit Margin</c:v>
                </c:pt>
                <c:pt idx="2">
                  <c:v>Net Profit Margin</c:v>
                </c:pt>
                <c:pt idx="3">
                  <c:v>Return on Assets (ROA)</c:v>
                </c:pt>
                <c:pt idx="4">
                  <c:v>Return on Equity (ROE)</c:v>
                </c:pt>
              </c:strCache>
              <c:extLst/>
            </c:strRef>
          </c:cat>
          <c:val>
            <c:numRef>
              <c:f>Sheet1!$F$2:$F$6</c:f>
              <c:numCache>
                <c:formatCode>General</c:formatCode>
                <c:ptCount val="5"/>
                <c:pt idx="0" formatCode="0.00%">
                  <c:v>0.23200000000000001</c:v>
                </c:pt>
                <c:pt idx="1">
                  <c:v>0</c:v>
                </c:pt>
                <c:pt idx="2">
                  <c:v>0</c:v>
                </c:pt>
                <c:pt idx="3">
                  <c:v>0</c:v>
                </c:pt>
                <c:pt idx="4">
                  <c:v>0</c:v>
                </c:pt>
              </c:numCache>
            </c:numRef>
          </c:val>
          <c:extLst>
            <c:ext xmlns:c16="http://schemas.microsoft.com/office/drawing/2014/chart" uri="{C3380CC4-5D6E-409C-BE32-E72D297353CC}">
              <c16:uniqueId val="{00000003-3426-48B6-9932-1F435AF6FF4E}"/>
            </c:ext>
          </c:extLst>
        </c:ser>
        <c:ser>
          <c:idx val="4"/>
          <c:order val="4"/>
          <c:tx>
            <c:strRef>
              <c:f>Sheet1!$G$1</c:f>
              <c:strCache>
                <c:ptCount val="1"/>
                <c:pt idx="0">
                  <c:v>2024</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Sheet1!$A$2:$A$6</c:f>
              <c:strCache>
                <c:ptCount val="5"/>
                <c:pt idx="0">
                  <c:v>Gross Profit Margin</c:v>
                </c:pt>
                <c:pt idx="1">
                  <c:v>Operating Profit Margin</c:v>
                </c:pt>
                <c:pt idx="2">
                  <c:v>Net Profit Margin</c:v>
                </c:pt>
                <c:pt idx="3">
                  <c:v>Return on Assets (ROA)</c:v>
                </c:pt>
                <c:pt idx="4">
                  <c:v>Return on Equity (ROE)</c:v>
                </c:pt>
              </c:strCache>
              <c:extLst/>
            </c:strRef>
          </c:cat>
          <c:val>
            <c:numRef>
              <c:f>Sheet1!$G$2:$G$6</c:f>
              <c:numCache>
                <c:formatCode>General</c:formatCode>
                <c:ptCount val="5"/>
                <c:pt idx="0" formatCode="0.00%">
                  <c:v>0.28870000000000001</c:v>
                </c:pt>
                <c:pt idx="1">
                  <c:v>0</c:v>
                </c:pt>
                <c:pt idx="2">
                  <c:v>0</c:v>
                </c:pt>
                <c:pt idx="3">
                  <c:v>0</c:v>
                </c:pt>
                <c:pt idx="4">
                  <c:v>0</c:v>
                </c:pt>
              </c:numCache>
            </c:numRef>
          </c:val>
          <c:extLst>
            <c:ext xmlns:c16="http://schemas.microsoft.com/office/drawing/2014/chart" uri="{C3380CC4-5D6E-409C-BE32-E72D297353CC}">
              <c16:uniqueId val="{00000004-3426-48B6-9932-1F435AF6FF4E}"/>
            </c:ext>
          </c:extLst>
        </c:ser>
        <c:dLbls>
          <c:showLegendKey val="0"/>
          <c:showVal val="0"/>
          <c:showCatName val="0"/>
          <c:showSerName val="0"/>
          <c:showPercent val="0"/>
          <c:showBubbleSize val="0"/>
        </c:dLbls>
        <c:gapWidth val="100"/>
        <c:overlap val="-24"/>
        <c:axId val="1012102048"/>
        <c:axId val="1012080832"/>
      </c:barChart>
      <c:catAx>
        <c:axId val="1012102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12080832"/>
        <c:crosses val="autoZero"/>
        <c:auto val="1"/>
        <c:lblAlgn val="ctr"/>
        <c:lblOffset val="100"/>
        <c:noMultiLvlLbl val="0"/>
      </c:catAx>
      <c:valAx>
        <c:axId val="10120808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1210204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600" b="1" i="0" u="none" strike="noStrike" baseline="0">
                <a:effectLst/>
              </a:rPr>
              <a:t>Liquidity Ratio Comparison </a:t>
            </a:r>
            <a:r>
              <a:rPr lang="en-US"/>
              <a:t>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'Liquidity Ratios'!$J$6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'Liquidity Ratios'!$I$7:$I$9</c:f>
              <c:strCache>
                <c:ptCount val="3"/>
                <c:pt idx="0">
                  <c:v>Current Ratio</c:v>
                </c:pt>
                <c:pt idx="1">
                  <c:v>Quick Ratio</c:v>
                </c:pt>
                <c:pt idx="2">
                  <c:v>Cash Ratio</c:v>
                </c:pt>
              </c:strCache>
            </c:strRef>
          </c:cat>
          <c:val>
            <c:numRef>
              <c:f>'Liquidity Ratios'!$J$7:$J$9</c:f>
              <c:numCache>
                <c:formatCode>General</c:formatCode>
                <c:ptCount val="3"/>
                <c:pt idx="0">
                  <c:v>1.82</c:v>
                </c:pt>
                <c:pt idx="1">
                  <c:v>1.1499999999999999</c:v>
                </c:pt>
                <c:pt idx="2">
                  <c:v>0.32</c:v>
                </c:pt>
              </c:numCache>
            </c:numRef>
          </c:val>
          <c:extLst>
            <c:ext xmlns:c16="http://schemas.microsoft.com/office/drawing/2014/chart" uri="{C3380CC4-5D6E-409C-BE32-E72D297353CC}">
              <c16:uniqueId val="{00000000-0450-4DDD-9363-DA7DB0F5D521}"/>
            </c:ext>
          </c:extLst>
        </c:ser>
        <c:ser>
          <c:idx val="1"/>
          <c:order val="1"/>
          <c:tx>
            <c:strRef>
              <c:f>'Liquidity Ratios'!$K$6</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'Liquidity Ratios'!$I$7:$I$9</c:f>
              <c:strCache>
                <c:ptCount val="3"/>
                <c:pt idx="0">
                  <c:v>Current Ratio</c:v>
                </c:pt>
                <c:pt idx="1">
                  <c:v>Quick Ratio</c:v>
                </c:pt>
                <c:pt idx="2">
                  <c:v>Cash Ratio</c:v>
                </c:pt>
              </c:strCache>
            </c:strRef>
          </c:cat>
          <c:val>
            <c:numRef>
              <c:f>'Liquidity Ratios'!$K$7:$K$9</c:f>
              <c:numCache>
                <c:formatCode>General</c:formatCode>
                <c:ptCount val="3"/>
                <c:pt idx="0">
                  <c:v>1.56</c:v>
                </c:pt>
                <c:pt idx="1">
                  <c:v>0.93</c:v>
                </c:pt>
                <c:pt idx="2">
                  <c:v>0.28000000000000003</c:v>
                </c:pt>
              </c:numCache>
            </c:numRef>
          </c:val>
          <c:extLst>
            <c:ext xmlns:c16="http://schemas.microsoft.com/office/drawing/2014/chart" uri="{C3380CC4-5D6E-409C-BE32-E72D297353CC}">
              <c16:uniqueId val="{00000001-0450-4DDD-9363-DA7DB0F5D521}"/>
            </c:ext>
          </c:extLst>
        </c:ser>
        <c:ser>
          <c:idx val="2"/>
          <c:order val="2"/>
          <c:tx>
            <c:strRef>
              <c:f>'Liquidity Ratios'!$L$6</c:f>
              <c:strCache>
                <c:ptCount val="1"/>
                <c:pt idx="0">
                  <c:v>2022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'Liquidity Ratios'!$I$7:$I$9</c:f>
              <c:strCache>
                <c:ptCount val="3"/>
                <c:pt idx="0">
                  <c:v>Current Ratio</c:v>
                </c:pt>
                <c:pt idx="1">
                  <c:v>Quick Ratio</c:v>
                </c:pt>
                <c:pt idx="2">
                  <c:v>Cash Ratio</c:v>
                </c:pt>
              </c:strCache>
            </c:strRef>
          </c:cat>
          <c:val>
            <c:numRef>
              <c:f>'Liquidity Ratios'!$L$7:$L$9</c:f>
              <c:numCache>
                <c:formatCode>General</c:formatCode>
                <c:ptCount val="3"/>
                <c:pt idx="0">
                  <c:v>1.56</c:v>
                </c:pt>
                <c:pt idx="1">
                  <c:v>0.91</c:v>
                </c:pt>
                <c:pt idx="2">
                  <c:v>0.31</c:v>
                </c:pt>
              </c:numCache>
            </c:numRef>
          </c:val>
          <c:extLst>
            <c:ext xmlns:c16="http://schemas.microsoft.com/office/drawing/2014/chart" uri="{C3380CC4-5D6E-409C-BE32-E72D297353CC}">
              <c16:uniqueId val="{00000002-0450-4DDD-9363-DA7DB0F5D521}"/>
            </c:ext>
          </c:extLst>
        </c:ser>
        <c:ser>
          <c:idx val="3"/>
          <c:order val="3"/>
          <c:tx>
            <c:strRef>
              <c:f>'Liquidity Ratios'!$M$6</c:f>
              <c:strCache>
                <c:ptCount val="1"/>
                <c:pt idx="0">
                  <c:v>2023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'Liquidity Ratios'!$I$7:$I$9</c:f>
              <c:strCache>
                <c:ptCount val="3"/>
                <c:pt idx="0">
                  <c:v>Current Ratio</c:v>
                </c:pt>
                <c:pt idx="1">
                  <c:v>Quick Ratio</c:v>
                </c:pt>
                <c:pt idx="2">
                  <c:v>Cash Ratio</c:v>
                </c:pt>
              </c:strCache>
            </c:strRef>
          </c:cat>
          <c:val>
            <c:numRef>
              <c:f>'Liquidity Ratios'!$M$7:$M$9</c:f>
              <c:numCache>
                <c:formatCode>General</c:formatCode>
                <c:ptCount val="3"/>
                <c:pt idx="0">
                  <c:v>1.61</c:v>
                </c:pt>
                <c:pt idx="1">
                  <c:v>1.06</c:v>
                </c:pt>
                <c:pt idx="2">
                  <c:v>0.27</c:v>
                </c:pt>
              </c:numCache>
            </c:numRef>
          </c:val>
          <c:extLst>
            <c:ext xmlns:c16="http://schemas.microsoft.com/office/drawing/2014/chart" uri="{C3380CC4-5D6E-409C-BE32-E72D297353CC}">
              <c16:uniqueId val="{00000003-0450-4DDD-9363-DA7DB0F5D521}"/>
            </c:ext>
          </c:extLst>
        </c:ser>
        <c:ser>
          <c:idx val="4"/>
          <c:order val="4"/>
          <c:tx>
            <c:strRef>
              <c:f>'Liquidity Ratios'!$N$6</c:f>
              <c:strCache>
                <c:ptCount val="1"/>
                <c:pt idx="0">
                  <c:v>2024</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'Liquidity Ratios'!$I$7:$I$9</c:f>
              <c:strCache>
                <c:ptCount val="3"/>
                <c:pt idx="0">
                  <c:v>Current Ratio</c:v>
                </c:pt>
                <c:pt idx="1">
                  <c:v>Quick Ratio</c:v>
                </c:pt>
                <c:pt idx="2">
                  <c:v>Cash Ratio</c:v>
                </c:pt>
              </c:strCache>
            </c:strRef>
          </c:cat>
          <c:val>
            <c:numRef>
              <c:f>'Liquidity Ratios'!$N$7:$N$9</c:f>
              <c:numCache>
                <c:formatCode>General</c:formatCode>
                <c:ptCount val="3"/>
                <c:pt idx="0">
                  <c:v>1.53</c:v>
                </c:pt>
                <c:pt idx="1">
                  <c:v>1.03</c:v>
                </c:pt>
                <c:pt idx="2">
                  <c:v>0.17</c:v>
                </c:pt>
              </c:numCache>
            </c:numRef>
          </c:val>
          <c:extLst>
            <c:ext xmlns:c16="http://schemas.microsoft.com/office/drawing/2014/chart" uri="{C3380CC4-5D6E-409C-BE32-E72D297353CC}">
              <c16:uniqueId val="{00000004-0450-4DDD-9363-DA7DB0F5D521}"/>
            </c:ext>
          </c:extLst>
        </c:ser>
        <c:dLbls>
          <c:dLblPos val="inEnd"/>
          <c:showLegendKey val="0"/>
          <c:showVal val="1"/>
          <c:showCatName val="0"/>
          <c:showSerName val="0"/>
          <c:showPercent val="0"/>
          <c:showBubbleSize val="0"/>
        </c:dLbls>
        <c:gapWidth val="100"/>
        <c:overlap val="-24"/>
        <c:axId val="1074711088"/>
        <c:axId val="1074709008"/>
      </c:barChart>
      <c:catAx>
        <c:axId val="107471108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74709008"/>
        <c:crosses val="autoZero"/>
        <c:auto val="1"/>
        <c:lblAlgn val="ctr"/>
        <c:lblOffset val="100"/>
        <c:noMultiLvlLbl val="0"/>
      </c:catAx>
      <c:valAx>
        <c:axId val="107470900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74711088"/>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Efficiency Ratio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'Efficiency Ratios'!$J$6</c:f>
              <c:strCache>
                <c:ptCount val="1"/>
                <c:pt idx="0">
                  <c:v>2020</c:v>
                </c:pt>
              </c:strCache>
            </c:strRef>
          </c:tx>
          <c:spPr>
            <a:solidFill>
              <a:schemeClr val="accent1"/>
            </a:solidFill>
            <a:ln>
              <a:noFill/>
            </a:ln>
            <a:effectLst/>
          </c:spPr>
          <c:invertIfNegative val="0"/>
          <c:cat>
            <c:strRef>
              <c:f>'Efficiency Ratios'!$I$7:$I$10</c:f>
              <c:strCache>
                <c:ptCount val="4"/>
                <c:pt idx="0">
                  <c:v>Asset Turnover</c:v>
                </c:pt>
                <c:pt idx="1">
                  <c:v>Fixed Asset Turnover</c:v>
                </c:pt>
                <c:pt idx="2">
                  <c:v>Receivables Days</c:v>
                </c:pt>
                <c:pt idx="3">
                  <c:v>Inventory Days</c:v>
                </c:pt>
              </c:strCache>
            </c:strRef>
          </c:cat>
          <c:val>
            <c:numRef>
              <c:f>'Efficiency Ratios'!$J$7:$J$10</c:f>
              <c:numCache>
                <c:formatCode>General</c:formatCode>
                <c:ptCount val="4"/>
                <c:pt idx="0">
                  <c:v>1.2</c:v>
                </c:pt>
                <c:pt idx="1">
                  <c:v>7.04</c:v>
                </c:pt>
                <c:pt idx="2">
                  <c:v>76.86</c:v>
                </c:pt>
                <c:pt idx="3">
                  <c:v>100.26</c:v>
                </c:pt>
              </c:numCache>
            </c:numRef>
          </c:val>
          <c:extLst>
            <c:ext xmlns:c16="http://schemas.microsoft.com/office/drawing/2014/chart" uri="{C3380CC4-5D6E-409C-BE32-E72D297353CC}">
              <c16:uniqueId val="{00000000-9C95-4DF5-9FD2-EF35C004F6CA}"/>
            </c:ext>
          </c:extLst>
        </c:ser>
        <c:ser>
          <c:idx val="1"/>
          <c:order val="1"/>
          <c:tx>
            <c:strRef>
              <c:f>'Efficiency Ratios'!$K$6</c:f>
              <c:strCache>
                <c:ptCount val="1"/>
                <c:pt idx="0">
                  <c:v>2021</c:v>
                </c:pt>
              </c:strCache>
            </c:strRef>
          </c:tx>
          <c:spPr>
            <a:solidFill>
              <a:schemeClr val="accent2"/>
            </a:solidFill>
            <a:ln>
              <a:noFill/>
            </a:ln>
            <a:effectLst/>
          </c:spPr>
          <c:invertIfNegative val="0"/>
          <c:cat>
            <c:strRef>
              <c:f>'Efficiency Ratios'!$I$7:$I$10</c:f>
              <c:strCache>
                <c:ptCount val="4"/>
                <c:pt idx="0">
                  <c:v>Asset Turnover</c:v>
                </c:pt>
                <c:pt idx="1">
                  <c:v>Fixed Asset Turnover</c:v>
                </c:pt>
                <c:pt idx="2">
                  <c:v>Receivables Days</c:v>
                </c:pt>
                <c:pt idx="3">
                  <c:v>Inventory Days</c:v>
                </c:pt>
              </c:strCache>
            </c:strRef>
          </c:cat>
          <c:val>
            <c:numRef>
              <c:f>'Efficiency Ratios'!$K$7:$K$10</c:f>
              <c:numCache>
                <c:formatCode>General</c:formatCode>
                <c:ptCount val="4"/>
                <c:pt idx="0">
                  <c:v>1.18</c:v>
                </c:pt>
                <c:pt idx="1">
                  <c:v>8.06</c:v>
                </c:pt>
                <c:pt idx="2">
                  <c:v>78.400000000000006</c:v>
                </c:pt>
                <c:pt idx="3">
                  <c:v>114.52</c:v>
                </c:pt>
              </c:numCache>
            </c:numRef>
          </c:val>
          <c:extLst>
            <c:ext xmlns:c16="http://schemas.microsoft.com/office/drawing/2014/chart" uri="{C3380CC4-5D6E-409C-BE32-E72D297353CC}">
              <c16:uniqueId val="{00000001-9C95-4DF5-9FD2-EF35C004F6CA}"/>
            </c:ext>
          </c:extLst>
        </c:ser>
        <c:ser>
          <c:idx val="2"/>
          <c:order val="2"/>
          <c:tx>
            <c:strRef>
              <c:f>'Efficiency Ratios'!$L$6</c:f>
              <c:strCache>
                <c:ptCount val="1"/>
                <c:pt idx="0">
                  <c:v>2022</c:v>
                </c:pt>
              </c:strCache>
            </c:strRef>
          </c:tx>
          <c:spPr>
            <a:solidFill>
              <a:schemeClr val="accent3"/>
            </a:solidFill>
            <a:ln>
              <a:noFill/>
            </a:ln>
            <a:effectLst/>
          </c:spPr>
          <c:invertIfNegative val="0"/>
          <c:cat>
            <c:strRef>
              <c:f>'Efficiency Ratios'!$I$7:$I$10</c:f>
              <c:strCache>
                <c:ptCount val="4"/>
                <c:pt idx="0">
                  <c:v>Asset Turnover</c:v>
                </c:pt>
                <c:pt idx="1">
                  <c:v>Fixed Asset Turnover</c:v>
                </c:pt>
                <c:pt idx="2">
                  <c:v>Receivables Days</c:v>
                </c:pt>
                <c:pt idx="3">
                  <c:v>Inventory Days</c:v>
                </c:pt>
              </c:strCache>
            </c:strRef>
          </c:cat>
          <c:val>
            <c:numRef>
              <c:f>'Efficiency Ratios'!$L$7:$L$10</c:f>
              <c:numCache>
                <c:formatCode>General</c:formatCode>
                <c:ptCount val="4"/>
                <c:pt idx="0">
                  <c:v>1.08</c:v>
                </c:pt>
                <c:pt idx="1">
                  <c:v>8.64</c:v>
                </c:pt>
                <c:pt idx="2">
                  <c:v>75.55</c:v>
                </c:pt>
                <c:pt idx="3">
                  <c:v>131.04</c:v>
                </c:pt>
              </c:numCache>
            </c:numRef>
          </c:val>
          <c:extLst>
            <c:ext xmlns:c16="http://schemas.microsoft.com/office/drawing/2014/chart" uri="{C3380CC4-5D6E-409C-BE32-E72D297353CC}">
              <c16:uniqueId val="{00000002-9C95-4DF5-9FD2-EF35C004F6CA}"/>
            </c:ext>
          </c:extLst>
        </c:ser>
        <c:ser>
          <c:idx val="3"/>
          <c:order val="3"/>
          <c:tx>
            <c:strRef>
              <c:f>'Efficiency Ratios'!$M$6</c:f>
              <c:strCache>
                <c:ptCount val="1"/>
                <c:pt idx="0">
                  <c:v>2023</c:v>
                </c:pt>
              </c:strCache>
            </c:strRef>
          </c:tx>
          <c:spPr>
            <a:solidFill>
              <a:schemeClr val="accent4"/>
            </a:solidFill>
            <a:ln>
              <a:noFill/>
            </a:ln>
            <a:effectLst/>
          </c:spPr>
          <c:invertIfNegative val="0"/>
          <c:cat>
            <c:strRef>
              <c:f>'Efficiency Ratios'!$I$7:$I$10</c:f>
              <c:strCache>
                <c:ptCount val="4"/>
                <c:pt idx="0">
                  <c:v>Asset Turnover</c:v>
                </c:pt>
                <c:pt idx="1">
                  <c:v>Fixed Asset Turnover</c:v>
                </c:pt>
                <c:pt idx="2">
                  <c:v>Receivables Days</c:v>
                </c:pt>
                <c:pt idx="3">
                  <c:v>Inventory Days</c:v>
                </c:pt>
              </c:strCache>
            </c:strRef>
          </c:cat>
          <c:val>
            <c:numRef>
              <c:f>'Efficiency Ratios'!$M$7:$M$10</c:f>
              <c:numCache>
                <c:formatCode>General</c:formatCode>
                <c:ptCount val="4"/>
                <c:pt idx="0">
                  <c:v>1.18</c:v>
                </c:pt>
                <c:pt idx="1">
                  <c:v>9.42</c:v>
                </c:pt>
                <c:pt idx="2">
                  <c:v>97.74</c:v>
                </c:pt>
                <c:pt idx="3">
                  <c:v>99.78</c:v>
                </c:pt>
              </c:numCache>
            </c:numRef>
          </c:val>
          <c:extLst>
            <c:ext xmlns:c16="http://schemas.microsoft.com/office/drawing/2014/chart" uri="{C3380CC4-5D6E-409C-BE32-E72D297353CC}">
              <c16:uniqueId val="{00000003-9C95-4DF5-9FD2-EF35C004F6CA}"/>
            </c:ext>
          </c:extLst>
        </c:ser>
        <c:ser>
          <c:idx val="4"/>
          <c:order val="4"/>
          <c:tx>
            <c:strRef>
              <c:f>'Efficiency Ratios'!$N$6</c:f>
              <c:strCache>
                <c:ptCount val="1"/>
                <c:pt idx="0">
                  <c:v>2024</c:v>
                </c:pt>
              </c:strCache>
            </c:strRef>
          </c:tx>
          <c:spPr>
            <a:solidFill>
              <a:schemeClr val="accent5"/>
            </a:solidFill>
            <a:ln>
              <a:noFill/>
            </a:ln>
            <a:effectLst/>
          </c:spPr>
          <c:invertIfNegative val="0"/>
          <c:cat>
            <c:strRef>
              <c:f>'Efficiency Ratios'!$I$7:$I$10</c:f>
              <c:strCache>
                <c:ptCount val="4"/>
                <c:pt idx="0">
                  <c:v>Asset Turnover</c:v>
                </c:pt>
                <c:pt idx="1">
                  <c:v>Fixed Asset Turnover</c:v>
                </c:pt>
                <c:pt idx="2">
                  <c:v>Receivables Days</c:v>
                </c:pt>
                <c:pt idx="3">
                  <c:v>Inventory Days</c:v>
                </c:pt>
              </c:strCache>
            </c:strRef>
          </c:cat>
          <c:val>
            <c:numRef>
              <c:f>'Efficiency Ratios'!$N$7:$N$10</c:f>
              <c:numCache>
                <c:formatCode>General</c:formatCode>
                <c:ptCount val="4"/>
                <c:pt idx="0">
                  <c:v>1.22</c:v>
                </c:pt>
                <c:pt idx="1">
                  <c:v>11.54</c:v>
                </c:pt>
                <c:pt idx="2">
                  <c:v>105.54</c:v>
                </c:pt>
                <c:pt idx="3">
                  <c:v>103.12</c:v>
                </c:pt>
              </c:numCache>
            </c:numRef>
          </c:val>
          <c:extLst>
            <c:ext xmlns:c16="http://schemas.microsoft.com/office/drawing/2014/chart" uri="{C3380CC4-5D6E-409C-BE32-E72D297353CC}">
              <c16:uniqueId val="{00000004-9C95-4DF5-9FD2-EF35C004F6CA}"/>
            </c:ext>
          </c:extLst>
        </c:ser>
        <c:dLbls>
          <c:showLegendKey val="0"/>
          <c:showVal val="0"/>
          <c:showCatName val="0"/>
          <c:showSerName val="0"/>
          <c:showPercent val="0"/>
          <c:showBubbleSize val="0"/>
        </c:dLbls>
        <c:gapWidth val="219"/>
        <c:overlap val="-27"/>
        <c:axId val="1073699200"/>
        <c:axId val="1073697952"/>
      </c:barChart>
      <c:catAx>
        <c:axId val="1073699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697952"/>
        <c:crosses val="autoZero"/>
        <c:auto val="1"/>
        <c:lblAlgn val="ctr"/>
        <c:lblOffset val="100"/>
        <c:noMultiLvlLbl val="0"/>
      </c:catAx>
      <c:valAx>
        <c:axId val="1073697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69920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Gearing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'Gearing Ratios'!$L$6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'Gearing Ratios'!$K$7:$K$10</c:f>
              <c:strCache>
                <c:ptCount val="4"/>
                <c:pt idx="0">
                  <c:v>Interest Coverage Ratio</c:v>
                </c:pt>
                <c:pt idx="1">
                  <c:v>Debt to Equity Ratio</c:v>
                </c:pt>
                <c:pt idx="2">
                  <c:v>Debt to Capital Ratio</c:v>
                </c:pt>
                <c:pt idx="3">
                  <c:v>Equity Multiplier</c:v>
                </c:pt>
              </c:strCache>
            </c:strRef>
          </c:cat>
          <c:val>
            <c:numRef>
              <c:f>'Gearing Ratios'!$L$7:$L$10</c:f>
              <c:numCache>
                <c:formatCode>General</c:formatCode>
                <c:ptCount val="4"/>
                <c:pt idx="0">
                  <c:v>26.21</c:v>
                </c:pt>
                <c:pt idx="1">
                  <c:v>0.63</c:v>
                </c:pt>
                <c:pt idx="2">
                  <c:v>0.39</c:v>
                </c:pt>
                <c:pt idx="3">
                  <c:v>1.63</c:v>
                </c:pt>
              </c:numCache>
            </c:numRef>
          </c:val>
          <c:extLst>
            <c:ext xmlns:c16="http://schemas.microsoft.com/office/drawing/2014/chart" uri="{C3380CC4-5D6E-409C-BE32-E72D297353CC}">
              <c16:uniqueId val="{00000000-8AC3-4158-8751-00189A99DA30}"/>
            </c:ext>
          </c:extLst>
        </c:ser>
        <c:ser>
          <c:idx val="1"/>
          <c:order val="1"/>
          <c:tx>
            <c:strRef>
              <c:f>'Gearing Ratios'!$M$6</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'Gearing Ratios'!$K$7:$K$10</c:f>
              <c:strCache>
                <c:ptCount val="4"/>
                <c:pt idx="0">
                  <c:v>Interest Coverage Ratio</c:v>
                </c:pt>
                <c:pt idx="1">
                  <c:v>Debt to Equity Ratio</c:v>
                </c:pt>
                <c:pt idx="2">
                  <c:v>Debt to Capital Ratio</c:v>
                </c:pt>
                <c:pt idx="3">
                  <c:v>Equity Multiplier</c:v>
                </c:pt>
              </c:strCache>
            </c:strRef>
          </c:cat>
          <c:val>
            <c:numRef>
              <c:f>'Gearing Ratios'!$M$7:$M$10</c:f>
              <c:numCache>
                <c:formatCode>General</c:formatCode>
                <c:ptCount val="4"/>
                <c:pt idx="0">
                  <c:v>41.08</c:v>
                </c:pt>
                <c:pt idx="1">
                  <c:v>0.85</c:v>
                </c:pt>
                <c:pt idx="2">
                  <c:v>0.46</c:v>
                </c:pt>
                <c:pt idx="3">
                  <c:v>1.85</c:v>
                </c:pt>
              </c:numCache>
            </c:numRef>
          </c:val>
          <c:extLst>
            <c:ext xmlns:c16="http://schemas.microsoft.com/office/drawing/2014/chart" uri="{C3380CC4-5D6E-409C-BE32-E72D297353CC}">
              <c16:uniqueId val="{00000001-8AC3-4158-8751-00189A99DA30}"/>
            </c:ext>
          </c:extLst>
        </c:ser>
        <c:ser>
          <c:idx val="2"/>
          <c:order val="2"/>
          <c:tx>
            <c:strRef>
              <c:f>'Gearing Ratios'!$N$6</c:f>
              <c:strCache>
                <c:ptCount val="1"/>
                <c:pt idx="0">
                  <c:v>2022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'Gearing Ratios'!$K$7:$K$10</c:f>
              <c:strCache>
                <c:ptCount val="4"/>
                <c:pt idx="0">
                  <c:v>Interest Coverage Ratio</c:v>
                </c:pt>
                <c:pt idx="1">
                  <c:v>Debt to Equity Ratio</c:v>
                </c:pt>
                <c:pt idx="2">
                  <c:v>Debt to Capital Ratio</c:v>
                </c:pt>
                <c:pt idx="3">
                  <c:v>Equity Multiplier</c:v>
                </c:pt>
              </c:strCache>
            </c:strRef>
          </c:cat>
          <c:val>
            <c:numRef>
              <c:f>'Gearing Ratios'!$N$7:$N$10</c:f>
              <c:numCache>
                <c:formatCode>General</c:formatCode>
                <c:ptCount val="4"/>
                <c:pt idx="0">
                  <c:v>6.61</c:v>
                </c:pt>
                <c:pt idx="1">
                  <c:v>0.88</c:v>
                </c:pt>
                <c:pt idx="2">
                  <c:v>0.47</c:v>
                </c:pt>
                <c:pt idx="3">
                  <c:v>1.88</c:v>
                </c:pt>
              </c:numCache>
            </c:numRef>
          </c:val>
          <c:extLst>
            <c:ext xmlns:c16="http://schemas.microsoft.com/office/drawing/2014/chart" uri="{C3380CC4-5D6E-409C-BE32-E72D297353CC}">
              <c16:uniqueId val="{00000002-8AC3-4158-8751-00189A99DA30}"/>
            </c:ext>
          </c:extLst>
        </c:ser>
        <c:ser>
          <c:idx val="3"/>
          <c:order val="3"/>
          <c:tx>
            <c:strRef>
              <c:f>'Gearing Ratios'!$O$6</c:f>
              <c:strCache>
                <c:ptCount val="1"/>
                <c:pt idx="0">
                  <c:v>2023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'Gearing Ratios'!$K$7:$K$10</c:f>
              <c:strCache>
                <c:ptCount val="4"/>
                <c:pt idx="0">
                  <c:v>Interest Coverage Ratio</c:v>
                </c:pt>
                <c:pt idx="1">
                  <c:v>Debt to Equity Ratio</c:v>
                </c:pt>
                <c:pt idx="2">
                  <c:v>Debt to Capital Ratio</c:v>
                </c:pt>
                <c:pt idx="3">
                  <c:v>Equity Multiplier</c:v>
                </c:pt>
              </c:strCache>
            </c:strRef>
          </c:cat>
          <c:val>
            <c:numRef>
              <c:f>'Gearing Ratios'!$O$7:$O$10</c:f>
              <c:numCache>
                <c:formatCode>General</c:formatCode>
                <c:ptCount val="4"/>
                <c:pt idx="0">
                  <c:v>0</c:v>
                </c:pt>
                <c:pt idx="1">
                  <c:v>0.99</c:v>
                </c:pt>
                <c:pt idx="2">
                  <c:v>0.5</c:v>
                </c:pt>
                <c:pt idx="3">
                  <c:v>1.99</c:v>
                </c:pt>
              </c:numCache>
            </c:numRef>
          </c:val>
          <c:extLst>
            <c:ext xmlns:c16="http://schemas.microsoft.com/office/drawing/2014/chart" uri="{C3380CC4-5D6E-409C-BE32-E72D297353CC}">
              <c16:uniqueId val="{00000003-8AC3-4158-8751-00189A99DA30}"/>
            </c:ext>
          </c:extLst>
        </c:ser>
        <c:ser>
          <c:idx val="4"/>
          <c:order val="4"/>
          <c:tx>
            <c:strRef>
              <c:f>'Gearing Ratios'!$P$6</c:f>
              <c:strCache>
                <c:ptCount val="1"/>
                <c:pt idx="0">
                  <c:v>2024</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'Gearing Ratios'!$K$7:$K$10</c:f>
              <c:strCache>
                <c:ptCount val="4"/>
                <c:pt idx="0">
                  <c:v>Interest Coverage Ratio</c:v>
                </c:pt>
                <c:pt idx="1">
                  <c:v>Debt to Equity Ratio</c:v>
                </c:pt>
                <c:pt idx="2">
                  <c:v>Debt to Capital Ratio</c:v>
                </c:pt>
                <c:pt idx="3">
                  <c:v>Equity Multiplier</c:v>
                </c:pt>
              </c:strCache>
            </c:strRef>
          </c:cat>
          <c:val>
            <c:numRef>
              <c:f>'Gearing Ratios'!$P$7:$P$10</c:f>
              <c:numCache>
                <c:formatCode>General</c:formatCode>
                <c:ptCount val="4"/>
                <c:pt idx="0">
                  <c:v>0</c:v>
                </c:pt>
                <c:pt idx="1">
                  <c:v>1.1100000000000001</c:v>
                </c:pt>
                <c:pt idx="2">
                  <c:v>0.53</c:v>
                </c:pt>
                <c:pt idx="3">
                  <c:v>2.11</c:v>
                </c:pt>
              </c:numCache>
            </c:numRef>
          </c:val>
          <c:extLst>
            <c:ext xmlns:c16="http://schemas.microsoft.com/office/drawing/2014/chart" uri="{C3380CC4-5D6E-409C-BE32-E72D297353CC}">
              <c16:uniqueId val="{00000004-8AC3-4158-8751-00189A99DA30}"/>
            </c:ext>
          </c:extLst>
        </c:ser>
        <c:dLbls>
          <c:showLegendKey val="0"/>
          <c:showVal val="0"/>
          <c:showCatName val="0"/>
          <c:showSerName val="0"/>
          <c:showPercent val="0"/>
          <c:showBubbleSize val="0"/>
        </c:dLbls>
        <c:gapWidth val="100"/>
        <c:axId val="1085718544"/>
        <c:axId val="1085720208"/>
      </c:barChart>
      <c:catAx>
        <c:axId val="1085718544"/>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85720208"/>
        <c:crosses val="autoZero"/>
        <c:auto val="1"/>
        <c:lblAlgn val="ctr"/>
        <c:lblOffset val="100"/>
        <c:noMultiLvlLbl val="0"/>
      </c:catAx>
      <c:valAx>
        <c:axId val="1085720208"/>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85718544"/>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Investment Ratios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'Investment Ratio '!$M$6</c:f>
              <c:strCache>
                <c:ptCount val="1"/>
                <c:pt idx="0">
                  <c:v>2020</c:v>
                </c:pt>
              </c:strCache>
            </c:strRef>
          </c:tx>
          <c:spPr>
            <a:ln w="28575" cap="rnd">
              <a:solidFill>
                <a:schemeClr val="accent1"/>
              </a:solidFill>
              <a:round/>
            </a:ln>
            <a:effectLst/>
          </c:spPr>
          <c:marker>
            <c:symbol val="none"/>
          </c:marker>
          <c:cat>
            <c:strRef>
              <c:f>'Investment Ratio '!$L$7:$L$9</c:f>
              <c:strCache>
                <c:ptCount val="3"/>
                <c:pt idx="0">
                  <c:v>Earnings per Share (EPS) (£)</c:v>
                </c:pt>
                <c:pt idx="1">
                  <c:v>Price–Earnings Ratio</c:v>
                </c:pt>
                <c:pt idx="2">
                  <c:v>Return on Equity (ROE)</c:v>
                </c:pt>
              </c:strCache>
            </c:strRef>
          </c:cat>
          <c:val>
            <c:numRef>
              <c:f>'Investment Ratio '!$M$7:$M$9</c:f>
              <c:numCache>
                <c:formatCode>General</c:formatCode>
                <c:ptCount val="3"/>
                <c:pt idx="0">
                  <c:v>2.78</c:v>
                </c:pt>
                <c:pt idx="1">
                  <c:v>43.17</c:v>
                </c:pt>
                <c:pt idx="2" formatCode="0.00%">
                  <c:v>0.11890000000000001</c:v>
                </c:pt>
              </c:numCache>
            </c:numRef>
          </c:val>
          <c:smooth val="0"/>
          <c:extLst>
            <c:ext xmlns:c16="http://schemas.microsoft.com/office/drawing/2014/chart" uri="{C3380CC4-5D6E-409C-BE32-E72D297353CC}">
              <c16:uniqueId val="{00000000-6C46-436F-BCB5-51AB8D3655F6}"/>
            </c:ext>
          </c:extLst>
        </c:ser>
        <c:ser>
          <c:idx val="1"/>
          <c:order val="1"/>
          <c:tx>
            <c:strRef>
              <c:f>'Investment Ratio '!$N$6</c:f>
              <c:strCache>
                <c:ptCount val="1"/>
                <c:pt idx="0">
                  <c:v>2021</c:v>
                </c:pt>
              </c:strCache>
            </c:strRef>
          </c:tx>
          <c:spPr>
            <a:ln w="28575" cap="rnd">
              <a:solidFill>
                <a:schemeClr val="accent2"/>
              </a:solidFill>
              <a:round/>
            </a:ln>
            <a:effectLst/>
          </c:spPr>
          <c:marker>
            <c:symbol val="none"/>
          </c:marker>
          <c:cat>
            <c:strRef>
              <c:f>'Investment Ratio '!$L$7:$L$9</c:f>
              <c:strCache>
                <c:ptCount val="3"/>
                <c:pt idx="0">
                  <c:v>Earnings per Share (EPS) (£)</c:v>
                </c:pt>
                <c:pt idx="1">
                  <c:v>Price–Earnings Ratio</c:v>
                </c:pt>
                <c:pt idx="2">
                  <c:v>Return on Equity (ROE)</c:v>
                </c:pt>
              </c:strCache>
            </c:strRef>
          </c:cat>
          <c:val>
            <c:numRef>
              <c:f>'Investment Ratio '!$N$7:$N$9</c:f>
              <c:numCache>
                <c:formatCode>General</c:formatCode>
                <c:ptCount val="3"/>
                <c:pt idx="0">
                  <c:v>0.39</c:v>
                </c:pt>
                <c:pt idx="1">
                  <c:v>304.81</c:v>
                </c:pt>
                <c:pt idx="2" formatCode="0.00%">
                  <c:v>8.43E-2</c:v>
                </c:pt>
              </c:numCache>
            </c:numRef>
          </c:val>
          <c:smooth val="0"/>
          <c:extLst>
            <c:ext xmlns:c16="http://schemas.microsoft.com/office/drawing/2014/chart" uri="{C3380CC4-5D6E-409C-BE32-E72D297353CC}">
              <c16:uniqueId val="{00000001-6C46-436F-BCB5-51AB8D3655F6}"/>
            </c:ext>
          </c:extLst>
        </c:ser>
        <c:ser>
          <c:idx val="2"/>
          <c:order val="2"/>
          <c:tx>
            <c:strRef>
              <c:f>'Investment Ratio '!$O$6</c:f>
              <c:strCache>
                <c:ptCount val="1"/>
                <c:pt idx="0">
                  <c:v>2022</c:v>
                </c:pt>
              </c:strCache>
            </c:strRef>
          </c:tx>
          <c:spPr>
            <a:ln w="28575" cap="rnd">
              <a:solidFill>
                <a:schemeClr val="accent3"/>
              </a:solidFill>
              <a:round/>
            </a:ln>
            <a:effectLst/>
          </c:spPr>
          <c:marker>
            <c:symbol val="none"/>
          </c:marker>
          <c:cat>
            <c:strRef>
              <c:f>'Investment Ratio '!$L$7:$L$9</c:f>
              <c:strCache>
                <c:ptCount val="3"/>
                <c:pt idx="0">
                  <c:v>Earnings per Share (EPS) (£)</c:v>
                </c:pt>
                <c:pt idx="1">
                  <c:v>Price–Earnings Ratio</c:v>
                </c:pt>
                <c:pt idx="2">
                  <c:v>Return on Equity (ROE)</c:v>
                </c:pt>
              </c:strCache>
            </c:strRef>
          </c:cat>
          <c:val>
            <c:numRef>
              <c:f>'Investment Ratio '!$O$7:$O$9</c:f>
              <c:numCache>
                <c:formatCode>#,##0.00</c:formatCode>
                <c:ptCount val="3"/>
                <c:pt idx="0" formatCode="General">
                  <c:v>0.03</c:v>
                </c:pt>
                <c:pt idx="1">
                  <c:v>3745.36</c:v>
                </c:pt>
                <c:pt idx="2" formatCode="0.00%">
                  <c:v>5.4199999999999998E-2</c:v>
                </c:pt>
              </c:numCache>
            </c:numRef>
          </c:val>
          <c:smooth val="0"/>
          <c:extLst>
            <c:ext xmlns:c16="http://schemas.microsoft.com/office/drawing/2014/chart" uri="{C3380CC4-5D6E-409C-BE32-E72D297353CC}">
              <c16:uniqueId val="{00000002-6C46-436F-BCB5-51AB8D3655F6}"/>
            </c:ext>
          </c:extLst>
        </c:ser>
        <c:ser>
          <c:idx val="3"/>
          <c:order val="3"/>
          <c:tx>
            <c:strRef>
              <c:f>'Investment Ratio '!$P$6</c:f>
              <c:strCache>
                <c:ptCount val="1"/>
                <c:pt idx="0">
                  <c:v>2023</c:v>
                </c:pt>
              </c:strCache>
            </c:strRef>
          </c:tx>
          <c:spPr>
            <a:ln w="28575" cap="rnd">
              <a:solidFill>
                <a:schemeClr val="accent4"/>
              </a:solidFill>
              <a:round/>
            </a:ln>
            <a:effectLst/>
          </c:spPr>
          <c:marker>
            <c:symbol val="none"/>
          </c:marker>
          <c:cat>
            <c:strRef>
              <c:f>'Investment Ratio '!$L$7:$L$9</c:f>
              <c:strCache>
                <c:ptCount val="3"/>
                <c:pt idx="0">
                  <c:v>Earnings per Share (EPS) (£)</c:v>
                </c:pt>
                <c:pt idx="1">
                  <c:v>Price–Earnings Ratio</c:v>
                </c:pt>
                <c:pt idx="2">
                  <c:v>Return on Equity (ROE)</c:v>
                </c:pt>
              </c:strCache>
            </c:strRef>
          </c:cat>
          <c:val>
            <c:numRef>
              <c:f>'Investment Ratio '!$P$7:$P$9</c:f>
              <c:numCache>
                <c:formatCode>General</c:formatCode>
                <c:ptCount val="3"/>
                <c:pt idx="0">
                  <c:v>0</c:v>
                </c:pt>
                <c:pt idx="1">
                  <c:v>0</c:v>
                </c:pt>
                <c:pt idx="2">
                  <c:v>0</c:v>
                </c:pt>
              </c:numCache>
            </c:numRef>
          </c:val>
          <c:smooth val="0"/>
          <c:extLst>
            <c:ext xmlns:c16="http://schemas.microsoft.com/office/drawing/2014/chart" uri="{C3380CC4-5D6E-409C-BE32-E72D297353CC}">
              <c16:uniqueId val="{00000003-6C46-436F-BCB5-51AB8D3655F6}"/>
            </c:ext>
          </c:extLst>
        </c:ser>
        <c:ser>
          <c:idx val="4"/>
          <c:order val="4"/>
          <c:tx>
            <c:strRef>
              <c:f>'Investment Ratio '!$Q$6</c:f>
              <c:strCache>
                <c:ptCount val="1"/>
                <c:pt idx="0">
                  <c:v>2024</c:v>
                </c:pt>
              </c:strCache>
            </c:strRef>
          </c:tx>
          <c:spPr>
            <a:ln w="28575" cap="rnd">
              <a:solidFill>
                <a:schemeClr val="accent5"/>
              </a:solidFill>
              <a:round/>
            </a:ln>
            <a:effectLst/>
          </c:spPr>
          <c:marker>
            <c:symbol val="none"/>
          </c:marker>
          <c:cat>
            <c:strRef>
              <c:f>'Investment Ratio '!$L$7:$L$9</c:f>
              <c:strCache>
                <c:ptCount val="3"/>
                <c:pt idx="0">
                  <c:v>Earnings per Share (EPS) (£)</c:v>
                </c:pt>
                <c:pt idx="1">
                  <c:v>Price–Earnings Ratio</c:v>
                </c:pt>
                <c:pt idx="2">
                  <c:v>Return on Equity (ROE)</c:v>
                </c:pt>
              </c:strCache>
            </c:strRef>
          </c:cat>
          <c:val>
            <c:numRef>
              <c:f>'Investment Ratio '!$Q$7:$Q$9</c:f>
              <c:numCache>
                <c:formatCode>General</c:formatCode>
                <c:ptCount val="3"/>
                <c:pt idx="0">
                  <c:v>0</c:v>
                </c:pt>
                <c:pt idx="1">
                  <c:v>0</c:v>
                </c:pt>
                <c:pt idx="2">
                  <c:v>0</c:v>
                </c:pt>
              </c:numCache>
            </c:numRef>
          </c:val>
          <c:smooth val="0"/>
          <c:extLst>
            <c:ext xmlns:c16="http://schemas.microsoft.com/office/drawing/2014/chart" uri="{C3380CC4-5D6E-409C-BE32-E72D297353CC}">
              <c16:uniqueId val="{00000004-6C46-436F-BCB5-51AB8D3655F6}"/>
            </c:ext>
          </c:extLst>
        </c:ser>
        <c:dLbls>
          <c:showLegendKey val="0"/>
          <c:showVal val="0"/>
          <c:showCatName val="0"/>
          <c:showSerName val="0"/>
          <c:showPercent val="0"/>
          <c:showBubbleSize val="0"/>
        </c:dLbls>
        <c:smooth val="0"/>
        <c:axId val="1131421536"/>
        <c:axId val="1131422368"/>
      </c:lineChart>
      <c:catAx>
        <c:axId val="1131421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1422368"/>
        <c:crosses val="autoZero"/>
        <c:auto val="1"/>
        <c:lblAlgn val="ctr"/>
        <c:lblOffset val="100"/>
        <c:noMultiLvlLbl val="0"/>
      </c:catAx>
      <c:valAx>
        <c:axId val="113142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14215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Cash Flow Ratios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'Cash Flow Ratios'!$J$7</c:f>
              <c:strCache>
                <c:ptCount val="1"/>
                <c:pt idx="0">
                  <c:v>2020</c:v>
                </c:pt>
              </c:strCache>
            </c:strRef>
          </c:tx>
          <c:spPr>
            <a:solidFill>
              <a:schemeClr val="accent1"/>
            </a:solidFill>
            <a:ln>
              <a:noFill/>
            </a:ln>
            <a:effectLst/>
          </c:spPr>
          <c:invertIfNegative val="0"/>
          <c:cat>
            <c:strRef>
              <c:f>'Cash Flow Ratios'!$I$8:$I$10</c:f>
              <c:strCache>
                <c:ptCount val="3"/>
                <c:pt idx="0">
                  <c:v>Operating Cash Flow Ratio</c:v>
                </c:pt>
                <c:pt idx="1">
                  <c:v>Cash Flow to Debt Ratio</c:v>
                </c:pt>
                <c:pt idx="2">
                  <c:v>Cash Flow Margin</c:v>
                </c:pt>
              </c:strCache>
            </c:strRef>
          </c:cat>
          <c:val>
            <c:numRef>
              <c:f>'Cash Flow Ratios'!$J$8:$J$10</c:f>
              <c:numCache>
                <c:formatCode>General</c:formatCode>
                <c:ptCount val="3"/>
                <c:pt idx="0">
                  <c:v>0.41</c:v>
                </c:pt>
                <c:pt idx="1">
                  <c:v>0.37</c:v>
                </c:pt>
                <c:pt idx="2" formatCode="0.00%">
                  <c:v>0.11940000000000001</c:v>
                </c:pt>
              </c:numCache>
            </c:numRef>
          </c:val>
          <c:extLst>
            <c:ext xmlns:c16="http://schemas.microsoft.com/office/drawing/2014/chart" uri="{C3380CC4-5D6E-409C-BE32-E72D297353CC}">
              <c16:uniqueId val="{00000000-9A83-4300-85A4-9011E3C57F85}"/>
            </c:ext>
          </c:extLst>
        </c:ser>
        <c:ser>
          <c:idx val="1"/>
          <c:order val="1"/>
          <c:tx>
            <c:strRef>
              <c:f>'Cash Flow Ratios'!$K$7</c:f>
              <c:strCache>
                <c:ptCount val="1"/>
                <c:pt idx="0">
                  <c:v>2021</c:v>
                </c:pt>
              </c:strCache>
            </c:strRef>
          </c:tx>
          <c:spPr>
            <a:solidFill>
              <a:schemeClr val="accent2"/>
            </a:solidFill>
            <a:ln>
              <a:noFill/>
            </a:ln>
            <a:effectLst/>
          </c:spPr>
          <c:invertIfNegative val="0"/>
          <c:cat>
            <c:strRef>
              <c:f>'Cash Flow Ratios'!$I$8:$I$10</c:f>
              <c:strCache>
                <c:ptCount val="3"/>
                <c:pt idx="0">
                  <c:v>Operating Cash Flow Ratio</c:v>
                </c:pt>
                <c:pt idx="1">
                  <c:v>Cash Flow to Debt Ratio</c:v>
                </c:pt>
                <c:pt idx="2">
                  <c:v>Cash Flow Margin</c:v>
                </c:pt>
              </c:strCache>
            </c:strRef>
          </c:cat>
          <c:val>
            <c:numRef>
              <c:f>'Cash Flow Ratios'!$K$8:$K$10</c:f>
              <c:numCache>
                <c:formatCode>General</c:formatCode>
                <c:ptCount val="3"/>
                <c:pt idx="0">
                  <c:v>0.19</c:v>
                </c:pt>
                <c:pt idx="1">
                  <c:v>0.17</c:v>
                </c:pt>
                <c:pt idx="2" formatCode="0.00%">
                  <c:v>6.7000000000000004E-2</c:v>
                </c:pt>
              </c:numCache>
            </c:numRef>
          </c:val>
          <c:extLst>
            <c:ext xmlns:c16="http://schemas.microsoft.com/office/drawing/2014/chart" uri="{C3380CC4-5D6E-409C-BE32-E72D297353CC}">
              <c16:uniqueId val="{00000001-9A83-4300-85A4-9011E3C57F85}"/>
            </c:ext>
          </c:extLst>
        </c:ser>
        <c:ser>
          <c:idx val="2"/>
          <c:order val="2"/>
          <c:tx>
            <c:strRef>
              <c:f>'Cash Flow Ratios'!$L$7</c:f>
              <c:strCache>
                <c:ptCount val="1"/>
                <c:pt idx="0">
                  <c:v>2022</c:v>
                </c:pt>
              </c:strCache>
            </c:strRef>
          </c:tx>
          <c:spPr>
            <a:solidFill>
              <a:schemeClr val="accent3"/>
            </a:solidFill>
            <a:ln>
              <a:noFill/>
            </a:ln>
            <a:effectLst/>
          </c:spPr>
          <c:invertIfNegative val="0"/>
          <c:cat>
            <c:strRef>
              <c:f>'Cash Flow Ratios'!$I$8:$I$10</c:f>
              <c:strCache>
                <c:ptCount val="3"/>
                <c:pt idx="0">
                  <c:v>Operating Cash Flow Ratio</c:v>
                </c:pt>
                <c:pt idx="1">
                  <c:v>Cash Flow to Debt Ratio</c:v>
                </c:pt>
                <c:pt idx="2">
                  <c:v>Cash Flow Margin</c:v>
                </c:pt>
              </c:strCache>
            </c:strRef>
          </c:cat>
          <c:val>
            <c:numRef>
              <c:f>'Cash Flow Ratios'!$L$8:$L$10</c:f>
              <c:numCache>
                <c:formatCode>General</c:formatCode>
                <c:ptCount val="3"/>
                <c:pt idx="0">
                  <c:v>0.05</c:v>
                </c:pt>
                <c:pt idx="1">
                  <c:v>0.05</c:v>
                </c:pt>
                <c:pt idx="2" formatCode="0.00%">
                  <c:v>2.01E-2</c:v>
                </c:pt>
              </c:numCache>
            </c:numRef>
          </c:val>
          <c:extLst>
            <c:ext xmlns:c16="http://schemas.microsoft.com/office/drawing/2014/chart" uri="{C3380CC4-5D6E-409C-BE32-E72D297353CC}">
              <c16:uniqueId val="{00000002-9A83-4300-85A4-9011E3C57F85}"/>
            </c:ext>
          </c:extLst>
        </c:ser>
        <c:ser>
          <c:idx val="3"/>
          <c:order val="3"/>
          <c:tx>
            <c:strRef>
              <c:f>'Cash Flow Ratios'!$M$7</c:f>
              <c:strCache>
                <c:ptCount val="1"/>
                <c:pt idx="0">
                  <c:v>2023</c:v>
                </c:pt>
              </c:strCache>
            </c:strRef>
          </c:tx>
          <c:spPr>
            <a:solidFill>
              <a:schemeClr val="accent4"/>
            </a:solidFill>
            <a:ln>
              <a:noFill/>
            </a:ln>
            <a:effectLst/>
          </c:spPr>
          <c:invertIfNegative val="0"/>
          <c:cat>
            <c:strRef>
              <c:f>'Cash Flow Ratios'!$I$8:$I$10</c:f>
              <c:strCache>
                <c:ptCount val="3"/>
                <c:pt idx="0">
                  <c:v>Operating Cash Flow Ratio</c:v>
                </c:pt>
                <c:pt idx="1">
                  <c:v>Cash Flow to Debt Ratio</c:v>
                </c:pt>
                <c:pt idx="2">
                  <c:v>Cash Flow Margin</c:v>
                </c:pt>
              </c:strCache>
            </c:strRef>
          </c:cat>
          <c:val>
            <c:numRef>
              <c:f>'Cash Flow Ratios'!$M$8:$M$10</c:f>
              <c:numCache>
                <c:formatCode>General</c:formatCode>
                <c:ptCount val="3"/>
                <c:pt idx="0">
                  <c:v>0.16</c:v>
                </c:pt>
                <c:pt idx="1">
                  <c:v>0.14000000000000001</c:v>
                </c:pt>
                <c:pt idx="2" formatCode="0.00%">
                  <c:v>5.9900000000000002E-2</c:v>
                </c:pt>
              </c:numCache>
            </c:numRef>
          </c:val>
          <c:extLst>
            <c:ext xmlns:c16="http://schemas.microsoft.com/office/drawing/2014/chart" uri="{C3380CC4-5D6E-409C-BE32-E72D297353CC}">
              <c16:uniqueId val="{00000003-9A83-4300-85A4-9011E3C57F85}"/>
            </c:ext>
          </c:extLst>
        </c:ser>
        <c:ser>
          <c:idx val="4"/>
          <c:order val="4"/>
          <c:tx>
            <c:strRef>
              <c:f>'Cash Flow Ratios'!$N$7</c:f>
              <c:strCache>
                <c:ptCount val="1"/>
                <c:pt idx="0">
                  <c:v>2024</c:v>
                </c:pt>
              </c:strCache>
            </c:strRef>
          </c:tx>
          <c:spPr>
            <a:solidFill>
              <a:schemeClr val="accent5"/>
            </a:solidFill>
            <a:ln>
              <a:noFill/>
            </a:ln>
            <a:effectLst/>
          </c:spPr>
          <c:invertIfNegative val="0"/>
          <c:cat>
            <c:strRef>
              <c:f>'Cash Flow Ratios'!$I$8:$I$10</c:f>
              <c:strCache>
                <c:ptCount val="3"/>
                <c:pt idx="0">
                  <c:v>Operating Cash Flow Ratio</c:v>
                </c:pt>
                <c:pt idx="1">
                  <c:v>Cash Flow to Debt Ratio</c:v>
                </c:pt>
                <c:pt idx="2">
                  <c:v>Cash Flow Margin</c:v>
                </c:pt>
              </c:strCache>
            </c:strRef>
          </c:cat>
          <c:val>
            <c:numRef>
              <c:f>'Cash Flow Ratios'!$N$8:$N$10</c:f>
              <c:numCache>
                <c:formatCode>General</c:formatCode>
                <c:ptCount val="3"/>
                <c:pt idx="0">
                  <c:v>0.09</c:v>
                </c:pt>
                <c:pt idx="1">
                  <c:v>0.09</c:v>
                </c:pt>
                <c:pt idx="2" formatCode="0.00%">
                  <c:v>3.7499999999999999E-2</c:v>
                </c:pt>
              </c:numCache>
            </c:numRef>
          </c:val>
          <c:extLst>
            <c:ext xmlns:c16="http://schemas.microsoft.com/office/drawing/2014/chart" uri="{C3380CC4-5D6E-409C-BE32-E72D297353CC}">
              <c16:uniqueId val="{00000004-9A83-4300-85A4-9011E3C57F85}"/>
            </c:ext>
          </c:extLst>
        </c:ser>
        <c:dLbls>
          <c:showLegendKey val="0"/>
          <c:showVal val="0"/>
          <c:showCatName val="0"/>
          <c:showSerName val="0"/>
          <c:showPercent val="0"/>
          <c:showBubbleSize val="0"/>
        </c:dLbls>
        <c:gapWidth val="219"/>
        <c:overlap val="-27"/>
        <c:axId val="1077053680"/>
        <c:axId val="1077054512"/>
      </c:barChart>
      <c:catAx>
        <c:axId val="1077053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054512"/>
        <c:crosses val="autoZero"/>
        <c:auto val="1"/>
        <c:lblAlgn val="ctr"/>
        <c:lblOffset val="100"/>
        <c:noMultiLvlLbl val="0"/>
      </c:catAx>
      <c:valAx>
        <c:axId val="1077054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0536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Altman Z-Score Calculation (2020–2024)</a:t>
            </a:r>
            <a:endParaRPr lang="en-US"/>
          </a:p>
        </c:rich>
      </c:tx>
      <c:layout>
        <c:manualLayout>
          <c:xMode val="edge"/>
          <c:yMode val="edge"/>
          <c:x val="0.36737127479318249"/>
          <c:y val="4.32432432432432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Sheet2!$A$5:$B$5</c:f>
              <c:strCache>
                <c:ptCount val="2"/>
                <c:pt idx="0">
                  <c:v>X4</c:v>
                </c:pt>
                <c:pt idx="1">
                  <c:v>Market Value of Equity / Total Liabilities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Sheet2!$C$1:$G$4</c:f>
              <c:multiLvlStrCache>
                <c:ptCount val="5"/>
                <c:lvl>
                  <c:pt idx="0">
                    <c:v>0.07</c:v>
                  </c:pt>
                  <c:pt idx="1">
                    <c:v>0.05</c:v>
                  </c:pt>
                  <c:pt idx="2">
                    <c:v>0.03</c:v>
                  </c:pt>
                  <c:pt idx="3">
                    <c:v>−0.24</c:v>
                  </c:pt>
                  <c:pt idx="4">
                    <c:v>−0.05</c:v>
                  </c:pt>
                </c:lvl>
                <c:lvl>
                  <c:pt idx="0">
                    <c:v>0.64</c:v>
                  </c:pt>
                  <c:pt idx="1">
                    <c:v>0.65</c:v>
                  </c:pt>
                  <c:pt idx="2">
                    <c:v>0.66</c:v>
                  </c:pt>
                  <c:pt idx="3">
                    <c:v>0.65</c:v>
                  </c:pt>
                  <c:pt idx="4">
                    <c:v>0.64</c:v>
                  </c:pt>
                </c:lvl>
                <c:lvl>
                  <c:pt idx="0">
                    <c:v>0.29</c:v>
                  </c:pt>
                  <c:pt idx="1">
                    <c:v>0.24</c:v>
                  </c:pt>
                  <c:pt idx="2">
                    <c:v>0.24</c:v>
                  </c:pt>
                  <c:pt idx="3">
                    <c:v>0.27</c:v>
                  </c:pt>
                  <c:pt idx="4">
                    <c:v>0.26</c:v>
                  </c:pt>
                </c:lvl>
                <c:lvl>
                  <c:pt idx="0">
                    <c:v>2020</c:v>
                  </c:pt>
                  <c:pt idx="1">
                    <c:v>2021</c:v>
                  </c:pt>
                  <c:pt idx="2">
                    <c:v>2022</c:v>
                  </c:pt>
                  <c:pt idx="3">
                    <c:v>2023</c:v>
                  </c:pt>
                  <c:pt idx="4">
                    <c:v>2024</c:v>
                  </c:pt>
                </c:lvl>
              </c:multiLvlStrCache>
            </c:multiLvlStrRef>
          </c:cat>
          <c:val>
            <c:numRef>
              <c:f>Sheet2!$C$5:$G$5</c:f>
              <c:numCache>
                <c:formatCode>General</c:formatCode>
                <c:ptCount val="5"/>
                <c:pt idx="0">
                  <c:v>8.4600000000000009</c:v>
                </c:pt>
                <c:pt idx="1">
                  <c:v>6.89</c:v>
                </c:pt>
                <c:pt idx="2">
                  <c:v>6.47</c:v>
                </c:pt>
                <c:pt idx="3">
                  <c:v>8.7200000000000006</c:v>
                </c:pt>
                <c:pt idx="4">
                  <c:v>9.1300000000000008</c:v>
                </c:pt>
              </c:numCache>
            </c:numRef>
          </c:val>
          <c:extLst>
            <c:ext xmlns:c16="http://schemas.microsoft.com/office/drawing/2014/chart" uri="{C3380CC4-5D6E-409C-BE32-E72D297353CC}">
              <c16:uniqueId val="{00000000-F4AD-4168-B786-89297BD74C11}"/>
            </c:ext>
          </c:extLst>
        </c:ser>
        <c:ser>
          <c:idx val="1"/>
          <c:order val="1"/>
          <c:tx>
            <c:strRef>
              <c:f>Sheet2!$A$6:$B$6</c:f>
              <c:strCache>
                <c:ptCount val="2"/>
                <c:pt idx="0">
                  <c:v>X5</c:v>
                </c:pt>
                <c:pt idx="1">
                  <c:v>Net Sales / Total Assets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Sheet2!$C$1:$G$4</c:f>
              <c:multiLvlStrCache>
                <c:ptCount val="5"/>
                <c:lvl>
                  <c:pt idx="0">
                    <c:v>0.07</c:v>
                  </c:pt>
                  <c:pt idx="1">
                    <c:v>0.05</c:v>
                  </c:pt>
                  <c:pt idx="2">
                    <c:v>0.03</c:v>
                  </c:pt>
                  <c:pt idx="3">
                    <c:v>−0.24</c:v>
                  </c:pt>
                  <c:pt idx="4">
                    <c:v>−0.05</c:v>
                  </c:pt>
                </c:lvl>
                <c:lvl>
                  <c:pt idx="0">
                    <c:v>0.64</c:v>
                  </c:pt>
                  <c:pt idx="1">
                    <c:v>0.65</c:v>
                  </c:pt>
                  <c:pt idx="2">
                    <c:v>0.66</c:v>
                  </c:pt>
                  <c:pt idx="3">
                    <c:v>0.65</c:v>
                  </c:pt>
                  <c:pt idx="4">
                    <c:v>0.64</c:v>
                  </c:pt>
                </c:lvl>
                <c:lvl>
                  <c:pt idx="0">
                    <c:v>0.29</c:v>
                  </c:pt>
                  <c:pt idx="1">
                    <c:v>0.24</c:v>
                  </c:pt>
                  <c:pt idx="2">
                    <c:v>0.24</c:v>
                  </c:pt>
                  <c:pt idx="3">
                    <c:v>0.27</c:v>
                  </c:pt>
                  <c:pt idx="4">
                    <c:v>0.26</c:v>
                  </c:pt>
                </c:lvl>
                <c:lvl>
                  <c:pt idx="0">
                    <c:v>2020</c:v>
                  </c:pt>
                  <c:pt idx="1">
                    <c:v>2021</c:v>
                  </c:pt>
                  <c:pt idx="2">
                    <c:v>2022</c:v>
                  </c:pt>
                  <c:pt idx="3">
                    <c:v>2023</c:v>
                  </c:pt>
                  <c:pt idx="4">
                    <c:v>2024</c:v>
                  </c:pt>
                </c:lvl>
              </c:multiLvlStrCache>
            </c:multiLvlStrRef>
          </c:cat>
          <c:val>
            <c:numRef>
              <c:f>Sheet2!$C$6:$G$6</c:f>
              <c:numCache>
                <c:formatCode>General</c:formatCode>
                <c:ptCount val="5"/>
                <c:pt idx="0">
                  <c:v>1.2</c:v>
                </c:pt>
                <c:pt idx="1">
                  <c:v>1.18</c:v>
                </c:pt>
                <c:pt idx="2">
                  <c:v>1.08</c:v>
                </c:pt>
                <c:pt idx="3">
                  <c:v>1.18</c:v>
                </c:pt>
                <c:pt idx="4">
                  <c:v>1.22</c:v>
                </c:pt>
              </c:numCache>
            </c:numRef>
          </c:val>
          <c:extLst>
            <c:ext xmlns:c16="http://schemas.microsoft.com/office/drawing/2014/chart" uri="{C3380CC4-5D6E-409C-BE32-E72D297353CC}">
              <c16:uniqueId val="{00000001-F4AD-4168-B786-89297BD74C11}"/>
            </c:ext>
          </c:extLst>
        </c:ser>
        <c:ser>
          <c:idx val="2"/>
          <c:order val="2"/>
          <c:tx>
            <c:strRef>
              <c:f>Sheet2!$A$7:$B$7</c:f>
              <c:strCache>
                <c:ptCount val="2"/>
                <c:pt idx="0">
                  <c:v>Altman Z-Score</c:v>
                </c:pt>
                <c:pt idx="1">
                  <c:v>Weighted Sum</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Sheet2!$C$1:$G$4</c:f>
              <c:multiLvlStrCache>
                <c:ptCount val="5"/>
                <c:lvl>
                  <c:pt idx="0">
                    <c:v>0.07</c:v>
                  </c:pt>
                  <c:pt idx="1">
                    <c:v>0.05</c:v>
                  </c:pt>
                  <c:pt idx="2">
                    <c:v>0.03</c:v>
                  </c:pt>
                  <c:pt idx="3">
                    <c:v>−0.24</c:v>
                  </c:pt>
                  <c:pt idx="4">
                    <c:v>−0.05</c:v>
                  </c:pt>
                </c:lvl>
                <c:lvl>
                  <c:pt idx="0">
                    <c:v>0.64</c:v>
                  </c:pt>
                  <c:pt idx="1">
                    <c:v>0.65</c:v>
                  </c:pt>
                  <c:pt idx="2">
                    <c:v>0.66</c:v>
                  </c:pt>
                  <c:pt idx="3">
                    <c:v>0.65</c:v>
                  </c:pt>
                  <c:pt idx="4">
                    <c:v>0.64</c:v>
                  </c:pt>
                </c:lvl>
                <c:lvl>
                  <c:pt idx="0">
                    <c:v>0.29</c:v>
                  </c:pt>
                  <c:pt idx="1">
                    <c:v>0.24</c:v>
                  </c:pt>
                  <c:pt idx="2">
                    <c:v>0.24</c:v>
                  </c:pt>
                  <c:pt idx="3">
                    <c:v>0.27</c:v>
                  </c:pt>
                  <c:pt idx="4">
                    <c:v>0.26</c:v>
                  </c:pt>
                </c:lvl>
                <c:lvl>
                  <c:pt idx="0">
                    <c:v>2020</c:v>
                  </c:pt>
                  <c:pt idx="1">
                    <c:v>2021</c:v>
                  </c:pt>
                  <c:pt idx="2">
                    <c:v>2022</c:v>
                  </c:pt>
                  <c:pt idx="3">
                    <c:v>2023</c:v>
                  </c:pt>
                  <c:pt idx="4">
                    <c:v>2024</c:v>
                  </c:pt>
                </c:lvl>
              </c:multiLvlStrCache>
            </c:multiLvlStrRef>
          </c:cat>
          <c:val>
            <c:numRef>
              <c:f>Sheet2!$C$7:$G$7</c:f>
              <c:numCache>
                <c:formatCode>General</c:formatCode>
                <c:ptCount val="5"/>
                <c:pt idx="0">
                  <c:v>7.76</c:v>
                </c:pt>
                <c:pt idx="1">
                  <c:v>6.65</c:v>
                </c:pt>
                <c:pt idx="2">
                  <c:v>6.26</c:v>
                </c:pt>
                <c:pt idx="3">
                  <c:v>6.87</c:v>
                </c:pt>
                <c:pt idx="4">
                  <c:v>7.76</c:v>
                </c:pt>
              </c:numCache>
            </c:numRef>
          </c:val>
          <c:extLst>
            <c:ext xmlns:c16="http://schemas.microsoft.com/office/drawing/2014/chart" uri="{C3380CC4-5D6E-409C-BE32-E72D297353CC}">
              <c16:uniqueId val="{00000002-F4AD-4168-B786-89297BD74C11}"/>
            </c:ext>
          </c:extLst>
        </c:ser>
        <c:dLbls>
          <c:dLblPos val="outEnd"/>
          <c:showLegendKey val="0"/>
          <c:showVal val="1"/>
          <c:showCatName val="0"/>
          <c:showSerName val="0"/>
          <c:showPercent val="0"/>
          <c:showBubbleSize val="0"/>
        </c:dLbls>
        <c:gapWidth val="182"/>
        <c:axId val="1136013264"/>
        <c:axId val="1136011600"/>
      </c:barChart>
      <c:catAx>
        <c:axId val="11360132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011600"/>
        <c:crosses val="autoZero"/>
        <c:auto val="1"/>
        <c:lblAlgn val="ctr"/>
        <c:lblOffset val="100"/>
        <c:noMultiLvlLbl val="0"/>
      </c:catAx>
      <c:valAx>
        <c:axId val="1136011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0132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Working Capital Calculations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'Working Capital Calculations'!$B$1</c:f>
              <c:strCache>
                <c:ptCount val="1"/>
                <c:pt idx="0">
                  <c:v>Receivables Days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'Working Capital Calculations'!$A$2:$A$6</c:f>
              <c:numCache>
                <c:formatCode>General</c:formatCode>
                <c:ptCount val="5"/>
                <c:pt idx="0">
                  <c:v>2020</c:v>
                </c:pt>
                <c:pt idx="1">
                  <c:v>2021</c:v>
                </c:pt>
                <c:pt idx="2">
                  <c:v>2022</c:v>
                </c:pt>
                <c:pt idx="3">
                  <c:v>2023</c:v>
                </c:pt>
                <c:pt idx="4">
                  <c:v>2024</c:v>
                </c:pt>
              </c:numCache>
            </c:numRef>
          </c:cat>
          <c:val>
            <c:numRef>
              <c:f>'Working Capital Calculations'!$B$2:$B$6</c:f>
              <c:numCache>
                <c:formatCode>General</c:formatCode>
                <c:ptCount val="5"/>
                <c:pt idx="0">
                  <c:v>76.86</c:v>
                </c:pt>
                <c:pt idx="1">
                  <c:v>78.400000000000006</c:v>
                </c:pt>
                <c:pt idx="2">
                  <c:v>75.55</c:v>
                </c:pt>
                <c:pt idx="3">
                  <c:v>97.74</c:v>
                </c:pt>
                <c:pt idx="4">
                  <c:v>105.54</c:v>
                </c:pt>
              </c:numCache>
            </c:numRef>
          </c:val>
          <c:extLst>
            <c:ext xmlns:c16="http://schemas.microsoft.com/office/drawing/2014/chart" uri="{C3380CC4-5D6E-409C-BE32-E72D297353CC}">
              <c16:uniqueId val="{00000000-DB59-4231-A57D-B34814CE967F}"/>
            </c:ext>
          </c:extLst>
        </c:ser>
        <c:ser>
          <c:idx val="1"/>
          <c:order val="1"/>
          <c:tx>
            <c:strRef>
              <c:f>'Working Capital Calculations'!$C$1</c:f>
              <c:strCache>
                <c:ptCount val="1"/>
                <c:pt idx="0">
                  <c:v>Inventory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'Working Capital Calculations'!$A$2:$A$6</c:f>
              <c:numCache>
                <c:formatCode>General</c:formatCode>
                <c:ptCount val="5"/>
                <c:pt idx="0">
                  <c:v>2020</c:v>
                </c:pt>
                <c:pt idx="1">
                  <c:v>2021</c:v>
                </c:pt>
                <c:pt idx="2">
                  <c:v>2022</c:v>
                </c:pt>
                <c:pt idx="3">
                  <c:v>2023</c:v>
                </c:pt>
                <c:pt idx="4">
                  <c:v>2024</c:v>
                </c:pt>
              </c:numCache>
            </c:numRef>
          </c:cat>
          <c:val>
            <c:numRef>
              <c:f>'Working Capital Calculations'!$C$2:$C$6</c:f>
              <c:numCache>
                <c:formatCode>General</c:formatCode>
                <c:ptCount val="5"/>
                <c:pt idx="0">
                  <c:v>100.26</c:v>
                </c:pt>
                <c:pt idx="1">
                  <c:v>114.52</c:v>
                </c:pt>
                <c:pt idx="2">
                  <c:v>131.04</c:v>
                </c:pt>
                <c:pt idx="3">
                  <c:v>99.78</c:v>
                </c:pt>
                <c:pt idx="4">
                  <c:v>103.12</c:v>
                </c:pt>
              </c:numCache>
            </c:numRef>
          </c:val>
          <c:extLst>
            <c:ext xmlns:c16="http://schemas.microsoft.com/office/drawing/2014/chart" uri="{C3380CC4-5D6E-409C-BE32-E72D297353CC}">
              <c16:uniqueId val="{00000001-DB59-4231-A57D-B34814CE967F}"/>
            </c:ext>
          </c:extLst>
        </c:ser>
        <c:ser>
          <c:idx val="2"/>
          <c:order val="2"/>
          <c:tx>
            <c:strRef>
              <c:f>'Working Capital Calculations'!$D$1</c:f>
              <c:strCache>
                <c:ptCount val="1"/>
                <c:pt idx="0">
                  <c:v>Payables Days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'Working Capital Calculations'!$A$2:$A$6</c:f>
              <c:numCache>
                <c:formatCode>General</c:formatCode>
                <c:ptCount val="5"/>
                <c:pt idx="0">
                  <c:v>2020</c:v>
                </c:pt>
                <c:pt idx="1">
                  <c:v>2021</c:v>
                </c:pt>
                <c:pt idx="2">
                  <c:v>2022</c:v>
                </c:pt>
                <c:pt idx="3">
                  <c:v>2023</c:v>
                </c:pt>
                <c:pt idx="4">
                  <c:v>2024</c:v>
                </c:pt>
              </c:numCache>
            </c:numRef>
          </c:cat>
          <c:val>
            <c:numRef>
              <c:f>'Working Capital Calculations'!$D$2:$D$6</c:f>
              <c:numCache>
                <c:formatCode>General</c:formatCode>
                <c:ptCount val="5"/>
                <c:pt idx="0">
                  <c:v>65</c:v>
                </c:pt>
                <c:pt idx="1">
                  <c:v>66</c:v>
                </c:pt>
                <c:pt idx="2">
                  <c:v>68</c:v>
                </c:pt>
                <c:pt idx="3">
                  <c:v>69</c:v>
                </c:pt>
                <c:pt idx="4">
                  <c:v>70</c:v>
                </c:pt>
              </c:numCache>
            </c:numRef>
          </c:val>
          <c:extLst>
            <c:ext xmlns:c16="http://schemas.microsoft.com/office/drawing/2014/chart" uri="{C3380CC4-5D6E-409C-BE32-E72D297353CC}">
              <c16:uniqueId val="{00000002-DB59-4231-A57D-B34814CE967F}"/>
            </c:ext>
          </c:extLst>
        </c:ser>
        <c:ser>
          <c:idx val="3"/>
          <c:order val="3"/>
          <c:tx>
            <c:strRef>
              <c:f>'Working Capital Calculations'!$E$1</c:f>
              <c:strCache>
                <c:ptCount val="1"/>
                <c:pt idx="0">
                  <c:v>Cash Operating Cycle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'Working Capital Calculations'!$A$2:$A$6</c:f>
              <c:numCache>
                <c:formatCode>General</c:formatCode>
                <c:ptCount val="5"/>
                <c:pt idx="0">
                  <c:v>2020</c:v>
                </c:pt>
                <c:pt idx="1">
                  <c:v>2021</c:v>
                </c:pt>
                <c:pt idx="2">
                  <c:v>2022</c:v>
                </c:pt>
                <c:pt idx="3">
                  <c:v>2023</c:v>
                </c:pt>
                <c:pt idx="4">
                  <c:v>2024</c:v>
                </c:pt>
              </c:numCache>
            </c:numRef>
          </c:cat>
          <c:val>
            <c:numRef>
              <c:f>'Working Capital Calculations'!$E$2:$E$6</c:f>
              <c:numCache>
                <c:formatCode>General</c:formatCode>
                <c:ptCount val="5"/>
                <c:pt idx="0">
                  <c:v>112.12</c:v>
                </c:pt>
                <c:pt idx="1">
                  <c:v>126.92</c:v>
                </c:pt>
                <c:pt idx="2">
                  <c:v>138.59</c:v>
                </c:pt>
                <c:pt idx="3">
                  <c:v>128.52000000000001</c:v>
                </c:pt>
                <c:pt idx="4">
                  <c:v>138.66</c:v>
                </c:pt>
              </c:numCache>
            </c:numRef>
          </c:val>
          <c:extLst>
            <c:ext xmlns:c16="http://schemas.microsoft.com/office/drawing/2014/chart" uri="{C3380CC4-5D6E-409C-BE32-E72D297353CC}">
              <c16:uniqueId val="{00000003-DB59-4231-A57D-B34814CE967F}"/>
            </c:ext>
          </c:extLst>
        </c:ser>
        <c:dLbls>
          <c:dLblPos val="outEnd"/>
          <c:showLegendKey val="0"/>
          <c:showVal val="1"/>
          <c:showCatName val="0"/>
          <c:showSerName val="0"/>
          <c:showPercent val="0"/>
          <c:showBubbleSize val="0"/>
        </c:dLbls>
        <c:gapWidth val="219"/>
        <c:overlap val="-27"/>
        <c:axId val="1231956751"/>
        <c:axId val="1227918495"/>
      </c:barChart>
      <c:catAx>
        <c:axId val="12319567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918495"/>
        <c:crosses val="autoZero"/>
        <c:auto val="1"/>
        <c:lblAlgn val="ctr"/>
        <c:lblOffset val="100"/>
        <c:noMultiLvlLbl val="0"/>
      </c:catAx>
      <c:valAx>
        <c:axId val="1227918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95675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b="1">
                <a:effectLst/>
                <a:latin typeface="Arial" panose="020B0604020202020204" pitchFamily="34" charset="0"/>
                <a:cs typeface="Arial" panose="020B0604020202020204" pitchFamily="34" charset="0"/>
              </a:rPr>
              <a:t>Pro Forma Statement of Financial Position Impact (2024</a:t>
            </a:r>
            <a:r>
              <a:rPr lang="en-GB" sz="1800" b="1">
                <a:effectLst/>
              </a:rPr>
              <a:t>)</a:t>
            </a:r>
            <a:endParaRPr lang="en-US" sz="18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Sheet2!$C$3</c:f>
              <c:strCache>
                <c:ptCount val="1"/>
                <c:pt idx="0">
                  <c:v>Actual 2024</c:v>
                </c:pt>
              </c:strCache>
            </c:strRef>
          </c:tx>
          <c:spPr>
            <a:solidFill>
              <a:schemeClr val="accent1"/>
            </a:solidFill>
            <a:ln>
              <a:noFill/>
            </a:ln>
            <a:effectLst/>
          </c:spPr>
          <c:invertIfNegative val="0"/>
          <c:cat>
            <c:strRef>
              <c:f>Sheet2!$B$4:$B$6</c:f>
              <c:strCache>
                <c:ptCount val="3"/>
                <c:pt idx="0">
                  <c:v>Total Assets</c:v>
                </c:pt>
                <c:pt idx="1">
                  <c:v>Total Liabilities</c:v>
                </c:pt>
                <c:pt idx="2">
                  <c:v>Shareholders’ Equity</c:v>
                </c:pt>
              </c:strCache>
            </c:strRef>
          </c:cat>
          <c:val>
            <c:numRef>
              <c:f>Sheet2!$C$4:$C$6</c:f>
              <c:numCache>
                <c:formatCode>#,##0</c:formatCode>
                <c:ptCount val="3"/>
                <c:pt idx="0">
                  <c:v>323354</c:v>
                </c:pt>
                <c:pt idx="1">
                  <c:v>170249</c:v>
                </c:pt>
                <c:pt idx="2">
                  <c:v>153105</c:v>
                </c:pt>
              </c:numCache>
            </c:numRef>
          </c:val>
          <c:extLst>
            <c:ext xmlns:c16="http://schemas.microsoft.com/office/drawing/2014/chart" uri="{C3380CC4-5D6E-409C-BE32-E72D297353CC}">
              <c16:uniqueId val="{00000000-1F44-4449-B452-1F9ADDEAFC7A}"/>
            </c:ext>
          </c:extLst>
        </c:ser>
        <c:ser>
          <c:idx val="1"/>
          <c:order val="1"/>
          <c:tx>
            <c:strRef>
              <c:f>Sheet2!$D$3</c:f>
              <c:strCache>
                <c:ptCount val="1"/>
                <c:pt idx="0">
                  <c:v>Adjustment</c:v>
                </c:pt>
              </c:strCache>
            </c:strRef>
          </c:tx>
          <c:spPr>
            <a:solidFill>
              <a:schemeClr val="accent2"/>
            </a:solidFill>
            <a:ln>
              <a:noFill/>
            </a:ln>
            <a:effectLst/>
          </c:spPr>
          <c:invertIfNegative val="0"/>
          <c:cat>
            <c:strRef>
              <c:f>Sheet2!$B$4:$B$6</c:f>
              <c:strCache>
                <c:ptCount val="3"/>
                <c:pt idx="0">
                  <c:v>Total Assets</c:v>
                </c:pt>
                <c:pt idx="1">
                  <c:v>Total Liabilities</c:v>
                </c:pt>
                <c:pt idx="2">
                  <c:v>Shareholders’ Equity</c:v>
                </c:pt>
              </c:strCache>
            </c:strRef>
          </c:cat>
          <c:val>
            <c:numRef>
              <c:f>Sheet2!$D$4:$D$6</c:f>
              <c:numCache>
                <c:formatCode>General</c:formatCode>
                <c:ptCount val="3"/>
                <c:pt idx="0" formatCode="#,##0">
                  <c:v>12966</c:v>
                </c:pt>
                <c:pt idx="1">
                  <c:v>0</c:v>
                </c:pt>
                <c:pt idx="2" formatCode="#,##0">
                  <c:v>22966</c:v>
                </c:pt>
              </c:numCache>
            </c:numRef>
          </c:val>
          <c:extLst>
            <c:ext xmlns:c16="http://schemas.microsoft.com/office/drawing/2014/chart" uri="{C3380CC4-5D6E-409C-BE32-E72D297353CC}">
              <c16:uniqueId val="{00000001-1F44-4449-B452-1F9ADDEAFC7A}"/>
            </c:ext>
          </c:extLst>
        </c:ser>
        <c:ser>
          <c:idx val="2"/>
          <c:order val="2"/>
          <c:tx>
            <c:strRef>
              <c:f>Sheet2!$E$3</c:f>
              <c:strCache>
                <c:ptCount val="1"/>
                <c:pt idx="0">
                  <c:v>Pro‑Forma 2024</c:v>
                </c:pt>
              </c:strCache>
            </c:strRef>
          </c:tx>
          <c:spPr>
            <a:solidFill>
              <a:schemeClr val="accent3"/>
            </a:solidFill>
            <a:ln>
              <a:noFill/>
            </a:ln>
            <a:effectLst/>
          </c:spPr>
          <c:invertIfNegative val="0"/>
          <c:cat>
            <c:strRef>
              <c:f>Sheet2!$B$4:$B$6</c:f>
              <c:strCache>
                <c:ptCount val="3"/>
                <c:pt idx="0">
                  <c:v>Total Assets</c:v>
                </c:pt>
                <c:pt idx="1">
                  <c:v>Total Liabilities</c:v>
                </c:pt>
                <c:pt idx="2">
                  <c:v>Shareholders’ Equity</c:v>
                </c:pt>
              </c:strCache>
            </c:strRef>
          </c:cat>
          <c:val>
            <c:numRef>
              <c:f>Sheet2!$E$4:$E$6</c:f>
              <c:numCache>
                <c:formatCode>#,##0</c:formatCode>
                <c:ptCount val="3"/>
                <c:pt idx="0">
                  <c:v>336320</c:v>
                </c:pt>
                <c:pt idx="1">
                  <c:v>160249</c:v>
                </c:pt>
                <c:pt idx="2">
                  <c:v>176071</c:v>
                </c:pt>
              </c:numCache>
            </c:numRef>
          </c:val>
          <c:extLst>
            <c:ext xmlns:c16="http://schemas.microsoft.com/office/drawing/2014/chart" uri="{C3380CC4-5D6E-409C-BE32-E72D297353CC}">
              <c16:uniqueId val="{00000002-1F44-4449-B452-1F9ADDEAFC7A}"/>
            </c:ext>
          </c:extLst>
        </c:ser>
        <c:dLbls>
          <c:showLegendKey val="0"/>
          <c:showVal val="0"/>
          <c:showCatName val="0"/>
          <c:showSerName val="0"/>
          <c:showPercent val="0"/>
          <c:showBubbleSize val="0"/>
        </c:dLbls>
        <c:gapWidth val="182"/>
        <c:axId val="1288544479"/>
        <c:axId val="1288538655"/>
      </c:barChart>
      <c:catAx>
        <c:axId val="12885444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538655"/>
        <c:crosses val="autoZero"/>
        <c:auto val="1"/>
        <c:lblAlgn val="ctr"/>
        <c:lblOffset val="100"/>
        <c:noMultiLvlLbl val="0"/>
      </c:catAx>
      <c:valAx>
        <c:axId val="128853865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54447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a:effectLst/>
              </a:rPr>
              <a:t>Pro‑Forma Capital Structure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Sheet2!$J$3</c:f>
              <c:strCache>
                <c:ptCount val="1"/>
                <c:pt idx="0">
                  <c:v>Actual 2024</c:v>
                </c:pt>
              </c:strCache>
            </c:strRef>
          </c:tx>
          <c:spPr>
            <a:solidFill>
              <a:schemeClr val="accent1"/>
            </a:solidFill>
            <a:ln>
              <a:noFill/>
            </a:ln>
            <a:effectLst/>
          </c:spPr>
          <c:invertIfNegative val="0"/>
          <c:cat>
            <c:strRef>
              <c:f>Sheet2!$H$4:$H$6</c:f>
              <c:strCache>
                <c:ptCount val="3"/>
                <c:pt idx="0">
                  <c:v>Debt to Equity</c:v>
                </c:pt>
                <c:pt idx="1">
                  <c:v>Debt to Capital</c:v>
                </c:pt>
                <c:pt idx="2">
                  <c:v>Equity Multiplier</c:v>
                </c:pt>
              </c:strCache>
              <c:extLst/>
            </c:strRef>
          </c:cat>
          <c:val>
            <c:numRef>
              <c:f>Sheet2!$J$4:$J$6</c:f>
              <c:numCache>
                <c:formatCode>General</c:formatCode>
                <c:ptCount val="3"/>
                <c:pt idx="0">
                  <c:v>1.1100000000000001</c:v>
                </c:pt>
                <c:pt idx="1">
                  <c:v>0.53</c:v>
                </c:pt>
                <c:pt idx="2">
                  <c:v>2.11</c:v>
                </c:pt>
              </c:numCache>
            </c:numRef>
          </c:val>
          <c:extLst>
            <c:ext xmlns:c16="http://schemas.microsoft.com/office/drawing/2014/chart" uri="{C3380CC4-5D6E-409C-BE32-E72D297353CC}">
              <c16:uniqueId val="{00000000-ECB5-48AE-884C-3E9EB6E5EEFF}"/>
            </c:ext>
          </c:extLst>
        </c:ser>
        <c:ser>
          <c:idx val="1"/>
          <c:order val="1"/>
          <c:tx>
            <c:strRef>
              <c:f>Sheet2!$K$3</c:f>
              <c:strCache>
                <c:ptCount val="1"/>
                <c:pt idx="0">
                  <c:v>Pro‑Forma 2024</c:v>
                </c:pt>
              </c:strCache>
            </c:strRef>
          </c:tx>
          <c:spPr>
            <a:solidFill>
              <a:schemeClr val="accent2"/>
            </a:solidFill>
            <a:ln>
              <a:noFill/>
            </a:ln>
            <a:effectLst/>
          </c:spPr>
          <c:invertIfNegative val="0"/>
          <c:cat>
            <c:strRef>
              <c:f>Sheet2!$H$4:$H$6</c:f>
              <c:strCache>
                <c:ptCount val="3"/>
                <c:pt idx="0">
                  <c:v>Debt to Equity</c:v>
                </c:pt>
                <c:pt idx="1">
                  <c:v>Debt to Capital</c:v>
                </c:pt>
                <c:pt idx="2">
                  <c:v>Equity Multiplier</c:v>
                </c:pt>
              </c:strCache>
              <c:extLst/>
            </c:strRef>
          </c:cat>
          <c:val>
            <c:numRef>
              <c:f>Sheet2!$K$4:$K$6</c:f>
              <c:numCache>
                <c:formatCode>General</c:formatCode>
                <c:ptCount val="3"/>
                <c:pt idx="0">
                  <c:v>0.91</c:v>
                </c:pt>
                <c:pt idx="1">
                  <c:v>0.48</c:v>
                </c:pt>
                <c:pt idx="2">
                  <c:v>1.91</c:v>
                </c:pt>
              </c:numCache>
            </c:numRef>
          </c:val>
          <c:extLst>
            <c:ext xmlns:c16="http://schemas.microsoft.com/office/drawing/2014/chart" uri="{C3380CC4-5D6E-409C-BE32-E72D297353CC}">
              <c16:uniqueId val="{00000001-ECB5-48AE-884C-3E9EB6E5EEFF}"/>
            </c:ext>
          </c:extLst>
        </c:ser>
        <c:dLbls>
          <c:showLegendKey val="0"/>
          <c:showVal val="0"/>
          <c:showCatName val="0"/>
          <c:showSerName val="0"/>
          <c:showPercent val="0"/>
          <c:showBubbleSize val="0"/>
        </c:dLbls>
        <c:gapWidth val="182"/>
        <c:axId val="1287937247"/>
        <c:axId val="1287931423"/>
      </c:barChart>
      <c:catAx>
        <c:axId val="12879372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931423"/>
        <c:crosses val="autoZero"/>
        <c:auto val="1"/>
        <c:lblAlgn val="ctr"/>
        <c:lblOffset val="100"/>
        <c:noMultiLvlLbl val="0"/>
      </c:catAx>
      <c:valAx>
        <c:axId val="1287931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93724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Interest Coverage Sensitivity</a:t>
            </a:r>
            <a:endParaRPr lang="en-US"/>
          </a:p>
        </c:rich>
      </c:tx>
      <c:layout>
        <c:manualLayout>
          <c:xMode val="edge"/>
          <c:yMode val="edge"/>
          <c:x val="0.31227077865266839"/>
          <c:y val="5.55555555555555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Sheet2!$B$27</c:f>
              <c:strCache>
                <c:ptCount val="1"/>
                <c:pt idx="0">
                  <c:v>EBIT (£ million)</c:v>
                </c:pt>
              </c:strCache>
            </c:strRef>
          </c:tx>
          <c:spPr>
            <a:solidFill>
              <a:schemeClr val="accent1"/>
            </a:solidFill>
            <a:ln>
              <a:noFill/>
            </a:ln>
            <a:effectLst/>
          </c:spPr>
          <c:invertIfNegative val="0"/>
          <c:cat>
            <c:strRef>
              <c:f>Sheet2!$C$26:$D$26</c:f>
              <c:strCache>
                <c:ptCount val="2"/>
                <c:pt idx="0">
                  <c:v>Actual 2024</c:v>
                </c:pt>
                <c:pt idx="1">
                  <c:v>Pro‑Forma 2024</c:v>
                </c:pt>
              </c:strCache>
            </c:strRef>
          </c:cat>
          <c:val>
            <c:numRef>
              <c:f>Sheet2!$C$27:$D$27</c:f>
              <c:numCache>
                <c:formatCode>General</c:formatCode>
                <c:ptCount val="2"/>
                <c:pt idx="0">
                  <c:v>0</c:v>
                </c:pt>
                <c:pt idx="1">
                  <c:v>0</c:v>
                </c:pt>
              </c:numCache>
            </c:numRef>
          </c:val>
          <c:extLst>
            <c:ext xmlns:c16="http://schemas.microsoft.com/office/drawing/2014/chart" uri="{C3380CC4-5D6E-409C-BE32-E72D297353CC}">
              <c16:uniqueId val="{00000000-43EC-41A4-89BA-DAB4FB504587}"/>
            </c:ext>
          </c:extLst>
        </c:ser>
        <c:ser>
          <c:idx val="1"/>
          <c:order val="1"/>
          <c:tx>
            <c:strRef>
              <c:f>Sheet2!$B$28</c:f>
              <c:strCache>
                <c:ptCount val="1"/>
                <c:pt idx="0">
                  <c:v>Interest Expense (£ million)</c:v>
                </c:pt>
              </c:strCache>
            </c:strRef>
          </c:tx>
          <c:spPr>
            <a:solidFill>
              <a:schemeClr val="accent2"/>
            </a:solidFill>
            <a:ln>
              <a:noFill/>
            </a:ln>
            <a:effectLst/>
          </c:spPr>
          <c:invertIfNegative val="0"/>
          <c:cat>
            <c:strRef>
              <c:f>Sheet2!$C$26:$D$26</c:f>
              <c:strCache>
                <c:ptCount val="2"/>
                <c:pt idx="0">
                  <c:v>Actual 2024</c:v>
                </c:pt>
                <c:pt idx="1">
                  <c:v>Pro‑Forma 2024</c:v>
                </c:pt>
              </c:strCache>
            </c:strRef>
          </c:cat>
          <c:val>
            <c:numRef>
              <c:f>Sheet2!$C$28:$D$28</c:f>
              <c:numCache>
                <c:formatCode>#,##0</c:formatCode>
                <c:ptCount val="2"/>
                <c:pt idx="0">
                  <c:v>3361</c:v>
                </c:pt>
                <c:pt idx="1">
                  <c:v>2857</c:v>
                </c:pt>
              </c:numCache>
            </c:numRef>
          </c:val>
          <c:extLst>
            <c:ext xmlns:c16="http://schemas.microsoft.com/office/drawing/2014/chart" uri="{C3380CC4-5D6E-409C-BE32-E72D297353CC}">
              <c16:uniqueId val="{00000001-43EC-41A4-89BA-DAB4FB504587}"/>
            </c:ext>
          </c:extLst>
        </c:ser>
        <c:ser>
          <c:idx val="2"/>
          <c:order val="2"/>
          <c:tx>
            <c:strRef>
              <c:f>Sheet2!$B$29</c:f>
              <c:strCache>
                <c:ptCount val="1"/>
                <c:pt idx="0">
                  <c:v>Interest Coverage (EBIT / Interest)</c:v>
                </c:pt>
              </c:strCache>
            </c:strRef>
          </c:tx>
          <c:spPr>
            <a:solidFill>
              <a:schemeClr val="accent3"/>
            </a:solidFill>
            <a:ln>
              <a:noFill/>
            </a:ln>
            <a:effectLst/>
          </c:spPr>
          <c:invertIfNegative val="0"/>
          <c:cat>
            <c:strRef>
              <c:f>Sheet2!$C$26:$D$26</c:f>
              <c:strCache>
                <c:ptCount val="2"/>
                <c:pt idx="0">
                  <c:v>Actual 2024</c:v>
                </c:pt>
                <c:pt idx="1">
                  <c:v>Pro‑Forma 2024</c:v>
                </c:pt>
              </c:strCache>
            </c:strRef>
          </c:cat>
          <c:val>
            <c:numRef>
              <c:f>Sheet2!$C$29:$D$29</c:f>
              <c:numCache>
                <c:formatCode>General</c:formatCode>
                <c:ptCount val="2"/>
                <c:pt idx="0">
                  <c:v>0</c:v>
                </c:pt>
                <c:pt idx="1">
                  <c:v>0</c:v>
                </c:pt>
              </c:numCache>
            </c:numRef>
          </c:val>
          <c:extLst>
            <c:ext xmlns:c16="http://schemas.microsoft.com/office/drawing/2014/chart" uri="{C3380CC4-5D6E-409C-BE32-E72D297353CC}">
              <c16:uniqueId val="{00000002-43EC-41A4-89BA-DAB4FB504587}"/>
            </c:ext>
          </c:extLst>
        </c:ser>
        <c:dLbls>
          <c:showLegendKey val="0"/>
          <c:showVal val="0"/>
          <c:showCatName val="0"/>
          <c:showSerName val="0"/>
          <c:showPercent val="0"/>
          <c:showBubbleSize val="0"/>
        </c:dLbls>
        <c:gapWidth val="182"/>
        <c:axId val="1138542735"/>
        <c:axId val="1138532751"/>
      </c:barChart>
      <c:catAx>
        <c:axId val="11385427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532751"/>
        <c:crosses val="autoZero"/>
        <c:auto val="1"/>
        <c:lblAlgn val="ctr"/>
        <c:lblOffset val="100"/>
        <c:noMultiLvlLbl val="0"/>
      </c:catAx>
      <c:valAx>
        <c:axId val="11385327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54273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200" b="0" i="0" u="none" strike="noStrike" kern="1200" spc="0" baseline="0">
                <a:solidFill>
                  <a:sysClr val="windowText" lastClr="000000">
                    <a:lumMod val="65000"/>
                    <a:lumOff val="35000"/>
                  </a:sysClr>
                </a:solidFill>
                <a:latin typeface="+mn-lt"/>
                <a:ea typeface="+mn-ea"/>
                <a:cs typeface="+mn-cs"/>
              </a:defRPr>
            </a:pPr>
            <a:r>
              <a:rPr lang="en-GB" sz="1200" b="1">
                <a:effectLst/>
              </a:rPr>
              <a:t>Equity Dilution and EPS Impact</a:t>
            </a:r>
            <a:endParaRPr lang="en-US"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sz="1200">
                <a:solidFill>
                  <a:sysClr val="windowText" lastClr="000000">
                    <a:lumMod val="65000"/>
                    <a:lumOff val="35000"/>
                  </a:sysClr>
                </a:solidFill>
              </a:defRPr>
            </a:pPr>
            <a:endParaRPr lang="en-US" sz="12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2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Sheet2!$G$27</c:f>
              <c:strCache>
                <c:ptCount val="1"/>
                <c:pt idx="0">
                  <c:v>Shares Outstanding (million)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Sheet2!$H$26:$I$26</c:f>
              <c:strCache>
                <c:ptCount val="2"/>
                <c:pt idx="0">
                  <c:v>Actual 2024</c:v>
                </c:pt>
                <c:pt idx="1">
                  <c:v>Pro‑Forma 2024</c:v>
                </c:pt>
              </c:strCache>
            </c:strRef>
          </c:cat>
          <c:val>
            <c:numRef>
              <c:f>Sheet2!$H$27:$I$27</c:f>
              <c:numCache>
                <c:formatCode>#,##0</c:formatCode>
                <c:ptCount val="2"/>
                <c:pt idx="0">
                  <c:v>12959</c:v>
                </c:pt>
                <c:pt idx="1">
                  <c:v>14903</c:v>
                </c:pt>
              </c:numCache>
            </c:numRef>
          </c:val>
          <c:extLst>
            <c:ext xmlns:c16="http://schemas.microsoft.com/office/drawing/2014/chart" uri="{C3380CC4-5D6E-409C-BE32-E72D297353CC}">
              <c16:uniqueId val="{00000000-CA05-420B-966D-B1A3B5395C6A}"/>
            </c:ext>
          </c:extLst>
        </c:ser>
        <c:ser>
          <c:idx val="1"/>
          <c:order val="1"/>
          <c:tx>
            <c:strRef>
              <c:f>Sheet2!$G$28</c:f>
              <c:strCache>
                <c:ptCount val="1"/>
                <c:pt idx="0">
                  <c:v>Net Income (£ million)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Sheet2!$H$26:$I$26</c:f>
              <c:strCache>
                <c:ptCount val="2"/>
                <c:pt idx="0">
                  <c:v>Actual 2024</c:v>
                </c:pt>
                <c:pt idx="1">
                  <c:v>Pro‑Forma 2024</c:v>
                </c:pt>
              </c:strCache>
            </c:strRef>
          </c:cat>
          <c:val>
            <c:numRef>
              <c:f>Sheet2!$H$28:$I$28</c:f>
              <c:numCache>
                <c:formatCode>General</c:formatCode>
                <c:ptCount val="2"/>
                <c:pt idx="0">
                  <c:v>0</c:v>
                </c:pt>
                <c:pt idx="1">
                  <c:v>0</c:v>
                </c:pt>
              </c:numCache>
            </c:numRef>
          </c:val>
          <c:extLst>
            <c:ext xmlns:c16="http://schemas.microsoft.com/office/drawing/2014/chart" uri="{C3380CC4-5D6E-409C-BE32-E72D297353CC}">
              <c16:uniqueId val="{00000001-CA05-420B-966D-B1A3B5395C6A}"/>
            </c:ext>
          </c:extLst>
        </c:ser>
        <c:ser>
          <c:idx val="2"/>
          <c:order val="2"/>
          <c:tx>
            <c:strRef>
              <c:f>Sheet2!$G$29</c:f>
              <c:strCache>
                <c:ptCount val="1"/>
                <c:pt idx="0">
                  <c:v>Earnings per Share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Sheet2!$H$26:$I$26</c:f>
              <c:strCache>
                <c:ptCount val="2"/>
                <c:pt idx="0">
                  <c:v>Actual 2024</c:v>
                </c:pt>
                <c:pt idx="1">
                  <c:v>Pro‑Forma 2024</c:v>
                </c:pt>
              </c:strCache>
            </c:strRef>
          </c:cat>
          <c:val>
            <c:numRef>
              <c:f>Sheet2!$H$29:$I$29</c:f>
              <c:numCache>
                <c:formatCode>General</c:formatCode>
                <c:ptCount val="2"/>
                <c:pt idx="0">
                  <c:v>0</c:v>
                </c:pt>
                <c:pt idx="1">
                  <c:v>0</c:v>
                </c:pt>
              </c:numCache>
            </c:numRef>
          </c:val>
          <c:extLst>
            <c:ext xmlns:c16="http://schemas.microsoft.com/office/drawing/2014/chart" uri="{C3380CC4-5D6E-409C-BE32-E72D297353CC}">
              <c16:uniqueId val="{00000002-CA05-420B-966D-B1A3B5395C6A}"/>
            </c:ext>
          </c:extLst>
        </c:ser>
        <c:dLbls>
          <c:dLblPos val="outEnd"/>
          <c:showLegendKey val="0"/>
          <c:showVal val="1"/>
          <c:showCatName val="0"/>
          <c:showSerName val="0"/>
          <c:showPercent val="0"/>
          <c:showBubbleSize val="0"/>
        </c:dLbls>
        <c:gapWidth val="182"/>
        <c:axId val="1233874143"/>
        <c:axId val="1233875391"/>
      </c:barChart>
      <c:catAx>
        <c:axId val="1233874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3875391"/>
        <c:crosses val="autoZero"/>
        <c:auto val="1"/>
        <c:lblAlgn val="ctr"/>
        <c:lblOffset val="100"/>
        <c:noMultiLvlLbl val="0"/>
      </c:catAx>
      <c:valAx>
        <c:axId val="123387539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387414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Sheet2!$M$26</c:f>
              <c:strCache>
                <c:ptCount val="1"/>
                <c:pt idx="0">
                  <c:v>Pro‑Forma 2024</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Sheet2!$K$27:$K$29</c:f>
              <c:strCache>
                <c:ptCount val="3"/>
                <c:pt idx="0">
                  <c:v>Operating Cash Flow to Debt</c:v>
                </c:pt>
                <c:pt idx="1">
                  <c:v>Debt Reduction (£ million)</c:v>
                </c:pt>
                <c:pt idx="2">
                  <c:v>Equity Buffer Increase (£ million)</c:v>
                </c:pt>
              </c:strCache>
              <c:extLst/>
            </c:strRef>
          </c:cat>
          <c:val>
            <c:numRef>
              <c:f>Sheet2!$M$27:$M$29</c:f>
              <c:numCache>
                <c:formatCode>#,##0</c:formatCode>
                <c:ptCount val="3"/>
                <c:pt idx="0" formatCode="General">
                  <c:v>0.09</c:v>
                </c:pt>
                <c:pt idx="1">
                  <c:v>10000</c:v>
                </c:pt>
                <c:pt idx="2">
                  <c:v>22966</c:v>
                </c:pt>
              </c:numCache>
            </c:numRef>
          </c:val>
          <c:extLst>
            <c:ext xmlns:c16="http://schemas.microsoft.com/office/drawing/2014/chart" uri="{C3380CC4-5D6E-409C-BE32-E72D297353CC}">
              <c16:uniqueId val="{00000000-CAB0-4E3A-964F-64953EB41872}"/>
            </c:ext>
          </c:extLst>
        </c:ser>
        <c:dLbls>
          <c:dLblPos val="inEnd"/>
          <c:showLegendKey val="0"/>
          <c:showVal val="1"/>
          <c:showCatName val="0"/>
          <c:showSerName val="0"/>
          <c:showPercent val="0"/>
          <c:showBubbleSize val="0"/>
        </c:dLbls>
        <c:gapWidth val="65"/>
        <c:axId val="1287994655"/>
        <c:axId val="1288001727"/>
      </c:barChart>
      <c:catAx>
        <c:axId val="128799465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8001727"/>
        <c:crosses val="autoZero"/>
        <c:auto val="1"/>
        <c:lblAlgn val="ctr"/>
        <c:lblOffset val="100"/>
        <c:noMultiLvlLbl val="0"/>
      </c:catAx>
      <c:valAx>
        <c:axId val="128800172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87994655"/>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F765DB-0837-4EAD-A21D-2B4392DA7AC8}" type="doc">
      <dgm:prSet loTypeId="urn:microsoft.com/office/officeart/2008/layout/VerticalCurvedList" loCatId="list" qsTypeId="urn:microsoft.com/office/officeart/2005/8/quickstyle/simple1" qsCatId="simple" csTypeId="urn:microsoft.com/office/officeart/2005/8/colors/accent0_1" csCatId="mainScheme" phldr="1"/>
      <dgm:spPr/>
      <dgm:t>
        <a:bodyPr/>
        <a:lstStyle/>
        <a:p>
          <a:endParaRPr lang="en-US"/>
        </a:p>
      </dgm:t>
    </dgm:pt>
    <dgm:pt modelId="{B2296AA9-61FB-4D64-B740-58B8D0E9A94E}">
      <dgm:prSet phldrT="[Text]" custT="1"/>
      <dgm:spPr>
        <a:xfrm>
          <a:off x="325142" y="218952"/>
          <a:ext cx="6030151"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US"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 rights issue generating £22,966 million in new equity, representing approximately 15% of 2024 shareholders’ equity.</a:t>
          </a:r>
        </a:p>
      </dgm:t>
    </dgm:pt>
    <dgm:pt modelId="{FFD57042-03B0-4434-81F0-E5948AE94ACF}" type="parTrans" cxnId="{E753F56E-CADA-4067-A09B-2986D9208F47}">
      <dgm:prSet/>
      <dgm:spPr/>
      <dgm:t>
        <a:bodyPr/>
        <a:lstStyle/>
        <a:p>
          <a:pPr algn="ctr"/>
          <a:endParaRPr lang="en-US" sz="2400">
            <a:latin typeface="Arial" panose="020B0604020202020204" pitchFamily="34" charset="0"/>
            <a:cs typeface="Arial" panose="020B0604020202020204" pitchFamily="34" charset="0"/>
          </a:endParaRPr>
        </a:p>
      </dgm:t>
    </dgm:pt>
    <dgm:pt modelId="{5C91959B-6A81-4160-9BCD-3A95851EF3F4}" type="sibTrans" cxnId="{E753F56E-CADA-4067-A09B-2986D9208F47}">
      <dgm:prSet/>
      <dgm:spPr>
        <a:xfrm>
          <a:off x="-3218547" y="-495251"/>
          <a:ext cx="3838478" cy="3838478"/>
        </a:xfrm>
        <a:prstGeom prst="blockArc">
          <a:avLst>
            <a:gd name="adj1" fmla="val 18900000"/>
            <a:gd name="adj2" fmla="val 2700000"/>
            <a:gd name="adj3" fmla="val 563"/>
          </a:avLst>
        </a:prstGeom>
        <a:noFill/>
        <a:ln w="12700" cap="flat" cmpd="sng" algn="ctr">
          <a:solidFill>
            <a:sysClr val="windowText" lastClr="000000">
              <a:shade val="60000"/>
              <a:hueOff val="0"/>
              <a:satOff val="0"/>
              <a:lumOff val="0"/>
              <a:alphaOff val="0"/>
            </a:sysClr>
          </a:solidFill>
          <a:prstDash val="solid"/>
          <a:miter lim="800000"/>
        </a:ln>
        <a:effectLst/>
      </dgm:spPr>
      <dgm:t>
        <a:bodyPr/>
        <a:lstStyle/>
        <a:p>
          <a:pPr algn="ctr"/>
          <a:endParaRPr lang="en-US" sz="2400">
            <a:latin typeface="Arial" panose="020B0604020202020204" pitchFamily="34" charset="0"/>
            <a:cs typeface="Arial" panose="020B0604020202020204" pitchFamily="34" charset="0"/>
          </a:endParaRPr>
        </a:p>
      </dgm:t>
    </dgm:pt>
    <dgm:pt modelId="{7C7667D1-9262-40E3-AECE-041ADAE963E6}">
      <dgm:prSet phldrT="[Text]" custT="1"/>
      <dgm:spPr>
        <a:xfrm>
          <a:off x="576333" y="876264"/>
          <a:ext cx="5778960"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US"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Proceeds of £10,000 million from targeted asset divestments, allocated entirely to debt repayment.</a:t>
          </a:r>
        </a:p>
      </dgm:t>
    </dgm:pt>
    <dgm:pt modelId="{2047DD71-D64C-4560-8D80-7F6F35517E4D}" type="parTrans" cxnId="{11EF6FE2-A1B2-4971-867A-F2C45BED4DCC}">
      <dgm:prSet/>
      <dgm:spPr/>
      <dgm:t>
        <a:bodyPr/>
        <a:lstStyle/>
        <a:p>
          <a:pPr algn="ctr"/>
          <a:endParaRPr lang="en-US" sz="2400">
            <a:latin typeface="Arial" panose="020B0604020202020204" pitchFamily="34" charset="0"/>
            <a:cs typeface="Arial" panose="020B0604020202020204" pitchFamily="34" charset="0"/>
          </a:endParaRPr>
        </a:p>
      </dgm:t>
    </dgm:pt>
    <dgm:pt modelId="{BEE128C4-637A-45E0-BE04-348DEF3BE97D}" type="sibTrans" cxnId="{11EF6FE2-A1B2-4971-867A-F2C45BED4DCC}">
      <dgm:prSet/>
      <dgm:spPr/>
      <dgm:t>
        <a:bodyPr/>
        <a:lstStyle/>
        <a:p>
          <a:pPr algn="ctr"/>
          <a:endParaRPr lang="en-US" sz="2400">
            <a:latin typeface="Arial" panose="020B0604020202020204" pitchFamily="34" charset="0"/>
            <a:cs typeface="Arial" panose="020B0604020202020204" pitchFamily="34" charset="0"/>
          </a:endParaRPr>
        </a:p>
      </dgm:t>
    </dgm:pt>
    <dgm:pt modelId="{66FFD518-3B23-4E23-81AC-7B642912AC98}">
      <dgm:prSet phldrT="[Text]" custT="1"/>
      <dgm:spPr>
        <a:xfrm>
          <a:off x="576333" y="1533577"/>
          <a:ext cx="5778960"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US"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Operating income remains unchanged in the base pro forma scenario to maintain a conservative forecast.</a:t>
          </a:r>
        </a:p>
      </dgm:t>
    </dgm:pt>
    <dgm:pt modelId="{92232A85-8EBE-4875-8D42-21FA3CB4A813}" type="parTrans" cxnId="{5CF1C9F3-B493-4D33-B845-0AF83C9484BB}">
      <dgm:prSet/>
      <dgm:spPr/>
      <dgm:t>
        <a:bodyPr/>
        <a:lstStyle/>
        <a:p>
          <a:pPr algn="ctr"/>
          <a:endParaRPr lang="en-US" sz="2400">
            <a:latin typeface="Arial" panose="020B0604020202020204" pitchFamily="34" charset="0"/>
            <a:cs typeface="Arial" panose="020B0604020202020204" pitchFamily="34" charset="0"/>
          </a:endParaRPr>
        </a:p>
      </dgm:t>
    </dgm:pt>
    <dgm:pt modelId="{E31D9192-4AE6-492C-8061-FDE71B86C99C}" type="sibTrans" cxnId="{5CF1C9F3-B493-4D33-B845-0AF83C9484BB}">
      <dgm:prSet/>
      <dgm:spPr/>
      <dgm:t>
        <a:bodyPr/>
        <a:lstStyle/>
        <a:p>
          <a:pPr algn="ctr"/>
          <a:endParaRPr lang="en-US" sz="2400">
            <a:latin typeface="Arial" panose="020B0604020202020204" pitchFamily="34" charset="0"/>
            <a:cs typeface="Arial" panose="020B0604020202020204" pitchFamily="34" charset="0"/>
          </a:endParaRPr>
        </a:p>
      </dgm:t>
    </dgm:pt>
    <dgm:pt modelId="{7FEA053E-BD42-4016-9BC1-5AFE4849C8FD}">
      <dgm:prSet phldrT="[Text]" custT="1"/>
      <dgm:spPr>
        <a:xfrm>
          <a:off x="325142" y="2190890"/>
          <a:ext cx="6030151"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lgn="ctr">
            <a:buNone/>
          </a:pPr>
          <a:r>
            <a:rPr lang="en-US"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Interest expenses are projected to decrease in line with the reduction in outstanding debt.</a:t>
          </a:r>
        </a:p>
      </dgm:t>
    </dgm:pt>
    <dgm:pt modelId="{E3B0A547-5F5F-4BA8-AF43-35A3A0734B8D}" type="parTrans" cxnId="{89B80379-887F-4E6B-B9C3-3208CA39A476}">
      <dgm:prSet/>
      <dgm:spPr/>
      <dgm:t>
        <a:bodyPr/>
        <a:lstStyle/>
        <a:p>
          <a:pPr algn="ctr"/>
          <a:endParaRPr lang="en-US" sz="2400">
            <a:latin typeface="Arial" panose="020B0604020202020204" pitchFamily="34" charset="0"/>
            <a:cs typeface="Arial" panose="020B0604020202020204" pitchFamily="34" charset="0"/>
          </a:endParaRPr>
        </a:p>
      </dgm:t>
    </dgm:pt>
    <dgm:pt modelId="{205E9422-9E20-4466-92C4-670028E5A4A3}" type="sibTrans" cxnId="{89B80379-887F-4E6B-B9C3-3208CA39A476}">
      <dgm:prSet/>
      <dgm:spPr/>
      <dgm:t>
        <a:bodyPr/>
        <a:lstStyle/>
        <a:p>
          <a:pPr algn="ctr"/>
          <a:endParaRPr lang="en-US" sz="2400">
            <a:latin typeface="Arial" panose="020B0604020202020204" pitchFamily="34" charset="0"/>
            <a:cs typeface="Arial" panose="020B0604020202020204" pitchFamily="34" charset="0"/>
          </a:endParaRPr>
        </a:p>
      </dgm:t>
    </dgm:pt>
    <dgm:pt modelId="{81B983F0-BE9A-4635-A18D-E099642F6CD1}" type="pres">
      <dgm:prSet presAssocID="{4EF765DB-0837-4EAD-A21D-2B4392DA7AC8}" presName="Name0" presStyleCnt="0">
        <dgm:presLayoutVars>
          <dgm:chMax val="7"/>
          <dgm:chPref val="7"/>
          <dgm:dir/>
        </dgm:presLayoutVars>
      </dgm:prSet>
      <dgm:spPr/>
    </dgm:pt>
    <dgm:pt modelId="{A757BEDF-6F8F-49B1-8F87-CE0316F7A030}" type="pres">
      <dgm:prSet presAssocID="{4EF765DB-0837-4EAD-A21D-2B4392DA7AC8}" presName="Name1" presStyleCnt="0"/>
      <dgm:spPr/>
    </dgm:pt>
    <dgm:pt modelId="{71548B9B-AC68-4A21-9843-E5D2428E5643}" type="pres">
      <dgm:prSet presAssocID="{4EF765DB-0837-4EAD-A21D-2B4392DA7AC8}" presName="cycle" presStyleCnt="0"/>
      <dgm:spPr/>
    </dgm:pt>
    <dgm:pt modelId="{3FC4E199-BE83-4860-A4BF-7A4A96B16A49}" type="pres">
      <dgm:prSet presAssocID="{4EF765DB-0837-4EAD-A21D-2B4392DA7AC8}" presName="srcNode" presStyleLbl="node1" presStyleIdx="0" presStyleCnt="4"/>
      <dgm:spPr/>
    </dgm:pt>
    <dgm:pt modelId="{EA801C04-4FAD-4D96-831C-1617159AEB58}" type="pres">
      <dgm:prSet presAssocID="{4EF765DB-0837-4EAD-A21D-2B4392DA7AC8}" presName="conn" presStyleLbl="parChTrans1D2" presStyleIdx="0" presStyleCnt="1"/>
      <dgm:spPr/>
    </dgm:pt>
    <dgm:pt modelId="{0CC6C3CC-B56E-45ED-BD7C-574F936C61C7}" type="pres">
      <dgm:prSet presAssocID="{4EF765DB-0837-4EAD-A21D-2B4392DA7AC8}" presName="extraNode" presStyleLbl="node1" presStyleIdx="0" presStyleCnt="4"/>
      <dgm:spPr/>
    </dgm:pt>
    <dgm:pt modelId="{BB6D3024-A3F6-4BBE-B72E-9BA6AB388C9D}" type="pres">
      <dgm:prSet presAssocID="{4EF765DB-0837-4EAD-A21D-2B4392DA7AC8}" presName="dstNode" presStyleLbl="node1" presStyleIdx="0" presStyleCnt="4"/>
      <dgm:spPr/>
    </dgm:pt>
    <dgm:pt modelId="{BD0818E2-D65A-42EB-9356-3159722A4024}" type="pres">
      <dgm:prSet presAssocID="{B2296AA9-61FB-4D64-B740-58B8D0E9A94E}" presName="text_1" presStyleLbl="node1" presStyleIdx="0" presStyleCnt="4">
        <dgm:presLayoutVars>
          <dgm:bulletEnabled val="1"/>
        </dgm:presLayoutVars>
      </dgm:prSet>
      <dgm:spPr/>
    </dgm:pt>
    <dgm:pt modelId="{C82F344E-8C1E-4B90-B3BB-20665A7210BD}" type="pres">
      <dgm:prSet presAssocID="{B2296AA9-61FB-4D64-B740-58B8D0E9A94E}" presName="accent_1" presStyleCnt="0"/>
      <dgm:spPr/>
    </dgm:pt>
    <dgm:pt modelId="{1E1DF998-DF0A-4F90-9C42-F4E911A6F531}" type="pres">
      <dgm:prSet presAssocID="{B2296AA9-61FB-4D64-B740-58B8D0E9A94E}" presName="accentRepeatNode" presStyleLbl="solidFgAcc1" presStyleIdx="0" presStyleCnt="4"/>
      <dgm:spPr>
        <a:xfrm>
          <a:off x="51309" y="164185"/>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gm:spPr>
    </dgm:pt>
    <dgm:pt modelId="{18098554-1CFE-4907-99B0-6162E8E8FAEF}" type="pres">
      <dgm:prSet presAssocID="{7C7667D1-9262-40E3-AECE-041ADAE963E6}" presName="text_2" presStyleLbl="node1" presStyleIdx="1" presStyleCnt="4">
        <dgm:presLayoutVars>
          <dgm:bulletEnabled val="1"/>
        </dgm:presLayoutVars>
      </dgm:prSet>
      <dgm:spPr/>
    </dgm:pt>
    <dgm:pt modelId="{86CCDC54-126C-4A18-B977-6A74391D3D6C}" type="pres">
      <dgm:prSet presAssocID="{7C7667D1-9262-40E3-AECE-041ADAE963E6}" presName="accent_2" presStyleCnt="0"/>
      <dgm:spPr/>
    </dgm:pt>
    <dgm:pt modelId="{68665034-DDBF-4387-925D-8E74B032576C}" type="pres">
      <dgm:prSet presAssocID="{7C7667D1-9262-40E3-AECE-041ADAE963E6}" presName="accentRepeatNode" presStyleLbl="solidFgAcc1" presStyleIdx="1" presStyleCnt="4"/>
      <dgm:spPr>
        <a:xfrm>
          <a:off x="302501" y="821498"/>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gm:spPr>
    </dgm:pt>
    <dgm:pt modelId="{A9DFB9E4-F5B0-4B3C-8AB1-C721175469B8}" type="pres">
      <dgm:prSet presAssocID="{66FFD518-3B23-4E23-81AC-7B642912AC98}" presName="text_3" presStyleLbl="node1" presStyleIdx="2" presStyleCnt="4">
        <dgm:presLayoutVars>
          <dgm:bulletEnabled val="1"/>
        </dgm:presLayoutVars>
      </dgm:prSet>
      <dgm:spPr/>
    </dgm:pt>
    <dgm:pt modelId="{0E9A2D26-572E-497F-A841-19088DA078F6}" type="pres">
      <dgm:prSet presAssocID="{66FFD518-3B23-4E23-81AC-7B642912AC98}" presName="accent_3" presStyleCnt="0"/>
      <dgm:spPr/>
    </dgm:pt>
    <dgm:pt modelId="{590ED7B2-E119-40EF-93FE-3FC24AFF7BF3}" type="pres">
      <dgm:prSet presAssocID="{66FFD518-3B23-4E23-81AC-7B642912AC98}" presName="accentRepeatNode" presStyleLbl="solidFgAcc1" presStyleIdx="2" presStyleCnt="4"/>
      <dgm:spPr>
        <a:xfrm>
          <a:off x="302501" y="1478811"/>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gm:spPr>
    </dgm:pt>
    <dgm:pt modelId="{B47FD511-25FD-4505-A2E5-BB5A75031F18}" type="pres">
      <dgm:prSet presAssocID="{7FEA053E-BD42-4016-9BC1-5AFE4849C8FD}" presName="text_4" presStyleLbl="node1" presStyleIdx="3" presStyleCnt="4">
        <dgm:presLayoutVars>
          <dgm:bulletEnabled val="1"/>
        </dgm:presLayoutVars>
      </dgm:prSet>
      <dgm:spPr/>
    </dgm:pt>
    <dgm:pt modelId="{9A573079-CBED-4C41-BCCA-9A7674D14188}" type="pres">
      <dgm:prSet presAssocID="{7FEA053E-BD42-4016-9BC1-5AFE4849C8FD}" presName="accent_4" presStyleCnt="0"/>
      <dgm:spPr/>
    </dgm:pt>
    <dgm:pt modelId="{0F13286A-9753-453E-B542-8E7F1960314B}" type="pres">
      <dgm:prSet presAssocID="{7FEA053E-BD42-4016-9BC1-5AFE4849C8FD}" presName="accentRepeatNode" presStyleLbl="solidFgAcc1" presStyleIdx="3" presStyleCnt="4"/>
      <dgm:spPr>
        <a:xfrm>
          <a:off x="51309" y="2136123"/>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gm:spPr>
    </dgm:pt>
  </dgm:ptLst>
  <dgm:cxnLst>
    <dgm:cxn modelId="{46D11400-6213-410E-9DC9-C83F2FCEE68A}" type="presOf" srcId="{7C7667D1-9262-40E3-AECE-041ADAE963E6}" destId="{18098554-1CFE-4907-99B0-6162E8E8FAEF}" srcOrd="0" destOrd="0" presId="urn:microsoft.com/office/officeart/2008/layout/VerticalCurvedList"/>
    <dgm:cxn modelId="{09DCBD02-52D7-4AC9-A9F5-F9663E0F4479}" type="presOf" srcId="{4EF765DB-0837-4EAD-A21D-2B4392DA7AC8}" destId="{81B983F0-BE9A-4635-A18D-E099642F6CD1}" srcOrd="0" destOrd="0" presId="urn:microsoft.com/office/officeart/2008/layout/VerticalCurvedList"/>
    <dgm:cxn modelId="{AA3D7E1F-0FEF-4484-8355-49BC63CC8590}" type="presOf" srcId="{7FEA053E-BD42-4016-9BC1-5AFE4849C8FD}" destId="{B47FD511-25FD-4505-A2E5-BB5A75031F18}" srcOrd="0" destOrd="0" presId="urn:microsoft.com/office/officeart/2008/layout/VerticalCurvedList"/>
    <dgm:cxn modelId="{5871F135-915E-42F3-B012-162731DCB355}" type="presOf" srcId="{B2296AA9-61FB-4D64-B740-58B8D0E9A94E}" destId="{BD0818E2-D65A-42EB-9356-3159722A4024}" srcOrd="0" destOrd="0" presId="urn:microsoft.com/office/officeart/2008/layout/VerticalCurvedList"/>
    <dgm:cxn modelId="{94EB943D-3EDE-4BE8-B6D4-A2B1C1AD5E8B}" type="presOf" srcId="{66FFD518-3B23-4E23-81AC-7B642912AC98}" destId="{A9DFB9E4-F5B0-4B3C-8AB1-C721175469B8}" srcOrd="0" destOrd="0" presId="urn:microsoft.com/office/officeart/2008/layout/VerticalCurvedList"/>
    <dgm:cxn modelId="{E753F56E-CADA-4067-A09B-2986D9208F47}" srcId="{4EF765DB-0837-4EAD-A21D-2B4392DA7AC8}" destId="{B2296AA9-61FB-4D64-B740-58B8D0E9A94E}" srcOrd="0" destOrd="0" parTransId="{FFD57042-03B0-4434-81F0-E5948AE94ACF}" sibTransId="{5C91959B-6A81-4160-9BCD-3A95851EF3F4}"/>
    <dgm:cxn modelId="{89B80379-887F-4E6B-B9C3-3208CA39A476}" srcId="{4EF765DB-0837-4EAD-A21D-2B4392DA7AC8}" destId="{7FEA053E-BD42-4016-9BC1-5AFE4849C8FD}" srcOrd="3" destOrd="0" parTransId="{E3B0A547-5F5F-4BA8-AF43-35A3A0734B8D}" sibTransId="{205E9422-9E20-4466-92C4-670028E5A4A3}"/>
    <dgm:cxn modelId="{91EDE6CA-59DC-46F0-8001-0EE1B1DA00AD}" type="presOf" srcId="{5C91959B-6A81-4160-9BCD-3A95851EF3F4}" destId="{EA801C04-4FAD-4D96-831C-1617159AEB58}" srcOrd="0" destOrd="0" presId="urn:microsoft.com/office/officeart/2008/layout/VerticalCurvedList"/>
    <dgm:cxn modelId="{11EF6FE2-A1B2-4971-867A-F2C45BED4DCC}" srcId="{4EF765DB-0837-4EAD-A21D-2B4392DA7AC8}" destId="{7C7667D1-9262-40E3-AECE-041ADAE963E6}" srcOrd="1" destOrd="0" parTransId="{2047DD71-D64C-4560-8D80-7F6F35517E4D}" sibTransId="{BEE128C4-637A-45E0-BE04-348DEF3BE97D}"/>
    <dgm:cxn modelId="{5CF1C9F3-B493-4D33-B845-0AF83C9484BB}" srcId="{4EF765DB-0837-4EAD-A21D-2B4392DA7AC8}" destId="{66FFD518-3B23-4E23-81AC-7B642912AC98}" srcOrd="2" destOrd="0" parTransId="{92232A85-8EBE-4875-8D42-21FA3CB4A813}" sibTransId="{E31D9192-4AE6-492C-8061-FDE71B86C99C}"/>
    <dgm:cxn modelId="{9BCB73D2-59D4-47C5-98C6-660224F2B5C9}" type="presParOf" srcId="{81B983F0-BE9A-4635-A18D-E099642F6CD1}" destId="{A757BEDF-6F8F-49B1-8F87-CE0316F7A030}" srcOrd="0" destOrd="0" presId="urn:microsoft.com/office/officeart/2008/layout/VerticalCurvedList"/>
    <dgm:cxn modelId="{4860564E-99D1-468C-BB08-0B57F73661B5}" type="presParOf" srcId="{A757BEDF-6F8F-49B1-8F87-CE0316F7A030}" destId="{71548B9B-AC68-4A21-9843-E5D2428E5643}" srcOrd="0" destOrd="0" presId="urn:microsoft.com/office/officeart/2008/layout/VerticalCurvedList"/>
    <dgm:cxn modelId="{92EE043B-2C13-4AB3-B302-513E9E2335A3}" type="presParOf" srcId="{71548B9B-AC68-4A21-9843-E5D2428E5643}" destId="{3FC4E199-BE83-4860-A4BF-7A4A96B16A49}" srcOrd="0" destOrd="0" presId="urn:microsoft.com/office/officeart/2008/layout/VerticalCurvedList"/>
    <dgm:cxn modelId="{F15877C4-4EB2-4806-9E86-00F679738AA6}" type="presParOf" srcId="{71548B9B-AC68-4A21-9843-E5D2428E5643}" destId="{EA801C04-4FAD-4D96-831C-1617159AEB58}" srcOrd="1" destOrd="0" presId="urn:microsoft.com/office/officeart/2008/layout/VerticalCurvedList"/>
    <dgm:cxn modelId="{11DEF5C5-2A93-4A9D-811E-8AA58676AC88}" type="presParOf" srcId="{71548B9B-AC68-4A21-9843-E5D2428E5643}" destId="{0CC6C3CC-B56E-45ED-BD7C-574F936C61C7}" srcOrd="2" destOrd="0" presId="urn:microsoft.com/office/officeart/2008/layout/VerticalCurvedList"/>
    <dgm:cxn modelId="{C683B38B-746F-476D-B272-36499205BB59}" type="presParOf" srcId="{71548B9B-AC68-4A21-9843-E5D2428E5643}" destId="{BB6D3024-A3F6-4BBE-B72E-9BA6AB388C9D}" srcOrd="3" destOrd="0" presId="urn:microsoft.com/office/officeart/2008/layout/VerticalCurvedList"/>
    <dgm:cxn modelId="{E9CFCDF4-1CFB-40EF-845D-C914E02798DB}" type="presParOf" srcId="{A757BEDF-6F8F-49B1-8F87-CE0316F7A030}" destId="{BD0818E2-D65A-42EB-9356-3159722A4024}" srcOrd="1" destOrd="0" presId="urn:microsoft.com/office/officeart/2008/layout/VerticalCurvedList"/>
    <dgm:cxn modelId="{BB17D2C4-BED0-411F-B328-4E18BD2B996E}" type="presParOf" srcId="{A757BEDF-6F8F-49B1-8F87-CE0316F7A030}" destId="{C82F344E-8C1E-4B90-B3BB-20665A7210BD}" srcOrd="2" destOrd="0" presId="urn:microsoft.com/office/officeart/2008/layout/VerticalCurvedList"/>
    <dgm:cxn modelId="{BC4E82A8-44D8-46F4-B6AD-72CDEEE81BC0}" type="presParOf" srcId="{C82F344E-8C1E-4B90-B3BB-20665A7210BD}" destId="{1E1DF998-DF0A-4F90-9C42-F4E911A6F531}" srcOrd="0" destOrd="0" presId="urn:microsoft.com/office/officeart/2008/layout/VerticalCurvedList"/>
    <dgm:cxn modelId="{241D9681-A9CF-426A-A843-1C5E00203F1B}" type="presParOf" srcId="{A757BEDF-6F8F-49B1-8F87-CE0316F7A030}" destId="{18098554-1CFE-4907-99B0-6162E8E8FAEF}" srcOrd="3" destOrd="0" presId="urn:microsoft.com/office/officeart/2008/layout/VerticalCurvedList"/>
    <dgm:cxn modelId="{4F4EF432-297E-4CF7-941A-009A81B78F0A}" type="presParOf" srcId="{A757BEDF-6F8F-49B1-8F87-CE0316F7A030}" destId="{86CCDC54-126C-4A18-B977-6A74391D3D6C}" srcOrd="4" destOrd="0" presId="urn:microsoft.com/office/officeart/2008/layout/VerticalCurvedList"/>
    <dgm:cxn modelId="{134B22A6-2E30-48FE-BE44-155C2415CB7A}" type="presParOf" srcId="{86CCDC54-126C-4A18-B977-6A74391D3D6C}" destId="{68665034-DDBF-4387-925D-8E74B032576C}" srcOrd="0" destOrd="0" presId="urn:microsoft.com/office/officeart/2008/layout/VerticalCurvedList"/>
    <dgm:cxn modelId="{F82AB492-13AF-43B0-BCE5-A6F023225C34}" type="presParOf" srcId="{A757BEDF-6F8F-49B1-8F87-CE0316F7A030}" destId="{A9DFB9E4-F5B0-4B3C-8AB1-C721175469B8}" srcOrd="5" destOrd="0" presId="urn:microsoft.com/office/officeart/2008/layout/VerticalCurvedList"/>
    <dgm:cxn modelId="{F842804E-BC80-43DB-A635-51599CC2C96C}" type="presParOf" srcId="{A757BEDF-6F8F-49B1-8F87-CE0316F7A030}" destId="{0E9A2D26-572E-497F-A841-19088DA078F6}" srcOrd="6" destOrd="0" presId="urn:microsoft.com/office/officeart/2008/layout/VerticalCurvedList"/>
    <dgm:cxn modelId="{225A4E0C-21FC-41E5-8477-1F0AB907BF1B}" type="presParOf" srcId="{0E9A2D26-572E-497F-A841-19088DA078F6}" destId="{590ED7B2-E119-40EF-93FE-3FC24AFF7BF3}" srcOrd="0" destOrd="0" presId="urn:microsoft.com/office/officeart/2008/layout/VerticalCurvedList"/>
    <dgm:cxn modelId="{4AAC5B56-8D73-40CD-B4E0-0EB86789B1B7}" type="presParOf" srcId="{A757BEDF-6F8F-49B1-8F87-CE0316F7A030}" destId="{B47FD511-25FD-4505-A2E5-BB5A75031F18}" srcOrd="7" destOrd="0" presId="urn:microsoft.com/office/officeart/2008/layout/VerticalCurvedList"/>
    <dgm:cxn modelId="{3509B92D-018E-4084-9B62-66C5D30B20B1}" type="presParOf" srcId="{A757BEDF-6F8F-49B1-8F87-CE0316F7A030}" destId="{9A573079-CBED-4C41-BCCA-9A7674D14188}" srcOrd="8" destOrd="0" presId="urn:microsoft.com/office/officeart/2008/layout/VerticalCurvedList"/>
    <dgm:cxn modelId="{2AEB5E14-C2E2-4F56-BEE5-A2162795DE42}" type="presParOf" srcId="{9A573079-CBED-4C41-BCCA-9A7674D14188}" destId="{0F13286A-9753-453E-B542-8E7F1960314B}" srcOrd="0" destOrd="0" presId="urn:microsoft.com/office/officeart/2008/layout/VerticalCurvedList"/>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801C04-4FAD-4D96-831C-1617159AEB58}">
      <dsp:nvSpPr>
        <dsp:cNvPr id="0" name=""/>
        <dsp:cNvSpPr/>
      </dsp:nvSpPr>
      <dsp:spPr>
        <a:xfrm>
          <a:off x="-3218547" y="-495251"/>
          <a:ext cx="3838478" cy="3838478"/>
        </a:xfrm>
        <a:prstGeom prst="blockArc">
          <a:avLst>
            <a:gd name="adj1" fmla="val 18900000"/>
            <a:gd name="adj2" fmla="val 2700000"/>
            <a:gd name="adj3" fmla="val 563"/>
          </a:avLst>
        </a:prstGeom>
        <a:noFill/>
        <a:ln w="12700" cap="flat" cmpd="sng" algn="ctr">
          <a:solidFill>
            <a:sysClr val="windowText" lastClr="000000">
              <a:shade val="6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BD0818E2-D65A-42EB-9356-3159722A4024}">
      <dsp:nvSpPr>
        <dsp:cNvPr id="0" name=""/>
        <dsp:cNvSpPr/>
      </dsp:nvSpPr>
      <dsp:spPr>
        <a:xfrm>
          <a:off x="325142" y="218952"/>
          <a:ext cx="6030151"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7768" tIns="27940" rIns="27940" bIns="27940" numCol="1" spcCol="1270" anchor="ctr" anchorCtr="0">
          <a:noAutofit/>
        </a:bodyPr>
        <a:lstStyle/>
        <a:p>
          <a:pPr marL="0" lvl="0" indent="0" algn="ctr" defTabSz="466725">
            <a:lnSpc>
              <a:spcPct val="90000"/>
            </a:lnSpc>
            <a:spcBef>
              <a:spcPct val="0"/>
            </a:spcBef>
            <a:spcAft>
              <a:spcPct val="35000"/>
            </a:spcAft>
            <a:buNone/>
          </a:pPr>
          <a:r>
            <a:rPr lang="en-US"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 rights issue generating £22,966 million in new equity, representing approximately 15% of 2024 shareholders’ equity.</a:t>
          </a:r>
        </a:p>
      </dsp:txBody>
      <dsp:txXfrm>
        <a:off x="325142" y="218952"/>
        <a:ext cx="6030151" cy="438132"/>
      </dsp:txXfrm>
    </dsp:sp>
    <dsp:sp modelId="{1E1DF998-DF0A-4F90-9C42-F4E911A6F531}">
      <dsp:nvSpPr>
        <dsp:cNvPr id="0" name=""/>
        <dsp:cNvSpPr/>
      </dsp:nvSpPr>
      <dsp:spPr>
        <a:xfrm>
          <a:off x="51309" y="164185"/>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18098554-1CFE-4907-99B0-6162E8E8FAEF}">
      <dsp:nvSpPr>
        <dsp:cNvPr id="0" name=""/>
        <dsp:cNvSpPr/>
      </dsp:nvSpPr>
      <dsp:spPr>
        <a:xfrm>
          <a:off x="576333" y="876264"/>
          <a:ext cx="5778960"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7768" tIns="27940" rIns="27940" bIns="27940" numCol="1" spcCol="1270" anchor="ctr" anchorCtr="0">
          <a:noAutofit/>
        </a:bodyPr>
        <a:lstStyle/>
        <a:p>
          <a:pPr marL="0" lvl="0" indent="0" algn="ctr" defTabSz="466725">
            <a:lnSpc>
              <a:spcPct val="90000"/>
            </a:lnSpc>
            <a:spcBef>
              <a:spcPct val="0"/>
            </a:spcBef>
            <a:spcAft>
              <a:spcPct val="35000"/>
            </a:spcAft>
            <a:buNone/>
          </a:pPr>
          <a:r>
            <a:rPr lang="en-US"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Proceeds of £10,000 million from targeted asset divestments, allocated entirely to debt repayment.</a:t>
          </a:r>
        </a:p>
      </dsp:txBody>
      <dsp:txXfrm>
        <a:off x="576333" y="876264"/>
        <a:ext cx="5778960" cy="438132"/>
      </dsp:txXfrm>
    </dsp:sp>
    <dsp:sp modelId="{68665034-DDBF-4387-925D-8E74B032576C}">
      <dsp:nvSpPr>
        <dsp:cNvPr id="0" name=""/>
        <dsp:cNvSpPr/>
      </dsp:nvSpPr>
      <dsp:spPr>
        <a:xfrm>
          <a:off x="302501" y="821498"/>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A9DFB9E4-F5B0-4B3C-8AB1-C721175469B8}">
      <dsp:nvSpPr>
        <dsp:cNvPr id="0" name=""/>
        <dsp:cNvSpPr/>
      </dsp:nvSpPr>
      <dsp:spPr>
        <a:xfrm>
          <a:off x="576333" y="1533577"/>
          <a:ext cx="5778960"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7768" tIns="27940" rIns="27940" bIns="27940" numCol="1" spcCol="1270" anchor="ctr" anchorCtr="0">
          <a:noAutofit/>
        </a:bodyPr>
        <a:lstStyle/>
        <a:p>
          <a:pPr marL="0" lvl="0" indent="0" algn="ctr" defTabSz="466725">
            <a:lnSpc>
              <a:spcPct val="90000"/>
            </a:lnSpc>
            <a:spcBef>
              <a:spcPct val="0"/>
            </a:spcBef>
            <a:spcAft>
              <a:spcPct val="35000"/>
            </a:spcAft>
            <a:buNone/>
          </a:pPr>
          <a:r>
            <a:rPr lang="en-US"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Operating income remains unchanged in the base pro forma scenario to maintain a conservative forecast.</a:t>
          </a:r>
        </a:p>
      </dsp:txBody>
      <dsp:txXfrm>
        <a:off x="576333" y="1533577"/>
        <a:ext cx="5778960" cy="438132"/>
      </dsp:txXfrm>
    </dsp:sp>
    <dsp:sp modelId="{590ED7B2-E119-40EF-93FE-3FC24AFF7BF3}">
      <dsp:nvSpPr>
        <dsp:cNvPr id="0" name=""/>
        <dsp:cNvSpPr/>
      </dsp:nvSpPr>
      <dsp:spPr>
        <a:xfrm>
          <a:off x="302501" y="1478811"/>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B47FD511-25FD-4505-A2E5-BB5A75031F18}">
      <dsp:nvSpPr>
        <dsp:cNvPr id="0" name=""/>
        <dsp:cNvSpPr/>
      </dsp:nvSpPr>
      <dsp:spPr>
        <a:xfrm>
          <a:off x="325142" y="2190890"/>
          <a:ext cx="6030151" cy="438132"/>
        </a:xfrm>
        <a:prstGeom prst="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7768" tIns="27940" rIns="27940" bIns="27940" numCol="1" spcCol="1270" anchor="ctr" anchorCtr="0">
          <a:noAutofit/>
        </a:bodyPr>
        <a:lstStyle/>
        <a:p>
          <a:pPr marL="0" lvl="0" indent="0" algn="ctr" defTabSz="466725">
            <a:lnSpc>
              <a:spcPct val="90000"/>
            </a:lnSpc>
            <a:spcBef>
              <a:spcPct val="0"/>
            </a:spcBef>
            <a:spcAft>
              <a:spcPct val="35000"/>
            </a:spcAft>
            <a:buNone/>
          </a:pPr>
          <a:r>
            <a:rPr lang="en-US"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Interest expenses are projected to decrease in line with the reduction in outstanding debt.</a:t>
          </a:r>
        </a:p>
      </dsp:txBody>
      <dsp:txXfrm>
        <a:off x="325142" y="2190890"/>
        <a:ext cx="6030151" cy="438132"/>
      </dsp:txXfrm>
    </dsp:sp>
    <dsp:sp modelId="{0F13286A-9753-453E-B542-8E7F1960314B}">
      <dsp:nvSpPr>
        <dsp:cNvPr id="0" name=""/>
        <dsp:cNvSpPr/>
      </dsp:nvSpPr>
      <dsp:spPr>
        <a:xfrm>
          <a:off x="51309" y="2136123"/>
          <a:ext cx="547665" cy="547665"/>
        </a:xfrm>
        <a:prstGeom prst="ellipse">
          <a:avLst/>
        </a:prstGeom>
        <a:solidFill>
          <a:sysClr val="window" lastClr="FFFFFF">
            <a:hueOff val="0"/>
            <a:satOff val="0"/>
            <a:lumOff val="0"/>
            <a:alphaOff val="0"/>
          </a:sysClr>
        </a:solidFill>
        <a:ln w="12700" cap="flat" cmpd="sng" algn="ctr">
          <a:solidFill>
            <a:sysClr val="windowText" lastClr="00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9F708-82FA-4774-A49A-49221D9DA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42</Pages>
  <Words>8817</Words>
  <Characters>50262</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117</cp:revision>
  <dcterms:created xsi:type="dcterms:W3CDTF">2025-12-20T16:02:00Z</dcterms:created>
  <dcterms:modified xsi:type="dcterms:W3CDTF">2025-12-22T01:28:00Z</dcterms:modified>
</cp:coreProperties>
</file>