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0EB7C" w14:textId="77777777" w:rsidR="002545EF" w:rsidRDefault="002545EF" w:rsidP="0034002E">
      <w:pPr>
        <w:jc w:val="center"/>
        <w:rPr>
          <w:rFonts w:ascii="Arial" w:hAnsi="Arial" w:cs="Arial"/>
          <w:b/>
          <w:bCs/>
          <w:sz w:val="40"/>
          <w:szCs w:val="40"/>
        </w:rPr>
      </w:pPr>
    </w:p>
    <w:p w14:paraId="5FF0EFBA" w14:textId="77777777" w:rsidR="002545EF" w:rsidRDefault="002545EF" w:rsidP="0034002E">
      <w:pPr>
        <w:jc w:val="center"/>
        <w:rPr>
          <w:rFonts w:ascii="Arial" w:hAnsi="Arial" w:cs="Arial"/>
          <w:b/>
          <w:bCs/>
          <w:sz w:val="40"/>
          <w:szCs w:val="40"/>
        </w:rPr>
      </w:pPr>
    </w:p>
    <w:p w14:paraId="0A52A5F1" w14:textId="77777777" w:rsidR="002545EF" w:rsidRDefault="002545EF" w:rsidP="0034002E">
      <w:pPr>
        <w:jc w:val="center"/>
        <w:rPr>
          <w:rFonts w:ascii="Arial" w:hAnsi="Arial" w:cs="Arial"/>
          <w:b/>
          <w:bCs/>
          <w:sz w:val="40"/>
          <w:szCs w:val="40"/>
        </w:rPr>
      </w:pPr>
    </w:p>
    <w:p w14:paraId="732B67BB" w14:textId="77777777" w:rsidR="002545EF" w:rsidRDefault="002545EF" w:rsidP="0034002E">
      <w:pPr>
        <w:jc w:val="center"/>
        <w:rPr>
          <w:rFonts w:ascii="Arial" w:hAnsi="Arial" w:cs="Arial"/>
          <w:b/>
          <w:bCs/>
          <w:sz w:val="40"/>
          <w:szCs w:val="40"/>
        </w:rPr>
      </w:pPr>
    </w:p>
    <w:p w14:paraId="6049E57A" w14:textId="77777777" w:rsidR="002545EF" w:rsidRDefault="002545EF" w:rsidP="0034002E">
      <w:pPr>
        <w:jc w:val="center"/>
        <w:rPr>
          <w:rFonts w:ascii="Arial" w:hAnsi="Arial" w:cs="Arial"/>
          <w:b/>
          <w:bCs/>
          <w:sz w:val="40"/>
          <w:szCs w:val="40"/>
        </w:rPr>
      </w:pPr>
    </w:p>
    <w:p w14:paraId="36C37B7B" w14:textId="63376C7D" w:rsidR="002F67DA" w:rsidRDefault="001A605F" w:rsidP="0034002E">
      <w:pPr>
        <w:jc w:val="center"/>
        <w:rPr>
          <w:rFonts w:ascii="Arial" w:hAnsi="Arial" w:cs="Arial"/>
          <w:b/>
          <w:bCs/>
          <w:sz w:val="40"/>
          <w:szCs w:val="40"/>
        </w:rPr>
      </w:pPr>
      <w:r w:rsidRPr="0034002E">
        <w:rPr>
          <w:rFonts w:ascii="Arial" w:hAnsi="Arial" w:cs="Arial"/>
          <w:b/>
          <w:bCs/>
          <w:sz w:val="40"/>
          <w:szCs w:val="40"/>
        </w:rPr>
        <w:t>Principal of</w:t>
      </w:r>
      <w:r w:rsidR="009B7BAE" w:rsidRPr="0034002E">
        <w:rPr>
          <w:rFonts w:ascii="Arial" w:hAnsi="Arial" w:cs="Arial"/>
          <w:b/>
          <w:bCs/>
          <w:sz w:val="40"/>
          <w:szCs w:val="40"/>
        </w:rPr>
        <w:t xml:space="preserve"> Professional </w:t>
      </w:r>
      <w:r w:rsidR="008F2B80" w:rsidRPr="0034002E">
        <w:rPr>
          <w:rFonts w:ascii="Arial" w:hAnsi="Arial" w:cs="Arial"/>
          <w:b/>
          <w:bCs/>
          <w:sz w:val="40"/>
          <w:szCs w:val="40"/>
        </w:rPr>
        <w:t>Le</w:t>
      </w:r>
      <w:r w:rsidR="00475232" w:rsidRPr="0034002E">
        <w:rPr>
          <w:rFonts w:ascii="Arial" w:hAnsi="Arial" w:cs="Arial"/>
          <w:b/>
          <w:bCs/>
          <w:sz w:val="40"/>
          <w:szCs w:val="40"/>
        </w:rPr>
        <w:t xml:space="preserve">gal </w:t>
      </w:r>
      <w:r w:rsidR="009B7BAE" w:rsidRPr="0034002E">
        <w:rPr>
          <w:rFonts w:ascii="Arial" w:hAnsi="Arial" w:cs="Arial"/>
          <w:b/>
          <w:bCs/>
          <w:sz w:val="40"/>
          <w:szCs w:val="40"/>
        </w:rPr>
        <w:t>Practic</w:t>
      </w:r>
      <w:r w:rsidR="0034002E">
        <w:rPr>
          <w:rFonts w:ascii="Arial" w:hAnsi="Arial" w:cs="Arial"/>
          <w:b/>
          <w:bCs/>
          <w:sz w:val="40"/>
          <w:szCs w:val="40"/>
        </w:rPr>
        <w:t xml:space="preserve">e </w:t>
      </w:r>
    </w:p>
    <w:p w14:paraId="191B897D" w14:textId="6D236A59" w:rsidR="0034002E" w:rsidRDefault="0034002E" w:rsidP="0034002E">
      <w:pPr>
        <w:jc w:val="center"/>
        <w:rPr>
          <w:rFonts w:ascii="Arial" w:hAnsi="Arial" w:cs="Arial"/>
          <w:b/>
          <w:bCs/>
          <w:sz w:val="40"/>
          <w:szCs w:val="40"/>
        </w:rPr>
      </w:pPr>
    </w:p>
    <w:p w14:paraId="06227223" w14:textId="77777777" w:rsidR="00915FDD" w:rsidRPr="0034002E" w:rsidRDefault="00915FDD" w:rsidP="0034002E">
      <w:pPr>
        <w:jc w:val="center"/>
        <w:rPr>
          <w:rFonts w:ascii="Arial" w:hAnsi="Arial" w:cs="Arial"/>
          <w:b/>
          <w:bCs/>
          <w:sz w:val="40"/>
          <w:szCs w:val="40"/>
        </w:rPr>
      </w:pPr>
    </w:p>
    <w:p w14:paraId="04DE5403" w14:textId="1319F48C" w:rsidR="009B7BAE" w:rsidRDefault="009B7BAE" w:rsidP="0034002E">
      <w:pPr>
        <w:jc w:val="center"/>
        <w:rPr>
          <w:rFonts w:ascii="Arial" w:hAnsi="Arial" w:cs="Arial"/>
          <w:b/>
          <w:bCs/>
          <w:sz w:val="40"/>
          <w:szCs w:val="40"/>
        </w:rPr>
      </w:pPr>
      <w:r w:rsidRPr="0034002E">
        <w:rPr>
          <w:rFonts w:ascii="Arial" w:hAnsi="Arial" w:cs="Arial"/>
          <w:b/>
          <w:bCs/>
          <w:sz w:val="40"/>
          <w:szCs w:val="40"/>
        </w:rPr>
        <w:t xml:space="preserve">Assignments </w:t>
      </w:r>
      <w:r w:rsidR="008F2B80" w:rsidRPr="0034002E">
        <w:rPr>
          <w:rFonts w:ascii="Arial" w:hAnsi="Arial" w:cs="Arial"/>
          <w:b/>
          <w:bCs/>
          <w:sz w:val="40"/>
          <w:szCs w:val="40"/>
        </w:rPr>
        <w:t>2</w:t>
      </w:r>
    </w:p>
    <w:p w14:paraId="60BA2842" w14:textId="77777777" w:rsidR="0034002E" w:rsidRPr="0034002E" w:rsidRDefault="0034002E" w:rsidP="0034002E">
      <w:pPr>
        <w:jc w:val="center"/>
        <w:rPr>
          <w:rFonts w:ascii="Arial" w:hAnsi="Arial" w:cs="Arial"/>
          <w:b/>
          <w:bCs/>
          <w:sz w:val="40"/>
          <w:szCs w:val="40"/>
        </w:rPr>
      </w:pPr>
    </w:p>
    <w:p w14:paraId="4ACEC1A2" w14:textId="77777777" w:rsidR="0034002E" w:rsidRDefault="0034002E" w:rsidP="0034002E">
      <w:pPr>
        <w:jc w:val="center"/>
        <w:rPr>
          <w:rFonts w:ascii="Arial" w:hAnsi="Arial" w:cs="Arial"/>
          <w:b/>
          <w:bCs/>
          <w:sz w:val="40"/>
          <w:szCs w:val="40"/>
        </w:rPr>
      </w:pPr>
    </w:p>
    <w:p w14:paraId="2E93F20A" w14:textId="1AF2832B" w:rsidR="008F2B80" w:rsidRDefault="008F2B80" w:rsidP="0034002E">
      <w:pPr>
        <w:jc w:val="center"/>
        <w:rPr>
          <w:rFonts w:ascii="Arial" w:hAnsi="Arial" w:cs="Arial"/>
          <w:b/>
          <w:bCs/>
          <w:sz w:val="40"/>
          <w:szCs w:val="40"/>
        </w:rPr>
      </w:pPr>
      <w:r w:rsidRPr="0034002E">
        <w:rPr>
          <w:rFonts w:ascii="Arial" w:hAnsi="Arial" w:cs="Arial"/>
          <w:b/>
          <w:bCs/>
          <w:sz w:val="40"/>
          <w:szCs w:val="40"/>
        </w:rPr>
        <w:t>St</w:t>
      </w:r>
      <w:r w:rsidR="00475232" w:rsidRPr="0034002E">
        <w:rPr>
          <w:rFonts w:ascii="Arial" w:hAnsi="Arial" w:cs="Arial"/>
          <w:b/>
          <w:bCs/>
          <w:sz w:val="40"/>
          <w:szCs w:val="40"/>
        </w:rPr>
        <w:t>udent Name</w:t>
      </w:r>
      <w:r w:rsidR="003C00AE">
        <w:rPr>
          <w:rFonts w:ascii="Arial" w:hAnsi="Arial" w:cs="Arial"/>
          <w:b/>
          <w:bCs/>
          <w:sz w:val="40"/>
          <w:szCs w:val="40"/>
        </w:rPr>
        <w:t>: Carmen Tutu</w:t>
      </w:r>
    </w:p>
    <w:p w14:paraId="02E164A5" w14:textId="77777777" w:rsidR="0034002E" w:rsidRDefault="0034002E" w:rsidP="0034002E">
      <w:pPr>
        <w:jc w:val="center"/>
        <w:rPr>
          <w:rFonts w:ascii="Arial" w:hAnsi="Arial" w:cs="Arial"/>
          <w:b/>
          <w:bCs/>
          <w:sz w:val="40"/>
          <w:szCs w:val="40"/>
        </w:rPr>
      </w:pPr>
    </w:p>
    <w:p w14:paraId="0D7BA599" w14:textId="77777777" w:rsidR="0034002E" w:rsidRDefault="0034002E" w:rsidP="0034002E">
      <w:pPr>
        <w:jc w:val="center"/>
        <w:rPr>
          <w:rFonts w:ascii="Arial" w:hAnsi="Arial" w:cs="Arial"/>
          <w:b/>
          <w:bCs/>
          <w:sz w:val="40"/>
          <w:szCs w:val="40"/>
        </w:rPr>
      </w:pPr>
    </w:p>
    <w:p w14:paraId="3DD43834" w14:textId="77777777" w:rsidR="0034002E" w:rsidRPr="0034002E" w:rsidRDefault="0034002E" w:rsidP="0034002E">
      <w:pPr>
        <w:jc w:val="center"/>
        <w:rPr>
          <w:rFonts w:ascii="Arial" w:hAnsi="Arial" w:cs="Arial"/>
          <w:b/>
          <w:bCs/>
          <w:sz w:val="40"/>
          <w:szCs w:val="40"/>
        </w:rPr>
      </w:pPr>
    </w:p>
    <w:p w14:paraId="598C27A9" w14:textId="148EEBEF" w:rsidR="00475232" w:rsidRPr="0034002E" w:rsidRDefault="00475232" w:rsidP="0034002E">
      <w:pPr>
        <w:jc w:val="center"/>
        <w:rPr>
          <w:rFonts w:ascii="Arial" w:hAnsi="Arial" w:cs="Arial"/>
          <w:b/>
          <w:bCs/>
          <w:sz w:val="40"/>
          <w:szCs w:val="40"/>
        </w:rPr>
      </w:pPr>
      <w:r w:rsidRPr="0034002E">
        <w:rPr>
          <w:rFonts w:ascii="Arial" w:hAnsi="Arial" w:cs="Arial"/>
          <w:b/>
          <w:bCs/>
          <w:sz w:val="40"/>
          <w:szCs w:val="40"/>
        </w:rPr>
        <w:t>Student Number</w:t>
      </w:r>
      <w:r w:rsidR="003C00AE">
        <w:rPr>
          <w:rFonts w:ascii="Arial" w:hAnsi="Arial" w:cs="Arial"/>
          <w:b/>
          <w:bCs/>
          <w:sz w:val="40"/>
          <w:szCs w:val="40"/>
        </w:rPr>
        <w:t>: 2207381</w:t>
      </w:r>
    </w:p>
    <w:p w14:paraId="7459F8EA" w14:textId="77777777" w:rsidR="009B7BAE" w:rsidRPr="00873A2B" w:rsidRDefault="009B7BAE" w:rsidP="002F67DA">
      <w:pPr>
        <w:rPr>
          <w:rFonts w:ascii="Arial" w:hAnsi="Arial" w:cs="Arial"/>
          <w:sz w:val="28"/>
          <w:szCs w:val="28"/>
        </w:rPr>
      </w:pPr>
    </w:p>
    <w:p w14:paraId="03521C96" w14:textId="77777777" w:rsidR="00677AFC" w:rsidRDefault="00677AFC" w:rsidP="002F67DA">
      <w:pPr>
        <w:rPr>
          <w:rFonts w:ascii="Arial" w:hAnsi="Arial" w:cs="Arial"/>
          <w:sz w:val="28"/>
          <w:szCs w:val="28"/>
        </w:rPr>
      </w:pPr>
    </w:p>
    <w:p w14:paraId="4F9CFBD1" w14:textId="77777777" w:rsidR="00677AFC" w:rsidRDefault="00677AFC" w:rsidP="002F67DA">
      <w:pPr>
        <w:rPr>
          <w:rFonts w:ascii="Arial" w:hAnsi="Arial" w:cs="Arial"/>
          <w:sz w:val="28"/>
          <w:szCs w:val="28"/>
        </w:rPr>
      </w:pPr>
    </w:p>
    <w:p w14:paraId="3638BFF8" w14:textId="77777777" w:rsidR="00677AFC" w:rsidRDefault="00677AFC" w:rsidP="002F67DA">
      <w:pPr>
        <w:rPr>
          <w:rFonts w:ascii="Arial" w:hAnsi="Arial" w:cs="Arial"/>
          <w:sz w:val="28"/>
          <w:szCs w:val="28"/>
        </w:rPr>
      </w:pPr>
    </w:p>
    <w:p w14:paraId="5299FE78" w14:textId="77777777" w:rsidR="004C6779" w:rsidRDefault="004C6779" w:rsidP="002F67DA">
      <w:pPr>
        <w:rPr>
          <w:rFonts w:ascii="Arial" w:hAnsi="Arial" w:cs="Arial"/>
          <w:sz w:val="28"/>
          <w:szCs w:val="28"/>
        </w:rPr>
      </w:pPr>
    </w:p>
    <w:p w14:paraId="163DA46C" w14:textId="77777777" w:rsidR="004C6779" w:rsidRDefault="004C6779" w:rsidP="002F67DA">
      <w:pPr>
        <w:rPr>
          <w:rFonts w:ascii="Arial" w:hAnsi="Arial" w:cs="Arial"/>
          <w:sz w:val="28"/>
          <w:szCs w:val="28"/>
        </w:rPr>
      </w:pPr>
    </w:p>
    <w:p w14:paraId="13A8EA69" w14:textId="77777777" w:rsidR="004C6779" w:rsidRDefault="004C6779" w:rsidP="002F67DA">
      <w:pPr>
        <w:rPr>
          <w:rFonts w:ascii="Arial" w:hAnsi="Arial" w:cs="Arial"/>
          <w:sz w:val="28"/>
          <w:szCs w:val="28"/>
        </w:rPr>
      </w:pPr>
    </w:p>
    <w:p w14:paraId="6A684EFF" w14:textId="77777777" w:rsidR="004C6779" w:rsidRDefault="004C6779" w:rsidP="002F67DA">
      <w:pPr>
        <w:rPr>
          <w:rFonts w:ascii="Arial" w:hAnsi="Arial" w:cs="Arial"/>
          <w:sz w:val="28"/>
          <w:szCs w:val="28"/>
        </w:rPr>
      </w:pPr>
    </w:p>
    <w:p w14:paraId="53B78343" w14:textId="77777777" w:rsidR="004C6779" w:rsidRDefault="004C6779" w:rsidP="002F67DA">
      <w:pPr>
        <w:rPr>
          <w:rFonts w:ascii="Arial" w:hAnsi="Arial" w:cs="Arial"/>
          <w:sz w:val="28"/>
          <w:szCs w:val="28"/>
        </w:rPr>
      </w:pPr>
    </w:p>
    <w:p w14:paraId="4ECC8591" w14:textId="77777777" w:rsidR="004C6779" w:rsidRDefault="004C6779" w:rsidP="002F67DA">
      <w:pPr>
        <w:rPr>
          <w:rFonts w:ascii="Arial" w:hAnsi="Arial" w:cs="Arial"/>
          <w:sz w:val="28"/>
          <w:szCs w:val="28"/>
        </w:rPr>
      </w:pPr>
    </w:p>
    <w:p w14:paraId="33A9A561" w14:textId="77777777" w:rsidR="004C6779" w:rsidRDefault="004C6779" w:rsidP="002F67DA">
      <w:pPr>
        <w:rPr>
          <w:rFonts w:ascii="Arial" w:hAnsi="Arial" w:cs="Arial"/>
          <w:sz w:val="28"/>
          <w:szCs w:val="28"/>
        </w:rPr>
      </w:pPr>
    </w:p>
    <w:p w14:paraId="6F031193" w14:textId="77777777" w:rsidR="004C6779" w:rsidRDefault="004C6779" w:rsidP="002F67DA">
      <w:pPr>
        <w:rPr>
          <w:rFonts w:ascii="Arial" w:hAnsi="Arial" w:cs="Arial"/>
          <w:sz w:val="28"/>
          <w:szCs w:val="28"/>
        </w:rPr>
      </w:pPr>
    </w:p>
    <w:p w14:paraId="413CA556" w14:textId="77777777" w:rsidR="004C6779" w:rsidRDefault="004C6779" w:rsidP="002F67DA">
      <w:pPr>
        <w:rPr>
          <w:rFonts w:ascii="Arial" w:hAnsi="Arial" w:cs="Arial"/>
          <w:sz w:val="28"/>
          <w:szCs w:val="28"/>
        </w:rPr>
      </w:pPr>
    </w:p>
    <w:p w14:paraId="615BB0FA" w14:textId="77777777" w:rsidR="004C6779" w:rsidRDefault="004C6779" w:rsidP="002F67DA">
      <w:pPr>
        <w:rPr>
          <w:rFonts w:ascii="Arial" w:hAnsi="Arial" w:cs="Arial"/>
          <w:sz w:val="28"/>
          <w:szCs w:val="28"/>
        </w:rPr>
      </w:pPr>
    </w:p>
    <w:p w14:paraId="68E3A66A" w14:textId="77777777" w:rsidR="004C6779" w:rsidRDefault="004C6779" w:rsidP="002F67DA">
      <w:pPr>
        <w:rPr>
          <w:rFonts w:ascii="Arial" w:hAnsi="Arial" w:cs="Arial"/>
          <w:sz w:val="28"/>
          <w:szCs w:val="28"/>
        </w:rPr>
      </w:pPr>
    </w:p>
    <w:p w14:paraId="01C8C6F6" w14:textId="77777777" w:rsidR="004C6779" w:rsidRDefault="004C6779" w:rsidP="002F67DA">
      <w:pPr>
        <w:rPr>
          <w:rFonts w:ascii="Arial" w:hAnsi="Arial" w:cs="Arial"/>
          <w:sz w:val="28"/>
          <w:szCs w:val="28"/>
        </w:rPr>
      </w:pPr>
    </w:p>
    <w:p w14:paraId="31AAE9CA" w14:textId="77777777" w:rsidR="004C6779" w:rsidRDefault="004C6779" w:rsidP="002F67DA">
      <w:pPr>
        <w:rPr>
          <w:rFonts w:ascii="Arial" w:hAnsi="Arial" w:cs="Arial"/>
          <w:sz w:val="28"/>
          <w:szCs w:val="28"/>
        </w:rPr>
      </w:pPr>
    </w:p>
    <w:p w14:paraId="61E7BEF6" w14:textId="77777777" w:rsidR="004C6779" w:rsidRDefault="004C6779" w:rsidP="002F67DA">
      <w:pPr>
        <w:rPr>
          <w:rFonts w:ascii="Arial" w:hAnsi="Arial" w:cs="Arial"/>
          <w:sz w:val="28"/>
          <w:szCs w:val="28"/>
        </w:rPr>
      </w:pPr>
    </w:p>
    <w:p w14:paraId="1AAB80CD" w14:textId="77777777" w:rsidR="004C6779" w:rsidRDefault="004C6779" w:rsidP="002F67DA">
      <w:pPr>
        <w:rPr>
          <w:rFonts w:ascii="Arial" w:hAnsi="Arial" w:cs="Arial"/>
          <w:sz w:val="28"/>
          <w:szCs w:val="28"/>
        </w:rPr>
      </w:pPr>
    </w:p>
    <w:p w14:paraId="799EDF58" w14:textId="77777777" w:rsidR="004C6779" w:rsidRDefault="004C6779" w:rsidP="002F67DA">
      <w:pPr>
        <w:rPr>
          <w:rFonts w:ascii="Arial" w:hAnsi="Arial" w:cs="Arial"/>
          <w:sz w:val="28"/>
          <w:szCs w:val="28"/>
        </w:rPr>
      </w:pPr>
    </w:p>
    <w:p w14:paraId="7E060886" w14:textId="77777777" w:rsidR="004C6779" w:rsidRDefault="004C6779" w:rsidP="002F67DA">
      <w:pPr>
        <w:rPr>
          <w:rFonts w:ascii="Arial" w:hAnsi="Arial" w:cs="Arial"/>
          <w:sz w:val="28"/>
          <w:szCs w:val="28"/>
        </w:rPr>
      </w:pPr>
    </w:p>
    <w:p w14:paraId="0CB78926" w14:textId="4881FA69" w:rsidR="004A1F68" w:rsidRPr="00873A2B" w:rsidRDefault="002F67DA" w:rsidP="002F67DA">
      <w:pPr>
        <w:rPr>
          <w:rFonts w:ascii="Arial" w:hAnsi="Arial" w:cs="Arial"/>
          <w:sz w:val="28"/>
          <w:szCs w:val="28"/>
        </w:rPr>
      </w:pPr>
      <w:r w:rsidRPr="00873A2B">
        <w:rPr>
          <w:rFonts w:ascii="Arial" w:hAnsi="Arial" w:cs="Arial"/>
          <w:b/>
          <w:bCs/>
          <w:sz w:val="32"/>
          <w:szCs w:val="32"/>
        </w:rPr>
        <w:t>Introduction</w:t>
      </w:r>
      <w:r w:rsidR="009502F1">
        <w:rPr>
          <w:rFonts w:ascii="Arial" w:hAnsi="Arial" w:cs="Arial"/>
          <w:b/>
          <w:bCs/>
          <w:sz w:val="32"/>
          <w:szCs w:val="32"/>
        </w:rPr>
        <w:t>:</w:t>
      </w:r>
    </w:p>
    <w:p w14:paraId="6A6391D0" w14:textId="77777777" w:rsidR="00754E8A" w:rsidRPr="00873A2B" w:rsidRDefault="00754E8A" w:rsidP="002F67DA">
      <w:pPr>
        <w:rPr>
          <w:rFonts w:ascii="Arial" w:hAnsi="Arial" w:cs="Arial"/>
          <w:sz w:val="28"/>
          <w:szCs w:val="28"/>
        </w:rPr>
      </w:pPr>
    </w:p>
    <w:p w14:paraId="2E866806" w14:textId="13B704AB" w:rsidR="002F67DA" w:rsidRPr="00873A2B" w:rsidRDefault="002F67DA" w:rsidP="002F67DA">
      <w:pPr>
        <w:rPr>
          <w:rFonts w:ascii="Arial" w:hAnsi="Arial" w:cs="Arial"/>
          <w:sz w:val="28"/>
          <w:szCs w:val="28"/>
        </w:rPr>
      </w:pPr>
      <w:r w:rsidRPr="00873A2B">
        <w:rPr>
          <w:rFonts w:ascii="Arial" w:hAnsi="Arial" w:cs="Arial"/>
          <w:sz w:val="28"/>
          <w:szCs w:val="28"/>
        </w:rPr>
        <w:t xml:space="preserve">Equal opportunity is a widely </w:t>
      </w:r>
      <w:r w:rsidR="008A33C8" w:rsidRPr="00873A2B">
        <w:rPr>
          <w:rFonts w:ascii="Arial" w:hAnsi="Arial" w:cs="Arial"/>
          <w:sz w:val="28"/>
          <w:szCs w:val="28"/>
        </w:rPr>
        <w:t>recognised</w:t>
      </w:r>
      <w:r w:rsidRPr="00873A2B">
        <w:rPr>
          <w:rFonts w:ascii="Arial" w:hAnsi="Arial" w:cs="Arial"/>
          <w:sz w:val="28"/>
          <w:szCs w:val="28"/>
        </w:rPr>
        <w:t xml:space="preserve"> concept that </w:t>
      </w:r>
      <w:r w:rsidR="008A33C8" w:rsidRPr="00873A2B">
        <w:rPr>
          <w:rFonts w:ascii="Arial" w:hAnsi="Arial" w:cs="Arial"/>
          <w:sz w:val="28"/>
          <w:szCs w:val="28"/>
        </w:rPr>
        <w:t>emphasises</w:t>
      </w:r>
      <w:r w:rsidRPr="00873A2B">
        <w:rPr>
          <w:rFonts w:ascii="Arial" w:hAnsi="Arial" w:cs="Arial"/>
          <w:sz w:val="28"/>
          <w:szCs w:val="28"/>
        </w:rPr>
        <w:t xml:space="preserve"> fairness and nondiscrimination.</w:t>
      </w:r>
      <w:r w:rsidR="00C94BA5" w:rsidRPr="00C94BA5">
        <w:rPr>
          <w:rFonts w:ascii="Arial" w:hAnsi="Arial" w:cs="Arial"/>
          <w:sz w:val="28"/>
          <w:szCs w:val="28"/>
        </w:rPr>
        <w:t xml:space="preserve"> (Grady &amp; Crawford, 2021)</w:t>
      </w:r>
      <w:r w:rsidRPr="00873A2B">
        <w:rPr>
          <w:rFonts w:ascii="Arial" w:hAnsi="Arial" w:cs="Arial"/>
          <w:sz w:val="28"/>
          <w:szCs w:val="28"/>
        </w:rPr>
        <w:t xml:space="preserve"> Within the legal profession, the importance of equality and diversity cannot be overstated. This essay explores the significance of equality and diversity in the legal profession, referencing relevant literature and research.</w:t>
      </w:r>
    </w:p>
    <w:p w14:paraId="4C6B899F" w14:textId="08EA73CD" w:rsidR="008A33C8" w:rsidRPr="00873A2B" w:rsidRDefault="008A33C8" w:rsidP="00853FEC">
      <w:pPr>
        <w:rPr>
          <w:rFonts w:ascii="Arial" w:hAnsi="Arial" w:cs="Arial"/>
          <w:sz w:val="28"/>
          <w:szCs w:val="28"/>
        </w:rPr>
      </w:pPr>
      <w:r w:rsidRPr="00873A2B">
        <w:rPr>
          <w:rFonts w:ascii="Arial" w:hAnsi="Arial" w:cs="Arial"/>
          <w:sz w:val="28"/>
          <w:szCs w:val="28"/>
        </w:rPr>
        <w:t>The main principle behind equal opportunity in legal practices is to ensure fair treatment and non-discrimination for all individuals, regardless of their protected characteristics.</w:t>
      </w:r>
      <w:r w:rsidR="00D13FE7" w:rsidRPr="00D13FE7">
        <w:rPr>
          <w:rFonts w:ascii="Arial" w:hAnsi="Arial" w:cs="Arial"/>
          <w:sz w:val="28"/>
          <w:szCs w:val="28"/>
        </w:rPr>
        <w:t xml:space="preserve"> (Grady &amp; Crawford, 2021)</w:t>
      </w:r>
      <w:r w:rsidRPr="00873A2B">
        <w:rPr>
          <w:rFonts w:ascii="Arial" w:hAnsi="Arial" w:cs="Arial"/>
          <w:sz w:val="28"/>
          <w:szCs w:val="28"/>
        </w:rPr>
        <w:t xml:space="preserve"> It aims to provide an equal chance for individuals to succeed and thrive in the legal profession by eliminating biases and barriers that may hinder their opportunities.</w:t>
      </w:r>
      <w:r w:rsidR="00441399" w:rsidRPr="00873A2B">
        <w:rPr>
          <w:rFonts w:ascii="Arial" w:hAnsi="Arial" w:cs="Arial"/>
          <w:sz w:val="28"/>
          <w:szCs w:val="28"/>
        </w:rPr>
        <w:t xml:space="preserve"> </w:t>
      </w:r>
      <w:r w:rsidR="0041261E" w:rsidRPr="00873A2B">
        <w:rPr>
          <w:rFonts w:ascii="Arial" w:hAnsi="Arial" w:cs="Arial"/>
          <w:sz w:val="28"/>
          <w:szCs w:val="28"/>
        </w:rPr>
        <w:t>To</w:t>
      </w:r>
      <w:r w:rsidR="00441399" w:rsidRPr="00873A2B">
        <w:rPr>
          <w:rFonts w:ascii="Arial" w:hAnsi="Arial" w:cs="Arial"/>
          <w:sz w:val="28"/>
          <w:szCs w:val="28"/>
        </w:rPr>
        <w:t xml:space="preserve"> advance fairness and inclusivity in the legal profession, excellence and diversity are crucial values. Several organisations, including the Solicitors Regulation Authority (SRA) and the Equality Act 2010, govern the legal profession in the United Kingdom (UK).</w:t>
      </w:r>
    </w:p>
    <w:p w14:paraId="093BE680" w14:textId="77777777" w:rsidR="005B06A8" w:rsidRPr="00873A2B" w:rsidRDefault="005B06A8" w:rsidP="002F67DA">
      <w:pPr>
        <w:rPr>
          <w:rFonts w:ascii="Arial" w:hAnsi="Arial" w:cs="Arial"/>
          <w:sz w:val="28"/>
          <w:szCs w:val="28"/>
        </w:rPr>
      </w:pPr>
    </w:p>
    <w:p w14:paraId="53B0DB6D" w14:textId="77777777" w:rsidR="002F67DA" w:rsidRPr="00873A2B" w:rsidRDefault="002F67DA" w:rsidP="00874F08">
      <w:pPr>
        <w:pStyle w:val="ListParagraph"/>
        <w:numPr>
          <w:ilvl w:val="0"/>
          <w:numId w:val="1"/>
        </w:numPr>
        <w:rPr>
          <w:rFonts w:ascii="Arial" w:hAnsi="Arial" w:cs="Arial"/>
          <w:b/>
          <w:bCs/>
          <w:sz w:val="32"/>
          <w:szCs w:val="32"/>
        </w:rPr>
      </w:pPr>
      <w:r w:rsidRPr="00873A2B">
        <w:rPr>
          <w:rFonts w:ascii="Arial" w:hAnsi="Arial" w:cs="Arial"/>
          <w:b/>
          <w:bCs/>
          <w:sz w:val="32"/>
          <w:szCs w:val="32"/>
        </w:rPr>
        <w:t>Defining Equal Opportunity:</w:t>
      </w:r>
    </w:p>
    <w:p w14:paraId="1A136280" w14:textId="77777777" w:rsidR="00A658F3" w:rsidRPr="00873A2B" w:rsidRDefault="00A658F3" w:rsidP="002F67DA">
      <w:pPr>
        <w:rPr>
          <w:rFonts w:ascii="Arial" w:hAnsi="Arial" w:cs="Arial"/>
          <w:b/>
          <w:bCs/>
          <w:sz w:val="32"/>
          <w:szCs w:val="32"/>
        </w:rPr>
      </w:pPr>
    </w:p>
    <w:p w14:paraId="45DF7981" w14:textId="4C04338E" w:rsidR="00A658F3" w:rsidRPr="00873A2B" w:rsidRDefault="002F67DA" w:rsidP="00853FEC">
      <w:pPr>
        <w:rPr>
          <w:rFonts w:ascii="Arial" w:hAnsi="Arial" w:cs="Arial"/>
          <w:sz w:val="28"/>
          <w:szCs w:val="28"/>
        </w:rPr>
      </w:pPr>
      <w:r w:rsidRPr="00873A2B">
        <w:rPr>
          <w:rFonts w:ascii="Arial" w:hAnsi="Arial" w:cs="Arial"/>
          <w:sz w:val="28"/>
          <w:szCs w:val="28"/>
        </w:rPr>
        <w:t>While there is no universal legal definition of equal opportunity, it generally refers to treating individuals and/or groups fairly, without prejudice or discrimination. It entails creating an environment where everyone has an equal chance to succeed</w:t>
      </w:r>
      <w:r w:rsidR="00FA0C6D" w:rsidRPr="00873A2B">
        <w:rPr>
          <w:rFonts w:ascii="Arial" w:hAnsi="Arial" w:cs="Arial"/>
          <w:sz w:val="28"/>
          <w:szCs w:val="28"/>
        </w:rPr>
        <w:t xml:space="preserve"> according to the </w:t>
      </w:r>
      <w:r w:rsidR="00350EB2">
        <w:rPr>
          <w:rFonts w:ascii="Arial" w:hAnsi="Arial" w:cs="Arial"/>
          <w:sz w:val="28"/>
          <w:szCs w:val="28"/>
        </w:rPr>
        <w:t>(</w:t>
      </w:r>
      <w:r w:rsidR="00FA0C6D" w:rsidRPr="00873A2B">
        <w:rPr>
          <w:rFonts w:ascii="Arial" w:hAnsi="Arial" w:cs="Arial"/>
          <w:sz w:val="28"/>
          <w:szCs w:val="28"/>
        </w:rPr>
        <w:t>Equality Act of 2010</w:t>
      </w:r>
      <w:r w:rsidR="00750430">
        <w:rPr>
          <w:rFonts w:ascii="Arial" w:hAnsi="Arial" w:cs="Arial"/>
          <w:sz w:val="28"/>
          <w:szCs w:val="28"/>
        </w:rPr>
        <w:t>)</w:t>
      </w:r>
      <w:r w:rsidRPr="00873A2B">
        <w:rPr>
          <w:rFonts w:ascii="Arial" w:hAnsi="Arial" w:cs="Arial"/>
          <w:sz w:val="28"/>
          <w:szCs w:val="28"/>
        </w:rPr>
        <w:t>, regardless of their protected characteristics such as race, gender, religion, age, disability, etc.</w:t>
      </w:r>
      <w:r w:rsidR="00A658F3" w:rsidRPr="00873A2B">
        <w:rPr>
          <w:rFonts w:ascii="Arial" w:hAnsi="Arial" w:cs="Arial"/>
          <w:sz w:val="28"/>
          <w:szCs w:val="28"/>
        </w:rPr>
        <w:t>Legal practices can promote diversity and inclusivity by implementing various initiatives. These may include diverse recruitment and hiring practices, providing equal opportunities for professional development and advancement, creating mentorship programs for underrepresented individuals, offering diversity training for employees, and fostering an inclusive work environment that values and respects diversity.</w:t>
      </w:r>
    </w:p>
    <w:p w14:paraId="78AC30E6" w14:textId="77777777" w:rsidR="00631C7D" w:rsidRPr="00873A2B" w:rsidRDefault="00A658F3" w:rsidP="00853FEC">
      <w:pPr>
        <w:rPr>
          <w:rFonts w:ascii="Arial" w:hAnsi="Arial" w:cs="Arial"/>
          <w:sz w:val="28"/>
          <w:szCs w:val="28"/>
        </w:rPr>
      </w:pPr>
      <w:r w:rsidRPr="00873A2B">
        <w:rPr>
          <w:rFonts w:ascii="Arial" w:hAnsi="Arial" w:cs="Arial"/>
          <w:sz w:val="28"/>
          <w:szCs w:val="28"/>
        </w:rPr>
        <w:t>Equal opportunity plays a crucial role in ensuring access to justice for marginalised communities. It helps address systemic barriers and biases that disproportionately affect these communities. By actively promoting equal opportunity, legal practices ensure that marginalised individuals have equal access to legal services, representation, and protection, thus contributing to a more equitable and inclusive justice system.</w:t>
      </w:r>
      <w:r w:rsidR="00631C7D" w:rsidRPr="00873A2B">
        <w:rPr>
          <w:rFonts w:ascii="Arial" w:hAnsi="Arial" w:cs="Arial"/>
          <w:sz w:val="28"/>
          <w:szCs w:val="28"/>
        </w:rPr>
        <w:t xml:space="preserve"> (Grady &amp; Crawford, 2021).</w:t>
      </w:r>
    </w:p>
    <w:p w14:paraId="04E1D3A8" w14:textId="44D7960D" w:rsidR="00A658F3" w:rsidRPr="00873A2B" w:rsidRDefault="00A658F3" w:rsidP="00853FEC">
      <w:pPr>
        <w:rPr>
          <w:rFonts w:ascii="Arial" w:hAnsi="Arial" w:cs="Arial"/>
          <w:sz w:val="28"/>
          <w:szCs w:val="28"/>
        </w:rPr>
      </w:pPr>
      <w:r w:rsidRPr="00873A2B">
        <w:rPr>
          <w:rFonts w:ascii="Arial" w:hAnsi="Arial" w:cs="Arial"/>
          <w:sz w:val="28"/>
          <w:szCs w:val="28"/>
        </w:rPr>
        <w:t xml:space="preserve">Legal practices can implement specific policies and practices to promote equal opportunity. These may include establishing diversity and </w:t>
      </w:r>
      <w:r w:rsidRPr="00873A2B">
        <w:rPr>
          <w:rFonts w:ascii="Arial" w:hAnsi="Arial" w:cs="Arial"/>
          <w:sz w:val="28"/>
          <w:szCs w:val="28"/>
        </w:rPr>
        <w:lastRenderedPageBreak/>
        <w:t>inclusion committees, conducting regular assessments of diversity metrics, implementing blind hiring processes, providing diversity training for employees, fostering mentorship and sponsorship programs, and creating affinity groups to support underrepresented individuals.</w:t>
      </w:r>
    </w:p>
    <w:p w14:paraId="66817FDD" w14:textId="77777777" w:rsidR="00A658F3" w:rsidRPr="00873A2B" w:rsidRDefault="00A658F3" w:rsidP="00853FEC">
      <w:pPr>
        <w:rPr>
          <w:rFonts w:ascii="Arial" w:hAnsi="Arial" w:cs="Arial"/>
          <w:sz w:val="28"/>
          <w:szCs w:val="28"/>
        </w:rPr>
      </w:pPr>
    </w:p>
    <w:p w14:paraId="576EF250" w14:textId="77777777" w:rsidR="002F67DA" w:rsidRPr="00873A2B" w:rsidRDefault="002F67DA" w:rsidP="002F67DA">
      <w:pPr>
        <w:rPr>
          <w:rFonts w:ascii="Arial" w:hAnsi="Arial" w:cs="Arial"/>
          <w:sz w:val="28"/>
          <w:szCs w:val="28"/>
        </w:rPr>
      </w:pPr>
    </w:p>
    <w:p w14:paraId="5652D5A8" w14:textId="77777777" w:rsidR="002F67DA" w:rsidRPr="00873A2B" w:rsidRDefault="002F67DA" w:rsidP="00C42BD8">
      <w:pPr>
        <w:pStyle w:val="ListParagraph"/>
        <w:numPr>
          <w:ilvl w:val="0"/>
          <w:numId w:val="1"/>
        </w:numPr>
        <w:rPr>
          <w:rFonts w:ascii="Arial" w:hAnsi="Arial" w:cs="Arial"/>
          <w:b/>
          <w:bCs/>
          <w:sz w:val="32"/>
          <w:szCs w:val="32"/>
        </w:rPr>
      </w:pPr>
      <w:r w:rsidRPr="00873A2B">
        <w:rPr>
          <w:rFonts w:ascii="Arial" w:hAnsi="Arial" w:cs="Arial"/>
          <w:b/>
          <w:bCs/>
          <w:sz w:val="32"/>
          <w:szCs w:val="32"/>
        </w:rPr>
        <w:t>Upholding Justice and Fairness:</w:t>
      </w:r>
    </w:p>
    <w:p w14:paraId="5352391E" w14:textId="77777777" w:rsidR="008761ED" w:rsidRPr="00873A2B" w:rsidRDefault="008761ED" w:rsidP="002F67DA">
      <w:pPr>
        <w:rPr>
          <w:rFonts w:ascii="Arial" w:hAnsi="Arial" w:cs="Arial"/>
          <w:b/>
          <w:bCs/>
          <w:sz w:val="32"/>
          <w:szCs w:val="32"/>
        </w:rPr>
      </w:pPr>
    </w:p>
    <w:p w14:paraId="42DB6BC4" w14:textId="77777777" w:rsidR="002F67DA" w:rsidRPr="00873A2B" w:rsidRDefault="002F67DA" w:rsidP="002F67DA">
      <w:pPr>
        <w:rPr>
          <w:rFonts w:ascii="Arial" w:hAnsi="Arial" w:cs="Arial"/>
          <w:sz w:val="28"/>
          <w:szCs w:val="28"/>
        </w:rPr>
      </w:pPr>
      <w:r w:rsidRPr="00873A2B">
        <w:rPr>
          <w:rFonts w:ascii="Arial" w:hAnsi="Arial" w:cs="Arial"/>
          <w:sz w:val="28"/>
          <w:szCs w:val="28"/>
        </w:rPr>
        <w:t>The legal profession plays a critical role in upholding justice and fairness in society. By embracing equality and diversity, it ensures that legal practitioners reflect the diversity of the communities they serve. This enhances their ability to understand and address the unique needs and concerns of individuals from different backgrounds, resulting in fairer outcomes for all (O'Dea, 2020).</w:t>
      </w:r>
    </w:p>
    <w:p w14:paraId="5F86BE95" w14:textId="77777777" w:rsidR="00874F08" w:rsidRPr="00873A2B" w:rsidRDefault="00874F08" w:rsidP="002F67DA">
      <w:pPr>
        <w:rPr>
          <w:rFonts w:ascii="Arial" w:hAnsi="Arial" w:cs="Arial"/>
          <w:b/>
          <w:bCs/>
          <w:sz w:val="32"/>
          <w:szCs w:val="32"/>
        </w:rPr>
      </w:pPr>
    </w:p>
    <w:p w14:paraId="76C220F5" w14:textId="350A19A6" w:rsidR="002F67DA" w:rsidRPr="00873A2B" w:rsidRDefault="002F67DA" w:rsidP="00C42BD8">
      <w:pPr>
        <w:pStyle w:val="ListParagraph"/>
        <w:numPr>
          <w:ilvl w:val="0"/>
          <w:numId w:val="1"/>
        </w:numPr>
        <w:rPr>
          <w:rFonts w:ascii="Arial" w:hAnsi="Arial" w:cs="Arial"/>
          <w:sz w:val="28"/>
          <w:szCs w:val="28"/>
        </w:rPr>
      </w:pPr>
      <w:r w:rsidRPr="00873A2B">
        <w:rPr>
          <w:rFonts w:ascii="Arial" w:hAnsi="Arial" w:cs="Arial"/>
          <w:b/>
          <w:bCs/>
          <w:sz w:val="32"/>
          <w:szCs w:val="32"/>
        </w:rPr>
        <w:t>Eliminating Discrimination</w:t>
      </w:r>
      <w:r w:rsidRPr="00873A2B">
        <w:rPr>
          <w:rFonts w:ascii="Arial" w:hAnsi="Arial" w:cs="Arial"/>
          <w:sz w:val="28"/>
          <w:szCs w:val="28"/>
        </w:rPr>
        <w:t>:</w:t>
      </w:r>
    </w:p>
    <w:p w14:paraId="2D3D79E6" w14:textId="77777777" w:rsidR="008761ED" w:rsidRPr="00873A2B" w:rsidRDefault="008761ED" w:rsidP="002F67DA">
      <w:pPr>
        <w:rPr>
          <w:rFonts w:ascii="Arial" w:hAnsi="Arial" w:cs="Arial"/>
          <w:sz w:val="28"/>
          <w:szCs w:val="28"/>
        </w:rPr>
      </w:pPr>
    </w:p>
    <w:p w14:paraId="10774048" w14:textId="77777777" w:rsidR="002F67DA" w:rsidRPr="00873A2B" w:rsidRDefault="002F67DA" w:rsidP="002F67DA">
      <w:pPr>
        <w:rPr>
          <w:rFonts w:ascii="Arial" w:hAnsi="Arial" w:cs="Arial"/>
          <w:sz w:val="28"/>
          <w:szCs w:val="28"/>
        </w:rPr>
      </w:pPr>
      <w:r w:rsidRPr="00873A2B">
        <w:rPr>
          <w:rFonts w:ascii="Arial" w:hAnsi="Arial" w:cs="Arial"/>
          <w:sz w:val="28"/>
          <w:szCs w:val="28"/>
        </w:rPr>
        <w:t>A diverse legal profession helps combat discriminatory practices within the justice system. When legal professionals come from various backgrounds, they bring different perspectives and experiences to the table. This diversity promotes a nuanced understanding of systemic biases and facilitates the development of legal frameworks that protect against discrimination (Alderson &amp; Darrow, 2019).</w:t>
      </w:r>
    </w:p>
    <w:p w14:paraId="6CE8AFAD" w14:textId="77777777" w:rsidR="00A958B1" w:rsidRPr="00873A2B" w:rsidRDefault="00A958B1" w:rsidP="00853FEC">
      <w:pPr>
        <w:rPr>
          <w:rFonts w:ascii="Arial" w:hAnsi="Arial" w:cs="Arial"/>
          <w:sz w:val="28"/>
          <w:szCs w:val="28"/>
        </w:rPr>
      </w:pPr>
      <w:r w:rsidRPr="00873A2B">
        <w:rPr>
          <w:rFonts w:ascii="Arial" w:hAnsi="Arial" w:cs="Arial"/>
          <w:sz w:val="28"/>
          <w:szCs w:val="28"/>
        </w:rPr>
        <w:t>Equal opportunity in legal practices contributes to a fair and just society by upholding principles of justice, fairness, and equality under the law. It ensures that individuals have equal access to legal services, representation, and protection, regardless of their background or social identity. By eliminating discrimination and promoting inclusivity, equal opportunity fosters trust and confidence in the legal system, thereby promoting social cohesion.</w:t>
      </w:r>
    </w:p>
    <w:p w14:paraId="0F5C8F0D" w14:textId="77777777" w:rsidR="00A958B1" w:rsidRPr="00873A2B" w:rsidRDefault="00A958B1" w:rsidP="002F67DA">
      <w:pPr>
        <w:rPr>
          <w:rFonts w:ascii="Arial" w:hAnsi="Arial" w:cs="Arial"/>
          <w:sz w:val="28"/>
          <w:szCs w:val="28"/>
        </w:rPr>
      </w:pPr>
    </w:p>
    <w:p w14:paraId="49E9C593" w14:textId="77777777" w:rsidR="002F67DA" w:rsidRPr="00873A2B" w:rsidRDefault="002F67DA" w:rsidP="00C42BD8">
      <w:pPr>
        <w:pStyle w:val="ListParagraph"/>
        <w:numPr>
          <w:ilvl w:val="0"/>
          <w:numId w:val="1"/>
        </w:numPr>
        <w:rPr>
          <w:rFonts w:ascii="Arial" w:hAnsi="Arial" w:cs="Arial"/>
          <w:b/>
          <w:bCs/>
          <w:sz w:val="32"/>
          <w:szCs w:val="32"/>
        </w:rPr>
      </w:pPr>
      <w:r w:rsidRPr="00873A2B">
        <w:rPr>
          <w:rFonts w:ascii="Arial" w:hAnsi="Arial" w:cs="Arial"/>
          <w:b/>
          <w:bCs/>
          <w:sz w:val="32"/>
          <w:szCs w:val="32"/>
        </w:rPr>
        <w:t>Fostering Access to Justice:</w:t>
      </w:r>
    </w:p>
    <w:p w14:paraId="65491F8D" w14:textId="77777777" w:rsidR="00047B99" w:rsidRPr="00873A2B" w:rsidRDefault="00047B99" w:rsidP="00047B99">
      <w:pPr>
        <w:rPr>
          <w:rFonts w:ascii="Arial" w:hAnsi="Arial" w:cs="Arial"/>
          <w:b/>
          <w:bCs/>
          <w:sz w:val="32"/>
          <w:szCs w:val="32"/>
        </w:rPr>
      </w:pPr>
    </w:p>
    <w:p w14:paraId="48FA5A1B" w14:textId="05224AFC" w:rsidR="009D43E3" w:rsidRPr="00873A2B" w:rsidRDefault="00047B99" w:rsidP="002F67DA">
      <w:pPr>
        <w:rPr>
          <w:rFonts w:ascii="Arial" w:hAnsi="Arial" w:cs="Arial"/>
          <w:b/>
          <w:bCs/>
          <w:sz w:val="32"/>
          <w:szCs w:val="32"/>
        </w:rPr>
      </w:pPr>
      <w:r w:rsidRPr="00873A2B">
        <w:rPr>
          <w:rFonts w:ascii="Arial" w:hAnsi="Arial" w:cs="Arial"/>
          <w:sz w:val="32"/>
          <w:szCs w:val="32"/>
        </w:rPr>
        <w:t xml:space="preserve">The legal profession must reflect the diversity of the society it serves, which is essential for fostering trust and confidence in the legal system </w:t>
      </w:r>
      <w:r w:rsidR="00A85975" w:rsidRPr="00873A2B">
        <w:rPr>
          <w:rFonts w:ascii="Arial" w:hAnsi="Arial" w:cs="Arial"/>
          <w:sz w:val="32"/>
          <w:szCs w:val="32"/>
        </w:rPr>
        <w:t>(</w:t>
      </w:r>
      <w:r w:rsidRPr="00873A2B">
        <w:rPr>
          <w:rFonts w:ascii="Arial" w:hAnsi="Arial" w:cs="Arial"/>
          <w:sz w:val="32"/>
          <w:szCs w:val="32"/>
        </w:rPr>
        <w:t>Klein &amp; Moody, 2019</w:t>
      </w:r>
      <w:r w:rsidRPr="00873A2B">
        <w:rPr>
          <w:rFonts w:ascii="Arial" w:hAnsi="Arial" w:cs="Arial"/>
          <w:b/>
          <w:bCs/>
          <w:sz w:val="32"/>
          <w:szCs w:val="32"/>
        </w:rPr>
        <w:t>)</w:t>
      </w:r>
    </w:p>
    <w:p w14:paraId="0E022264" w14:textId="0C792CE6" w:rsidR="006F14E1" w:rsidRPr="00873A2B" w:rsidRDefault="002F67DA" w:rsidP="00853FEC">
      <w:pPr>
        <w:rPr>
          <w:rFonts w:ascii="Arial" w:hAnsi="Arial" w:cs="Arial"/>
          <w:sz w:val="28"/>
          <w:szCs w:val="28"/>
        </w:rPr>
      </w:pPr>
      <w:r w:rsidRPr="00873A2B">
        <w:rPr>
          <w:rFonts w:ascii="Arial" w:hAnsi="Arial" w:cs="Arial"/>
          <w:sz w:val="28"/>
          <w:szCs w:val="28"/>
        </w:rPr>
        <w:t xml:space="preserve">Equality and diversity within the legal profession are crucial for fostering access to justice. When individuals seeking legal assistance can relate to and trust their legal representatives, they are more likely to seek help when facing discrimination or injustice. This promotes inclusivity, ensuring that </w:t>
      </w:r>
      <w:r w:rsidR="009D5E2A" w:rsidRPr="00873A2B">
        <w:rPr>
          <w:rFonts w:ascii="Arial" w:hAnsi="Arial" w:cs="Arial"/>
          <w:sz w:val="28"/>
          <w:szCs w:val="28"/>
        </w:rPr>
        <w:t>marginalised</w:t>
      </w:r>
      <w:r w:rsidRPr="00873A2B">
        <w:rPr>
          <w:rFonts w:ascii="Arial" w:hAnsi="Arial" w:cs="Arial"/>
          <w:sz w:val="28"/>
          <w:szCs w:val="28"/>
        </w:rPr>
        <w:t xml:space="preserve"> communities have equal access to legal services and protection under the law (Mohammed, 2017).</w:t>
      </w:r>
    </w:p>
    <w:p w14:paraId="21BAF104" w14:textId="536484CD" w:rsidR="006F14E1" w:rsidRPr="00873A2B" w:rsidRDefault="006519AD" w:rsidP="00853FEC">
      <w:pPr>
        <w:rPr>
          <w:rFonts w:ascii="Arial" w:hAnsi="Arial" w:cs="Arial"/>
          <w:sz w:val="28"/>
          <w:szCs w:val="28"/>
        </w:rPr>
      </w:pPr>
      <w:r w:rsidRPr="00873A2B">
        <w:rPr>
          <w:rFonts w:ascii="Arial" w:hAnsi="Arial" w:cs="Arial"/>
          <w:sz w:val="28"/>
          <w:szCs w:val="28"/>
        </w:rPr>
        <w:lastRenderedPageBreak/>
        <w:t xml:space="preserve">Equal opportunity plays a crucial role in ensuring access to justice for marginalised communities. By actively promoting equal opportunity, legal practices help to address systemic barriers and biases that can disproportionately affect marginalised groups. It enables individuals from diverse backgrounds to have equal access to legal services, representation, and protection, thereby ensuring a more equitable and inclusive justice </w:t>
      </w:r>
    </w:p>
    <w:p w14:paraId="30AB9A2B" w14:textId="77777777" w:rsidR="002F71C6" w:rsidRPr="00873A2B" w:rsidRDefault="002F71C6" w:rsidP="00853FEC">
      <w:pPr>
        <w:rPr>
          <w:rFonts w:ascii="Arial" w:hAnsi="Arial" w:cs="Arial"/>
          <w:sz w:val="28"/>
          <w:szCs w:val="28"/>
        </w:rPr>
      </w:pPr>
    </w:p>
    <w:p w14:paraId="42463926" w14:textId="77777777" w:rsidR="002F71C6" w:rsidRPr="00873A2B" w:rsidRDefault="002F71C6" w:rsidP="000A45A3">
      <w:pPr>
        <w:pStyle w:val="ListParagraph"/>
        <w:numPr>
          <w:ilvl w:val="0"/>
          <w:numId w:val="1"/>
        </w:numPr>
        <w:rPr>
          <w:rFonts w:ascii="Arial" w:hAnsi="Arial" w:cs="Arial"/>
          <w:sz w:val="28"/>
          <w:szCs w:val="28"/>
        </w:rPr>
      </w:pPr>
      <w:r w:rsidRPr="00873A2B">
        <w:rPr>
          <w:rFonts w:ascii="Arial" w:hAnsi="Arial" w:cs="Arial"/>
          <w:b/>
          <w:bCs/>
          <w:sz w:val="32"/>
          <w:szCs w:val="32"/>
        </w:rPr>
        <w:t>Promoting Diversity and Inclusivity within Legal Practices</w:t>
      </w:r>
      <w:r w:rsidRPr="00873A2B">
        <w:rPr>
          <w:rFonts w:ascii="Arial" w:hAnsi="Arial" w:cs="Arial"/>
          <w:sz w:val="28"/>
          <w:szCs w:val="28"/>
        </w:rPr>
        <w:t>:</w:t>
      </w:r>
    </w:p>
    <w:p w14:paraId="77695B62" w14:textId="77777777" w:rsidR="007C449F" w:rsidRPr="00873A2B" w:rsidRDefault="007C449F" w:rsidP="00853FEC">
      <w:pPr>
        <w:rPr>
          <w:rFonts w:ascii="Arial" w:hAnsi="Arial" w:cs="Arial"/>
          <w:sz w:val="28"/>
          <w:szCs w:val="28"/>
        </w:rPr>
      </w:pPr>
    </w:p>
    <w:p w14:paraId="1B0B4C26" w14:textId="77777777" w:rsidR="002F71C6" w:rsidRPr="00873A2B" w:rsidRDefault="002F71C6" w:rsidP="00853FEC">
      <w:pPr>
        <w:rPr>
          <w:rFonts w:ascii="Arial" w:hAnsi="Arial" w:cs="Arial"/>
          <w:sz w:val="28"/>
          <w:szCs w:val="28"/>
        </w:rPr>
      </w:pPr>
      <w:r w:rsidRPr="00873A2B">
        <w:rPr>
          <w:rFonts w:ascii="Arial" w:hAnsi="Arial" w:cs="Arial"/>
          <w:sz w:val="28"/>
          <w:szCs w:val="28"/>
        </w:rPr>
        <w:t>Legal practices can promote diversity and inclusivity by implementing policies and practices that embrace a broad range of backgrounds, experiences, and perspectives. This may include diverse recruitment and hiring practices, mentoring programs, training on unconscious bias, and creating a supportive and inclusive work environment that values and respects diversity.</w:t>
      </w:r>
    </w:p>
    <w:p w14:paraId="00BD7A97" w14:textId="77777777" w:rsidR="002F71C6" w:rsidRPr="00873A2B" w:rsidRDefault="002F71C6" w:rsidP="002F67DA">
      <w:pPr>
        <w:rPr>
          <w:rFonts w:ascii="Arial" w:hAnsi="Arial" w:cs="Arial"/>
          <w:sz w:val="28"/>
          <w:szCs w:val="28"/>
        </w:rPr>
      </w:pPr>
    </w:p>
    <w:p w14:paraId="2D5BFFDA" w14:textId="77777777" w:rsidR="008761ED" w:rsidRPr="00873A2B" w:rsidRDefault="008761ED" w:rsidP="002F67DA">
      <w:pPr>
        <w:rPr>
          <w:rFonts w:ascii="Arial" w:hAnsi="Arial" w:cs="Arial"/>
          <w:sz w:val="28"/>
          <w:szCs w:val="28"/>
        </w:rPr>
      </w:pPr>
    </w:p>
    <w:p w14:paraId="7DBA3278" w14:textId="58C39BE3" w:rsidR="00112B05" w:rsidRPr="00873A2B" w:rsidRDefault="002F67DA" w:rsidP="00C42BD8">
      <w:pPr>
        <w:pStyle w:val="ListParagraph"/>
        <w:numPr>
          <w:ilvl w:val="0"/>
          <w:numId w:val="1"/>
        </w:numPr>
        <w:rPr>
          <w:rFonts w:ascii="Arial" w:hAnsi="Arial" w:cs="Arial"/>
          <w:b/>
          <w:bCs/>
          <w:sz w:val="32"/>
          <w:szCs w:val="32"/>
        </w:rPr>
      </w:pPr>
      <w:r w:rsidRPr="00873A2B">
        <w:rPr>
          <w:rFonts w:ascii="Arial" w:hAnsi="Arial" w:cs="Arial"/>
          <w:b/>
          <w:bCs/>
          <w:sz w:val="32"/>
          <w:szCs w:val="32"/>
        </w:rPr>
        <w:t>Enhancing Legal Decision-Making:</w:t>
      </w:r>
    </w:p>
    <w:p w14:paraId="6B2F1EC0" w14:textId="7AA6A281" w:rsidR="00112B05" w:rsidRPr="00873A2B" w:rsidRDefault="00112B05" w:rsidP="00853FEC">
      <w:pPr>
        <w:rPr>
          <w:rFonts w:ascii="Arial" w:hAnsi="Arial" w:cs="Arial"/>
          <w:sz w:val="28"/>
          <w:szCs w:val="28"/>
        </w:rPr>
      </w:pPr>
    </w:p>
    <w:p w14:paraId="2603B542" w14:textId="77777777" w:rsidR="002F67DA" w:rsidRPr="00873A2B" w:rsidRDefault="002F67DA" w:rsidP="002F67DA">
      <w:pPr>
        <w:rPr>
          <w:rFonts w:ascii="Arial" w:hAnsi="Arial" w:cs="Arial"/>
          <w:sz w:val="28"/>
          <w:szCs w:val="28"/>
        </w:rPr>
      </w:pPr>
      <w:r w:rsidRPr="00873A2B">
        <w:rPr>
          <w:rFonts w:ascii="Arial" w:hAnsi="Arial" w:cs="Arial"/>
          <w:sz w:val="28"/>
          <w:szCs w:val="28"/>
        </w:rPr>
        <w:t>Diverse legal teams have been shown to make better-informed decisions. Collaboration among individuals from different backgrounds brings a wide range of perspectives, experiences, and ideas. This diversity of thought helps challenge assumptions and biases, leading to more comprehensive and balanced legal analysis. Consequently, the quality and fairness of legal decisions improve, and a broader range of societal interests are considered (Grady &amp; Crawford, 2021).</w:t>
      </w:r>
    </w:p>
    <w:p w14:paraId="43338FC2" w14:textId="08508C66" w:rsidR="00D42B20" w:rsidRPr="00873A2B" w:rsidRDefault="0033506F" w:rsidP="002F67DA">
      <w:pPr>
        <w:rPr>
          <w:rFonts w:ascii="Arial" w:hAnsi="Arial" w:cs="Arial"/>
          <w:sz w:val="28"/>
          <w:szCs w:val="28"/>
        </w:rPr>
      </w:pPr>
      <w:r w:rsidRPr="00873A2B">
        <w:rPr>
          <w:rFonts w:ascii="Arial" w:hAnsi="Arial" w:cs="Arial"/>
          <w:sz w:val="28"/>
          <w:szCs w:val="28"/>
        </w:rPr>
        <w:t>Legal</w:t>
      </w:r>
      <w:r w:rsidR="00CD7525" w:rsidRPr="00873A2B">
        <w:rPr>
          <w:rFonts w:ascii="Arial" w:hAnsi="Arial" w:cs="Arial"/>
          <w:sz w:val="28"/>
          <w:szCs w:val="28"/>
        </w:rPr>
        <w:t xml:space="preserve"> professionals can uphold the principles of equal opportunity by treating clients and colleagues with fairness, respect, and dignity. This involves being attentive to individual needs, providing culturally sensitive and inclusive services, actively listening to diverse perspectives, and creating a supportive and inclusive workplace environment that values diversity and promotes equal treatment</w:t>
      </w:r>
      <w:r w:rsidR="00F702B0" w:rsidRPr="00873A2B">
        <w:rPr>
          <w:rFonts w:ascii="Arial" w:hAnsi="Arial" w:cs="Arial"/>
          <w:sz w:val="28"/>
          <w:szCs w:val="28"/>
        </w:rPr>
        <w:t>.</w:t>
      </w:r>
      <w:r w:rsidR="00D42B20" w:rsidRPr="00873A2B">
        <w:rPr>
          <w:rFonts w:ascii="Arial" w:hAnsi="Arial" w:cs="Arial"/>
          <w:sz w:val="28"/>
          <w:szCs w:val="28"/>
        </w:rPr>
        <w:t>Equal opportunity aims to eliminate various barriers and biases in the legal profession, such as those based on race, gender, religion, age, disability, or other protected characteristics. It addresses systemic biases, unconscious biases, and stereotypes that can limit individuals' opportunities and hinder their advancement within the legal profession</w:t>
      </w:r>
    </w:p>
    <w:p w14:paraId="7A665EF9" w14:textId="3D31CEAD" w:rsidR="006C426B" w:rsidRPr="00873A2B" w:rsidRDefault="006C426B" w:rsidP="002F67DA">
      <w:pPr>
        <w:rPr>
          <w:rFonts w:ascii="Arial" w:hAnsi="Arial" w:cs="Arial"/>
          <w:sz w:val="28"/>
          <w:szCs w:val="28"/>
        </w:rPr>
      </w:pPr>
      <w:r w:rsidRPr="00873A2B">
        <w:rPr>
          <w:rFonts w:ascii="Arial" w:hAnsi="Arial" w:cs="Arial"/>
          <w:sz w:val="28"/>
          <w:szCs w:val="28"/>
        </w:rPr>
        <w:t xml:space="preserve">This combats discrimination, fosters access to justice for marginalised communities, enhances legal decision-making through diverse perspectives, and strengthens public confidence in the justice system. </w:t>
      </w:r>
      <w:r w:rsidRPr="00873A2B">
        <w:rPr>
          <w:rFonts w:ascii="Arial" w:hAnsi="Arial" w:cs="Arial"/>
          <w:sz w:val="28"/>
          <w:szCs w:val="28"/>
        </w:rPr>
        <w:lastRenderedPageBreak/>
        <w:t>Embracing equality and diversity is not only ethically imperative but also essential for the legal profession's effectiveness in delivering justice for all ( Alderson &amp; Darrow, 2019; )</w:t>
      </w:r>
    </w:p>
    <w:p w14:paraId="061DCB46" w14:textId="77777777" w:rsidR="00850E83" w:rsidRPr="00873A2B" w:rsidRDefault="00850E83" w:rsidP="002F67DA">
      <w:pPr>
        <w:rPr>
          <w:rFonts w:ascii="Arial" w:hAnsi="Arial" w:cs="Arial"/>
          <w:sz w:val="28"/>
          <w:szCs w:val="28"/>
        </w:rPr>
      </w:pPr>
    </w:p>
    <w:p w14:paraId="386E4532" w14:textId="736C033B" w:rsidR="00006D72" w:rsidRPr="00873A2B" w:rsidRDefault="002F67DA" w:rsidP="00853FEC">
      <w:pPr>
        <w:pStyle w:val="ListParagraph"/>
        <w:numPr>
          <w:ilvl w:val="0"/>
          <w:numId w:val="1"/>
        </w:numPr>
        <w:rPr>
          <w:rFonts w:ascii="Arial" w:hAnsi="Arial" w:cs="Arial"/>
          <w:sz w:val="28"/>
          <w:szCs w:val="28"/>
        </w:rPr>
      </w:pPr>
      <w:r w:rsidRPr="00873A2B">
        <w:rPr>
          <w:rFonts w:ascii="Arial" w:hAnsi="Arial" w:cs="Arial"/>
          <w:b/>
          <w:bCs/>
          <w:sz w:val="32"/>
          <w:szCs w:val="32"/>
        </w:rPr>
        <w:t>Strengthening Public Confidence</w:t>
      </w:r>
      <w:r w:rsidRPr="00873A2B">
        <w:rPr>
          <w:rFonts w:ascii="Arial" w:hAnsi="Arial" w:cs="Arial"/>
          <w:sz w:val="28"/>
          <w:szCs w:val="28"/>
        </w:rPr>
        <w:t>:</w:t>
      </w:r>
    </w:p>
    <w:p w14:paraId="4B51518B" w14:textId="77777777" w:rsidR="00CE5DC6" w:rsidRPr="00873A2B" w:rsidRDefault="00CE5DC6" w:rsidP="00D77B07">
      <w:pPr>
        <w:rPr>
          <w:rFonts w:ascii="Arial" w:hAnsi="Arial" w:cs="Arial"/>
          <w:sz w:val="28"/>
          <w:szCs w:val="28"/>
        </w:rPr>
      </w:pPr>
    </w:p>
    <w:p w14:paraId="1A139CF9" w14:textId="1FB24CDA" w:rsidR="00CC409D" w:rsidRPr="00873A2B" w:rsidRDefault="00006D72" w:rsidP="00853FEC">
      <w:pPr>
        <w:rPr>
          <w:rFonts w:ascii="Arial" w:hAnsi="Arial" w:cs="Arial"/>
          <w:sz w:val="28"/>
          <w:szCs w:val="28"/>
        </w:rPr>
      </w:pPr>
      <w:r w:rsidRPr="00873A2B">
        <w:rPr>
          <w:rFonts w:ascii="Arial" w:hAnsi="Arial" w:cs="Arial"/>
          <w:sz w:val="28"/>
          <w:szCs w:val="28"/>
        </w:rPr>
        <w:t>Equal opportunity aims to eliminate various barriers and biases that exist within the legal profession. These may include biases based on race, gender, religion, age, disability, or other protected characteristics. It seeks to combat discrimination, unconscious biases, and stereotypes that can limit individuals' opportunities and hinder their advancement within the legal profession.</w:t>
      </w:r>
    </w:p>
    <w:p w14:paraId="72773010" w14:textId="77777777" w:rsidR="002F67DA" w:rsidRPr="00873A2B" w:rsidRDefault="002F67DA" w:rsidP="002F67DA">
      <w:pPr>
        <w:rPr>
          <w:rFonts w:ascii="Arial" w:hAnsi="Arial" w:cs="Arial"/>
          <w:sz w:val="28"/>
          <w:szCs w:val="28"/>
        </w:rPr>
      </w:pPr>
      <w:r w:rsidRPr="00873A2B">
        <w:rPr>
          <w:rFonts w:ascii="Arial" w:hAnsi="Arial" w:cs="Arial"/>
          <w:sz w:val="28"/>
          <w:szCs w:val="28"/>
        </w:rPr>
        <w:t>A legal profession that embraces equality and diversity enhances public confidence in the justice system. When individuals perceive that legal institutions and practitioners genuinely strive for fairness and inclusivity, it builds trust and encourages greater engagement with the legal process. This trust is crucial for maintaining the legitimacy and credibility of the legal profession, reinforcing the rule of law, and promoting social harmony (Wickens, 2018).</w:t>
      </w:r>
    </w:p>
    <w:p w14:paraId="45E4C7D5" w14:textId="77777777" w:rsidR="00956958" w:rsidRPr="00873A2B" w:rsidRDefault="00956958" w:rsidP="002F67DA">
      <w:pPr>
        <w:rPr>
          <w:rFonts w:ascii="Arial" w:hAnsi="Arial" w:cs="Arial"/>
          <w:sz w:val="28"/>
          <w:szCs w:val="28"/>
        </w:rPr>
      </w:pPr>
    </w:p>
    <w:p w14:paraId="51D0A224" w14:textId="77777777" w:rsidR="00956958" w:rsidRPr="00873A2B" w:rsidRDefault="00956958" w:rsidP="003103AE">
      <w:pPr>
        <w:rPr>
          <w:rFonts w:ascii="Arial" w:hAnsi="Arial" w:cs="Arial"/>
          <w:sz w:val="28"/>
          <w:szCs w:val="28"/>
        </w:rPr>
      </w:pPr>
    </w:p>
    <w:p w14:paraId="4BE92A13" w14:textId="77777777" w:rsidR="00956958" w:rsidRPr="00873A2B" w:rsidRDefault="00956958" w:rsidP="003D109F">
      <w:pPr>
        <w:pStyle w:val="ListParagraph"/>
        <w:numPr>
          <w:ilvl w:val="0"/>
          <w:numId w:val="1"/>
        </w:numPr>
        <w:rPr>
          <w:rFonts w:ascii="Arial" w:hAnsi="Arial" w:cs="Arial"/>
          <w:sz w:val="28"/>
          <w:szCs w:val="28"/>
        </w:rPr>
      </w:pPr>
      <w:r w:rsidRPr="00873A2B">
        <w:rPr>
          <w:rFonts w:ascii="Arial" w:hAnsi="Arial" w:cs="Arial"/>
          <w:b/>
          <w:bCs/>
          <w:sz w:val="28"/>
          <w:szCs w:val="28"/>
        </w:rPr>
        <w:t>Policies and Practices to Promote Equal Opportunity</w:t>
      </w:r>
      <w:r w:rsidRPr="00873A2B">
        <w:rPr>
          <w:rFonts w:ascii="Arial" w:hAnsi="Arial" w:cs="Arial"/>
          <w:sz w:val="28"/>
          <w:szCs w:val="28"/>
        </w:rPr>
        <w:t>:</w:t>
      </w:r>
    </w:p>
    <w:p w14:paraId="4B00036D" w14:textId="77777777" w:rsidR="00956958" w:rsidRPr="00873A2B" w:rsidRDefault="00956958" w:rsidP="003103AE">
      <w:pPr>
        <w:rPr>
          <w:rFonts w:ascii="Arial" w:hAnsi="Arial" w:cs="Arial"/>
          <w:sz w:val="28"/>
          <w:szCs w:val="28"/>
        </w:rPr>
      </w:pPr>
      <w:r w:rsidRPr="00873A2B">
        <w:rPr>
          <w:rFonts w:ascii="Arial" w:hAnsi="Arial" w:cs="Arial"/>
          <w:sz w:val="28"/>
          <w:szCs w:val="28"/>
        </w:rPr>
        <w:t>Legal practices can implement specific policies and practices to promote equal opportunity, such as establishing diversity and inclusion committees, providing diversity training for employees, conducting regular assessments of diversity metrics, and creating mentorship programs to support underrepresented individuals.</w:t>
      </w:r>
    </w:p>
    <w:p w14:paraId="5A905559" w14:textId="77777777" w:rsidR="00956958" w:rsidRPr="00873A2B" w:rsidRDefault="00956958" w:rsidP="003103AE">
      <w:pPr>
        <w:rPr>
          <w:rFonts w:ascii="Arial" w:hAnsi="Arial" w:cs="Arial"/>
          <w:sz w:val="28"/>
          <w:szCs w:val="28"/>
        </w:rPr>
      </w:pPr>
    </w:p>
    <w:p w14:paraId="6E270E9F" w14:textId="77777777" w:rsidR="00956958" w:rsidRPr="00873A2B" w:rsidRDefault="00956958" w:rsidP="0044619F">
      <w:pPr>
        <w:pStyle w:val="ListParagraph"/>
        <w:numPr>
          <w:ilvl w:val="0"/>
          <w:numId w:val="2"/>
        </w:numPr>
        <w:rPr>
          <w:rFonts w:ascii="Arial" w:hAnsi="Arial" w:cs="Arial"/>
          <w:b/>
          <w:bCs/>
          <w:sz w:val="28"/>
          <w:szCs w:val="28"/>
        </w:rPr>
      </w:pPr>
      <w:r w:rsidRPr="00873A2B">
        <w:rPr>
          <w:rFonts w:ascii="Arial" w:hAnsi="Arial" w:cs="Arial"/>
          <w:b/>
          <w:bCs/>
          <w:sz w:val="28"/>
          <w:szCs w:val="28"/>
        </w:rPr>
        <w:t>Contribution of Diverse Legal Teams to Decision-Making and Legal Outcomes:</w:t>
      </w:r>
    </w:p>
    <w:p w14:paraId="6B68DB0D" w14:textId="77777777" w:rsidR="00956958" w:rsidRPr="00873A2B" w:rsidRDefault="00956958" w:rsidP="003103AE">
      <w:pPr>
        <w:rPr>
          <w:rFonts w:ascii="Arial" w:hAnsi="Arial" w:cs="Arial"/>
          <w:sz w:val="28"/>
          <w:szCs w:val="28"/>
        </w:rPr>
      </w:pPr>
      <w:r w:rsidRPr="00873A2B">
        <w:rPr>
          <w:rFonts w:ascii="Arial" w:hAnsi="Arial" w:cs="Arial"/>
          <w:sz w:val="28"/>
          <w:szCs w:val="28"/>
        </w:rPr>
        <w:t>Diverse legal teams bring a wealth of perspectives, experiences, and ideas to decision-making processes. By incorporating diverse viewpoints, diverse legal teams foster creativity, innovation, and comprehensive analysis. This contributes to better-informed decisions and outcomes that reflect a broader range of societal interests.</w:t>
      </w:r>
    </w:p>
    <w:p w14:paraId="109442DE" w14:textId="7C4550EC" w:rsidR="00DB08CC" w:rsidRPr="00873A2B" w:rsidRDefault="00DB08CC" w:rsidP="003103AE">
      <w:pPr>
        <w:rPr>
          <w:rFonts w:ascii="Arial" w:hAnsi="Arial" w:cs="Arial"/>
          <w:sz w:val="28"/>
          <w:szCs w:val="28"/>
        </w:rPr>
      </w:pPr>
      <w:r w:rsidRPr="00873A2B">
        <w:rPr>
          <w:rFonts w:ascii="Arial" w:hAnsi="Arial" w:cs="Arial"/>
          <w:sz w:val="28"/>
          <w:szCs w:val="28"/>
        </w:rPr>
        <w:t xml:space="preserve">To enhance decision-making in the legal profession, it is necessary to </w:t>
      </w:r>
      <w:r w:rsidR="00B64BDF" w:rsidRPr="00873A2B">
        <w:rPr>
          <w:rFonts w:ascii="Arial" w:hAnsi="Arial" w:cs="Arial"/>
          <w:sz w:val="28"/>
          <w:szCs w:val="28"/>
        </w:rPr>
        <w:t>recognise</w:t>
      </w:r>
      <w:r w:rsidRPr="00873A2B">
        <w:rPr>
          <w:rFonts w:ascii="Arial" w:hAnsi="Arial" w:cs="Arial"/>
          <w:sz w:val="28"/>
          <w:szCs w:val="28"/>
        </w:rPr>
        <w:t xml:space="preserve"> and handle the factors that can influence decision-making (Bhattacharyya, 2020).</w:t>
      </w:r>
      <w:r w:rsidR="00EA07DE" w:rsidRPr="00873A2B">
        <w:rPr>
          <w:rFonts w:ascii="Arial" w:hAnsi="Arial" w:cs="Arial"/>
          <w:sz w:val="28"/>
          <w:szCs w:val="28"/>
        </w:rPr>
        <w:t>i</w:t>
      </w:r>
    </w:p>
    <w:p w14:paraId="30A87424" w14:textId="77777777" w:rsidR="00956958" w:rsidRPr="00873A2B" w:rsidRDefault="00956958" w:rsidP="003103AE">
      <w:pPr>
        <w:rPr>
          <w:rFonts w:ascii="Arial" w:hAnsi="Arial" w:cs="Arial"/>
          <w:b/>
          <w:bCs/>
          <w:sz w:val="28"/>
          <w:szCs w:val="28"/>
        </w:rPr>
      </w:pPr>
    </w:p>
    <w:p w14:paraId="497C4AA4" w14:textId="77777777" w:rsidR="00956958" w:rsidRPr="00873A2B" w:rsidRDefault="00956958" w:rsidP="0044619F">
      <w:pPr>
        <w:pStyle w:val="ListParagraph"/>
        <w:numPr>
          <w:ilvl w:val="0"/>
          <w:numId w:val="3"/>
        </w:numPr>
        <w:rPr>
          <w:rFonts w:ascii="Arial" w:hAnsi="Arial" w:cs="Arial"/>
          <w:sz w:val="28"/>
          <w:szCs w:val="28"/>
        </w:rPr>
      </w:pPr>
      <w:r w:rsidRPr="00873A2B">
        <w:rPr>
          <w:rFonts w:ascii="Arial" w:hAnsi="Arial" w:cs="Arial"/>
          <w:b/>
          <w:bCs/>
          <w:sz w:val="28"/>
          <w:szCs w:val="28"/>
        </w:rPr>
        <w:t>Challenges and Obstacles in Achieving Equal Opportunity in Legal Practices</w:t>
      </w:r>
      <w:r w:rsidRPr="00873A2B">
        <w:rPr>
          <w:rFonts w:ascii="Arial" w:hAnsi="Arial" w:cs="Arial"/>
          <w:sz w:val="28"/>
          <w:szCs w:val="28"/>
        </w:rPr>
        <w:t>:</w:t>
      </w:r>
    </w:p>
    <w:p w14:paraId="40484CF2" w14:textId="77777777" w:rsidR="00956958" w:rsidRPr="00873A2B" w:rsidRDefault="00956958" w:rsidP="003103AE">
      <w:pPr>
        <w:rPr>
          <w:rFonts w:ascii="Arial" w:hAnsi="Arial" w:cs="Arial"/>
          <w:sz w:val="28"/>
          <w:szCs w:val="28"/>
        </w:rPr>
      </w:pPr>
      <w:r w:rsidRPr="00873A2B">
        <w:rPr>
          <w:rFonts w:ascii="Arial" w:hAnsi="Arial" w:cs="Arial"/>
          <w:sz w:val="28"/>
          <w:szCs w:val="28"/>
        </w:rPr>
        <w:t xml:space="preserve">Achieving equal opportunity in legal practices may face challenges, such as deeply entrenched biases, resistance to change, and lack of </w:t>
      </w:r>
      <w:r w:rsidRPr="00873A2B">
        <w:rPr>
          <w:rFonts w:ascii="Arial" w:hAnsi="Arial" w:cs="Arial"/>
          <w:sz w:val="28"/>
          <w:szCs w:val="28"/>
        </w:rPr>
        <w:lastRenderedPageBreak/>
        <w:t>representation at senior levels. It requires ongoing commitment, education, and structural changes within the legal profession to overcome these obstacles and create a more inclusive and equitable environment.</w:t>
      </w:r>
    </w:p>
    <w:p w14:paraId="5D564637" w14:textId="77777777" w:rsidR="00956958" w:rsidRPr="00873A2B" w:rsidRDefault="00956958" w:rsidP="002F67DA">
      <w:pPr>
        <w:rPr>
          <w:rFonts w:ascii="Arial" w:hAnsi="Arial" w:cs="Arial"/>
          <w:sz w:val="28"/>
          <w:szCs w:val="28"/>
        </w:rPr>
      </w:pPr>
    </w:p>
    <w:p w14:paraId="617BBD70" w14:textId="27721923" w:rsidR="002F67DA" w:rsidRPr="00873A2B" w:rsidRDefault="002F67DA" w:rsidP="002F67DA">
      <w:pPr>
        <w:rPr>
          <w:rFonts w:ascii="Arial" w:hAnsi="Arial" w:cs="Arial"/>
          <w:sz w:val="28"/>
          <w:szCs w:val="28"/>
        </w:rPr>
      </w:pPr>
    </w:p>
    <w:p w14:paraId="3D4B985D" w14:textId="77777777" w:rsidR="00956958" w:rsidRPr="00873A2B" w:rsidRDefault="00956958" w:rsidP="002F67DA">
      <w:pPr>
        <w:rPr>
          <w:rFonts w:ascii="Arial" w:hAnsi="Arial" w:cs="Arial"/>
          <w:sz w:val="28"/>
          <w:szCs w:val="28"/>
        </w:rPr>
      </w:pPr>
    </w:p>
    <w:p w14:paraId="44063748" w14:textId="77777777" w:rsidR="00956958" w:rsidRPr="00873A2B" w:rsidRDefault="00956958" w:rsidP="002F67DA">
      <w:pPr>
        <w:rPr>
          <w:rFonts w:ascii="Arial" w:hAnsi="Arial" w:cs="Arial"/>
          <w:sz w:val="28"/>
          <w:szCs w:val="28"/>
        </w:rPr>
      </w:pPr>
    </w:p>
    <w:p w14:paraId="4B718D6E" w14:textId="6D884FF4" w:rsidR="00603EAF" w:rsidRDefault="00603EAF">
      <w:pPr>
        <w:rPr>
          <w:rFonts w:ascii="Arial" w:hAnsi="Arial" w:cs="Arial"/>
          <w:b/>
          <w:bCs/>
          <w:sz w:val="32"/>
          <w:szCs w:val="32"/>
        </w:rPr>
      </w:pPr>
      <w:r w:rsidRPr="00873A2B">
        <w:rPr>
          <w:rFonts w:ascii="Arial" w:hAnsi="Arial" w:cs="Arial"/>
          <w:b/>
          <w:bCs/>
          <w:sz w:val="32"/>
          <w:szCs w:val="32"/>
        </w:rPr>
        <w:t>C</w:t>
      </w:r>
      <w:r w:rsidR="00414C7E" w:rsidRPr="00873A2B">
        <w:rPr>
          <w:rFonts w:ascii="Arial" w:hAnsi="Arial" w:cs="Arial"/>
          <w:b/>
          <w:bCs/>
          <w:sz w:val="32"/>
          <w:szCs w:val="32"/>
        </w:rPr>
        <w:t>onclusion</w:t>
      </w:r>
      <w:r w:rsidR="00B64BDF">
        <w:rPr>
          <w:rFonts w:ascii="Arial" w:hAnsi="Arial" w:cs="Arial"/>
          <w:b/>
          <w:bCs/>
          <w:sz w:val="32"/>
          <w:szCs w:val="32"/>
        </w:rPr>
        <w:t>:</w:t>
      </w:r>
    </w:p>
    <w:p w14:paraId="6ACDA874" w14:textId="77777777" w:rsidR="00B64BDF" w:rsidRPr="00873A2B" w:rsidRDefault="00B64BDF">
      <w:pPr>
        <w:rPr>
          <w:rFonts w:ascii="Arial" w:hAnsi="Arial" w:cs="Arial"/>
          <w:b/>
          <w:bCs/>
          <w:sz w:val="32"/>
          <w:szCs w:val="32"/>
        </w:rPr>
      </w:pPr>
    </w:p>
    <w:p w14:paraId="36E57CE3" w14:textId="78241860" w:rsidR="002B4046" w:rsidRPr="00873A2B" w:rsidRDefault="009F1287" w:rsidP="002B4046">
      <w:pPr>
        <w:rPr>
          <w:rFonts w:ascii="Arial" w:hAnsi="Arial" w:cs="Arial"/>
          <w:b/>
          <w:bCs/>
          <w:sz w:val="32"/>
          <w:szCs w:val="32"/>
        </w:rPr>
      </w:pPr>
      <w:r w:rsidRPr="00873A2B">
        <w:rPr>
          <w:rFonts w:ascii="Arial" w:hAnsi="Arial" w:cs="Arial"/>
          <w:sz w:val="28"/>
          <w:szCs w:val="28"/>
        </w:rPr>
        <w:t>The main principle of equal opportunity in legal practices is to ensure fair treatment and non-discrimination for all individuals, irrespective of their protected characteristics. It aims to create an environment where everyone has an equal chance to succeed and thrive, eliminating biases and barriers that may hinder individuals from accessing opportunities or experiencing discrimination within the legal profession</w:t>
      </w:r>
      <w:r w:rsidR="002F469E" w:rsidRPr="00873A2B">
        <w:rPr>
          <w:rFonts w:ascii="Arial" w:hAnsi="Arial" w:cs="Arial"/>
          <w:b/>
          <w:bCs/>
          <w:sz w:val="32"/>
          <w:szCs w:val="32"/>
        </w:rPr>
        <w:t>.</w:t>
      </w:r>
      <w:r w:rsidR="002B4046" w:rsidRPr="00873A2B">
        <w:rPr>
          <w:rFonts w:ascii="Arial" w:hAnsi="Arial" w:cs="Arial"/>
          <w:sz w:val="28"/>
          <w:szCs w:val="28"/>
        </w:rPr>
        <w:t xml:space="preserve">equality and diversity are paramount in the legal profession for upholding justice, fairness, and inclusivity. By embracing equal opportunity, legal practitioners ensure that the profession reflects the diversity of society and can better address the needs of individuals from different backgrounds. This combats discrimination, fosters access to justice for </w:t>
      </w:r>
      <w:r w:rsidR="006628D2" w:rsidRPr="00873A2B">
        <w:rPr>
          <w:rFonts w:ascii="Arial" w:hAnsi="Arial" w:cs="Arial"/>
          <w:sz w:val="28"/>
          <w:szCs w:val="28"/>
        </w:rPr>
        <w:t>marginalised</w:t>
      </w:r>
      <w:r w:rsidR="002B4046" w:rsidRPr="00873A2B">
        <w:rPr>
          <w:rFonts w:ascii="Arial" w:hAnsi="Arial" w:cs="Arial"/>
          <w:sz w:val="28"/>
          <w:szCs w:val="28"/>
        </w:rPr>
        <w:t xml:space="preserve"> communities, enhances legal decision-making through diverse perspectives, and strengthens public confidence in the justice system. Embracing equality and diversity is not only ethically imperative but also essential for the legal profession's effectiveness in delivering justice for all (Wickens, 2018).</w:t>
      </w:r>
    </w:p>
    <w:p w14:paraId="7CB28BA7" w14:textId="643A78FE" w:rsidR="00AB4A3B" w:rsidRPr="00873A2B" w:rsidRDefault="00AB4A3B" w:rsidP="00853FEC">
      <w:pPr>
        <w:rPr>
          <w:rFonts w:ascii="Arial" w:hAnsi="Arial" w:cs="Arial"/>
          <w:sz w:val="28"/>
          <w:szCs w:val="28"/>
        </w:rPr>
      </w:pPr>
      <w:r w:rsidRPr="00873A2B">
        <w:rPr>
          <w:rFonts w:ascii="Arial" w:hAnsi="Arial" w:cs="Arial"/>
          <w:sz w:val="28"/>
          <w:szCs w:val="28"/>
        </w:rPr>
        <w:t>Embracing equality and diversity within the legal profession is not only ethically imperative but also enhances the profession's effectiveness in delivering justice for all.</w:t>
      </w:r>
    </w:p>
    <w:p w14:paraId="3B515CA6" w14:textId="72F5320A" w:rsidR="00C41839" w:rsidRPr="00873A2B" w:rsidRDefault="00C41839" w:rsidP="00C41839">
      <w:pPr>
        <w:rPr>
          <w:rFonts w:ascii="Arial" w:hAnsi="Arial" w:cs="Arial"/>
          <w:sz w:val="28"/>
          <w:szCs w:val="28"/>
        </w:rPr>
      </w:pPr>
      <w:r w:rsidRPr="00873A2B">
        <w:rPr>
          <w:rFonts w:ascii="Arial" w:hAnsi="Arial" w:cs="Arial"/>
          <w:sz w:val="28"/>
          <w:szCs w:val="28"/>
        </w:rPr>
        <w:t>Equal opportunity in legal practices plays a vital role in establishing a fair and just society. By treating individuals and groups fairly, it upholds the principles of justice, fairness, and equality under the law. It ensures that all individuals have equal access to legal services, representation, and protection, regardless of their background or social identity. This helps to address systemic inequalities and promotes social cohesion by fostering trust and confidence in the legal system.</w:t>
      </w:r>
    </w:p>
    <w:p w14:paraId="3B5C0CF8" w14:textId="77777777" w:rsidR="00C41839" w:rsidRPr="00873A2B" w:rsidRDefault="00C41839" w:rsidP="00C41839">
      <w:pPr>
        <w:rPr>
          <w:rFonts w:ascii="Arial" w:hAnsi="Arial" w:cs="Arial"/>
          <w:sz w:val="28"/>
          <w:szCs w:val="28"/>
        </w:rPr>
      </w:pPr>
      <w:r w:rsidRPr="00873A2B">
        <w:rPr>
          <w:rFonts w:ascii="Arial" w:hAnsi="Arial" w:cs="Arial"/>
          <w:sz w:val="28"/>
          <w:szCs w:val="28"/>
        </w:rPr>
        <w:t>Legal professionals can uphold the principles of equal opportunity by treating clients and colleagues with fairness, respect, and dignity. This includes being attentive to individual needs, providing culturally sensitive and inclusive services, and fostering an inclusive and respectful workplace environment that values diversity.</w:t>
      </w:r>
    </w:p>
    <w:p w14:paraId="076C2E15" w14:textId="77777777" w:rsidR="00BE44C5" w:rsidRPr="00873A2B" w:rsidRDefault="00BE44C5" w:rsidP="002B4046">
      <w:pPr>
        <w:rPr>
          <w:rFonts w:ascii="Arial" w:hAnsi="Arial" w:cs="Arial"/>
          <w:sz w:val="28"/>
          <w:szCs w:val="28"/>
        </w:rPr>
      </w:pPr>
    </w:p>
    <w:p w14:paraId="50393619" w14:textId="77777777" w:rsidR="00BE44C5" w:rsidRPr="00873A2B" w:rsidRDefault="00BE44C5" w:rsidP="002B4046">
      <w:pPr>
        <w:rPr>
          <w:rFonts w:ascii="Arial" w:hAnsi="Arial" w:cs="Arial"/>
          <w:sz w:val="28"/>
          <w:szCs w:val="28"/>
        </w:rPr>
      </w:pPr>
    </w:p>
    <w:p w14:paraId="6A1C4FA0" w14:textId="77777777" w:rsidR="001B0367" w:rsidRPr="00873A2B" w:rsidRDefault="001B0367" w:rsidP="002B4046">
      <w:pPr>
        <w:rPr>
          <w:rFonts w:ascii="Arial" w:hAnsi="Arial" w:cs="Arial"/>
          <w:sz w:val="28"/>
          <w:szCs w:val="28"/>
        </w:rPr>
      </w:pPr>
    </w:p>
    <w:p w14:paraId="16FE5D11" w14:textId="77777777" w:rsidR="001B0367" w:rsidRPr="00873A2B" w:rsidRDefault="001B0367" w:rsidP="002B4046">
      <w:pPr>
        <w:rPr>
          <w:rFonts w:ascii="Arial" w:hAnsi="Arial" w:cs="Arial"/>
          <w:sz w:val="28"/>
          <w:szCs w:val="28"/>
        </w:rPr>
      </w:pPr>
    </w:p>
    <w:p w14:paraId="7C4BD2CE" w14:textId="259169F3" w:rsidR="002B4046" w:rsidRDefault="002B4046" w:rsidP="002B4046">
      <w:pPr>
        <w:rPr>
          <w:rFonts w:ascii="Arial" w:hAnsi="Arial" w:cs="Arial"/>
          <w:sz w:val="28"/>
          <w:szCs w:val="28"/>
        </w:rPr>
      </w:pPr>
      <w:r w:rsidRPr="00873A2B">
        <w:rPr>
          <w:rFonts w:ascii="Arial" w:hAnsi="Arial" w:cs="Arial"/>
          <w:sz w:val="28"/>
          <w:szCs w:val="28"/>
        </w:rPr>
        <w:t>References:</w:t>
      </w:r>
    </w:p>
    <w:p w14:paraId="2BACF717" w14:textId="77777777" w:rsidR="0013786E" w:rsidRDefault="0013786E" w:rsidP="002B4046">
      <w:pPr>
        <w:rPr>
          <w:rFonts w:ascii="Arial" w:hAnsi="Arial" w:cs="Arial"/>
          <w:sz w:val="28"/>
          <w:szCs w:val="28"/>
        </w:rPr>
      </w:pPr>
    </w:p>
    <w:p w14:paraId="569A49F2" w14:textId="7813AB5E" w:rsidR="00D52B0C" w:rsidRDefault="00D52B0C" w:rsidP="002B4046">
      <w:pPr>
        <w:rPr>
          <w:rFonts w:ascii="Arial" w:hAnsi="Arial" w:cs="Arial"/>
          <w:sz w:val="28"/>
          <w:szCs w:val="28"/>
        </w:rPr>
      </w:pPr>
      <w:r w:rsidRPr="00D52B0C">
        <w:rPr>
          <w:rFonts w:ascii="Arial" w:hAnsi="Arial" w:cs="Arial"/>
          <w:sz w:val="28"/>
          <w:szCs w:val="28"/>
        </w:rPr>
        <w:t>Alderson, J. and Darrow, J.M., 2019. Diversity, Inclusion, and Equality in the Legal Profession. In The Oxford Handbook of Diversity and Work (pp. 321-342). Oxford University Press</w:t>
      </w:r>
    </w:p>
    <w:p w14:paraId="7AEF341D" w14:textId="77777777" w:rsidR="00372D56" w:rsidRPr="00873A2B" w:rsidRDefault="00372D56" w:rsidP="002B4046">
      <w:pPr>
        <w:rPr>
          <w:rFonts w:ascii="Arial" w:hAnsi="Arial" w:cs="Arial"/>
          <w:sz w:val="28"/>
          <w:szCs w:val="28"/>
        </w:rPr>
      </w:pPr>
    </w:p>
    <w:p w14:paraId="60E95BA8" w14:textId="77777777" w:rsidR="00A74E8B" w:rsidRPr="00873A2B" w:rsidRDefault="006E5A5B" w:rsidP="006E5A5B">
      <w:pPr>
        <w:rPr>
          <w:rFonts w:ascii="Arial" w:hAnsi="Arial" w:cs="Arial"/>
          <w:sz w:val="28"/>
          <w:szCs w:val="28"/>
        </w:rPr>
      </w:pPr>
      <w:r w:rsidRPr="00873A2B">
        <w:rPr>
          <w:rFonts w:ascii="Arial" w:hAnsi="Arial" w:cs="Arial"/>
          <w:sz w:val="28"/>
          <w:szCs w:val="28"/>
        </w:rPr>
        <w:t xml:space="preserve">Alderson, L., &amp; Darrow, A. (2019). Equality and Diversity in the Legal Profession. </w:t>
      </w:r>
    </w:p>
    <w:p w14:paraId="70607D78" w14:textId="77777777" w:rsidR="00372D56" w:rsidRDefault="00372D56" w:rsidP="006E5A5B">
      <w:pPr>
        <w:rPr>
          <w:rFonts w:ascii="Arial" w:hAnsi="Arial" w:cs="Arial"/>
          <w:sz w:val="28"/>
          <w:szCs w:val="28"/>
        </w:rPr>
      </w:pPr>
    </w:p>
    <w:p w14:paraId="4977C644" w14:textId="4B0B1103" w:rsidR="00E061D2" w:rsidRDefault="00E061D2" w:rsidP="006E5A5B">
      <w:pPr>
        <w:rPr>
          <w:rFonts w:ascii="Arial" w:hAnsi="Arial" w:cs="Arial"/>
          <w:sz w:val="28"/>
          <w:szCs w:val="28"/>
        </w:rPr>
      </w:pPr>
      <w:r w:rsidRPr="00873A2B">
        <w:rPr>
          <w:rFonts w:ascii="Arial" w:hAnsi="Arial" w:cs="Arial"/>
          <w:sz w:val="28"/>
          <w:szCs w:val="28"/>
        </w:rPr>
        <w:t>Bhattacharyya, S. (2020). Improving decision-making in the legal profession. Journal of Law and Social Research, 1(1), 14.25</w:t>
      </w:r>
    </w:p>
    <w:p w14:paraId="7A20A641" w14:textId="77777777" w:rsidR="0013786E" w:rsidRDefault="0013786E" w:rsidP="003103AE">
      <w:pPr>
        <w:rPr>
          <w:rFonts w:ascii="Arial" w:hAnsi="Arial" w:cs="Arial"/>
          <w:sz w:val="28"/>
          <w:szCs w:val="28"/>
        </w:rPr>
      </w:pPr>
    </w:p>
    <w:p w14:paraId="1B9E4059" w14:textId="22E65A3D" w:rsidR="0013786E" w:rsidRPr="00873A2B" w:rsidRDefault="0013786E" w:rsidP="003103AE">
      <w:pPr>
        <w:rPr>
          <w:rFonts w:ascii="Arial" w:hAnsi="Arial" w:cs="Arial"/>
          <w:sz w:val="28"/>
          <w:szCs w:val="28"/>
        </w:rPr>
      </w:pPr>
      <w:r w:rsidRPr="00873A2B">
        <w:rPr>
          <w:rFonts w:ascii="Arial" w:hAnsi="Arial" w:cs="Arial"/>
          <w:sz w:val="28"/>
          <w:szCs w:val="28"/>
        </w:rPr>
        <w:t>Development. K. Zielinska &amp; D. Dinwoodie (Eds.), The Legal Academic's Handbook (pp. 223-238). Routledge.</w:t>
      </w:r>
    </w:p>
    <w:p w14:paraId="4732F507" w14:textId="77777777" w:rsidR="00372D56" w:rsidRDefault="00372D56" w:rsidP="006E5A5B">
      <w:pPr>
        <w:rPr>
          <w:rFonts w:ascii="Arial" w:hAnsi="Arial" w:cs="Arial"/>
          <w:sz w:val="28"/>
          <w:szCs w:val="28"/>
        </w:rPr>
      </w:pPr>
    </w:p>
    <w:p w14:paraId="739AFB0E" w14:textId="77777777" w:rsidR="0013786E" w:rsidRDefault="0013786E" w:rsidP="006E5A5B">
      <w:pPr>
        <w:rPr>
          <w:rFonts w:ascii="Arial" w:hAnsi="Arial" w:cs="Arial"/>
          <w:sz w:val="28"/>
          <w:szCs w:val="28"/>
        </w:rPr>
      </w:pPr>
    </w:p>
    <w:p w14:paraId="6308499C" w14:textId="77777777" w:rsidR="003734EE" w:rsidRPr="00873A2B" w:rsidRDefault="003734EE" w:rsidP="003103AE">
      <w:pPr>
        <w:rPr>
          <w:rFonts w:ascii="Arial" w:hAnsi="Arial" w:cs="Arial"/>
          <w:sz w:val="28"/>
          <w:szCs w:val="28"/>
        </w:rPr>
      </w:pPr>
      <w:r w:rsidRPr="00873A2B">
        <w:rPr>
          <w:rFonts w:ascii="Arial" w:hAnsi="Arial" w:cs="Arial"/>
          <w:sz w:val="28"/>
          <w:szCs w:val="28"/>
        </w:rPr>
        <w:t>Equality Act 2010. (2010). Retrieved from https://www.legislation.gov.uk/ukpga/2010/15/contents</w:t>
      </w:r>
    </w:p>
    <w:p w14:paraId="423E1715" w14:textId="77777777" w:rsidR="003734EE" w:rsidRDefault="003734EE" w:rsidP="006E5A5B">
      <w:pPr>
        <w:rPr>
          <w:rFonts w:ascii="Arial" w:hAnsi="Arial" w:cs="Arial"/>
          <w:sz w:val="28"/>
          <w:szCs w:val="28"/>
        </w:rPr>
      </w:pPr>
    </w:p>
    <w:p w14:paraId="0608524F" w14:textId="3C535EB5" w:rsidR="006E5A5B" w:rsidRPr="00873A2B" w:rsidRDefault="006E5A5B" w:rsidP="006E5A5B">
      <w:pPr>
        <w:rPr>
          <w:rFonts w:ascii="Arial" w:hAnsi="Arial" w:cs="Arial"/>
          <w:sz w:val="28"/>
          <w:szCs w:val="28"/>
        </w:rPr>
      </w:pPr>
      <w:r w:rsidRPr="00873A2B">
        <w:rPr>
          <w:rFonts w:ascii="Arial" w:hAnsi="Arial" w:cs="Arial"/>
          <w:sz w:val="28"/>
          <w:szCs w:val="28"/>
        </w:rPr>
        <w:t>G. Palmer &amp; L. Harding (Eds.), Values in Legal Education and Legal Practice (pp. 117-138). Springer.</w:t>
      </w:r>
    </w:p>
    <w:p w14:paraId="532EE9BE" w14:textId="77777777" w:rsidR="00372D56" w:rsidRDefault="00372D56" w:rsidP="006E5A5B">
      <w:pPr>
        <w:rPr>
          <w:rFonts w:ascii="Arial" w:hAnsi="Arial" w:cs="Arial"/>
          <w:sz w:val="28"/>
          <w:szCs w:val="28"/>
        </w:rPr>
      </w:pPr>
    </w:p>
    <w:p w14:paraId="084A535B" w14:textId="08EEFB64" w:rsidR="006E5A5B" w:rsidRPr="00873A2B" w:rsidRDefault="006E5A5B" w:rsidP="006E5A5B">
      <w:pPr>
        <w:rPr>
          <w:rFonts w:ascii="Arial" w:hAnsi="Arial" w:cs="Arial"/>
          <w:sz w:val="28"/>
          <w:szCs w:val="28"/>
        </w:rPr>
      </w:pPr>
      <w:r w:rsidRPr="00873A2B">
        <w:rPr>
          <w:rFonts w:ascii="Arial" w:hAnsi="Arial" w:cs="Arial"/>
          <w:sz w:val="28"/>
          <w:szCs w:val="28"/>
        </w:rPr>
        <w:t>Grady, H., &amp; Crawford, A. (2021). Diverse Legal Teams and Decision-Making. In The Cambridge Handbook of Psychology and Law (pp. 408-425). Cambridge University Press.</w:t>
      </w:r>
    </w:p>
    <w:p w14:paraId="41C0BDBB" w14:textId="77038C42" w:rsidR="000338DB" w:rsidRDefault="000338DB" w:rsidP="006E5A5B">
      <w:pPr>
        <w:rPr>
          <w:rFonts w:ascii="Arial" w:hAnsi="Arial" w:cs="Arial"/>
          <w:sz w:val="28"/>
          <w:szCs w:val="28"/>
        </w:rPr>
      </w:pPr>
    </w:p>
    <w:p w14:paraId="5E28B5FD" w14:textId="305A3111" w:rsidR="00E84202" w:rsidRDefault="00373F07" w:rsidP="006E5A5B">
      <w:pPr>
        <w:rPr>
          <w:rFonts w:ascii="Arial" w:hAnsi="Arial" w:cs="Arial"/>
          <w:sz w:val="28"/>
          <w:szCs w:val="28"/>
        </w:rPr>
      </w:pPr>
      <w:r w:rsidRPr="00373F07">
        <w:rPr>
          <w:rFonts w:ascii="Arial" w:hAnsi="Arial" w:cs="Arial"/>
          <w:sz w:val="28"/>
          <w:szCs w:val="28"/>
        </w:rPr>
        <w:t>Klein, R., &amp; Moody, R. F. (2019). The Handbook of diversity management: beyond awareness to competency-based learning. Routledge.</w:t>
      </w:r>
    </w:p>
    <w:p w14:paraId="6DA8488D" w14:textId="77777777" w:rsidR="000338DB" w:rsidRDefault="000338DB" w:rsidP="006E5A5B">
      <w:pPr>
        <w:rPr>
          <w:rFonts w:ascii="Arial" w:hAnsi="Arial" w:cs="Arial"/>
          <w:sz w:val="28"/>
          <w:szCs w:val="28"/>
        </w:rPr>
      </w:pPr>
    </w:p>
    <w:p w14:paraId="2134AD48" w14:textId="77777777" w:rsidR="00C01A38" w:rsidRDefault="00C01A38" w:rsidP="003103AE">
      <w:pPr>
        <w:rPr>
          <w:rFonts w:ascii="Arial" w:hAnsi="Arial" w:cs="Arial"/>
          <w:sz w:val="28"/>
          <w:szCs w:val="28"/>
        </w:rPr>
      </w:pPr>
      <w:r w:rsidRPr="00873A2B">
        <w:rPr>
          <w:rFonts w:ascii="Arial" w:hAnsi="Arial" w:cs="Arial"/>
          <w:sz w:val="28"/>
          <w:szCs w:val="28"/>
        </w:rPr>
        <w:t xml:space="preserve">Mohammed, L. (2017). Promoting Equality and Diversity in the Legal Profession: The Role of Law Schools and Continuing Professional </w:t>
      </w:r>
    </w:p>
    <w:p w14:paraId="7CE8743A" w14:textId="77777777" w:rsidR="00C01A38" w:rsidRDefault="00C01A38" w:rsidP="003103AE">
      <w:pPr>
        <w:rPr>
          <w:rFonts w:ascii="Arial" w:hAnsi="Arial" w:cs="Arial"/>
          <w:sz w:val="28"/>
          <w:szCs w:val="28"/>
        </w:rPr>
      </w:pPr>
    </w:p>
    <w:p w14:paraId="25A760AE" w14:textId="77777777" w:rsidR="00C01A38" w:rsidRDefault="00C01A38" w:rsidP="006E5A5B">
      <w:pPr>
        <w:rPr>
          <w:rFonts w:ascii="Arial" w:hAnsi="Arial" w:cs="Arial"/>
          <w:sz w:val="28"/>
          <w:szCs w:val="28"/>
        </w:rPr>
      </w:pPr>
    </w:p>
    <w:p w14:paraId="29E25069" w14:textId="7AAA2DB4" w:rsidR="006E5A5B" w:rsidRPr="00873A2B" w:rsidRDefault="006E5A5B" w:rsidP="006E5A5B">
      <w:pPr>
        <w:rPr>
          <w:rFonts w:ascii="Arial" w:hAnsi="Arial" w:cs="Arial"/>
          <w:sz w:val="28"/>
          <w:szCs w:val="28"/>
        </w:rPr>
      </w:pPr>
      <w:r w:rsidRPr="00873A2B">
        <w:rPr>
          <w:rFonts w:ascii="Arial" w:hAnsi="Arial" w:cs="Arial"/>
          <w:sz w:val="28"/>
          <w:szCs w:val="28"/>
        </w:rPr>
        <w:t>O'Dea, F. (2020). Equality and Diversity in the Legal Profession. In R. Collier, R. Adeney &amp; R. Oliver (Eds.), Oxford Handbook of Indian Constitutional Law (pp. 427-445). Oxford University Press.</w:t>
      </w:r>
    </w:p>
    <w:p w14:paraId="0E6B83E6" w14:textId="77777777" w:rsidR="00DA534B" w:rsidRPr="00873A2B" w:rsidRDefault="00DA534B">
      <w:pPr>
        <w:rPr>
          <w:rFonts w:ascii="Arial" w:hAnsi="Arial" w:cs="Arial"/>
          <w:sz w:val="28"/>
          <w:szCs w:val="28"/>
        </w:rPr>
      </w:pPr>
    </w:p>
    <w:p w14:paraId="186C4A69" w14:textId="77777777" w:rsidR="00DD062B" w:rsidRDefault="00777976">
      <w:pPr>
        <w:rPr>
          <w:rFonts w:ascii="Arial" w:hAnsi="Arial" w:cs="Arial"/>
          <w:sz w:val="28"/>
          <w:szCs w:val="28"/>
        </w:rPr>
      </w:pPr>
      <w:r w:rsidRPr="00873A2B">
        <w:rPr>
          <w:rFonts w:ascii="Arial" w:hAnsi="Arial" w:cs="Arial"/>
          <w:sz w:val="28"/>
          <w:szCs w:val="28"/>
        </w:rPr>
        <w:lastRenderedPageBreak/>
        <w:t xml:space="preserve">Solicitors Regulation Authority. (2019). SRA Standards and Regulations. [Online] Available at: </w:t>
      </w:r>
      <w:hyperlink r:id="rId7" w:history="1">
        <w:r w:rsidR="006C2268" w:rsidRPr="00873A2B">
          <w:rPr>
            <w:rStyle w:val="Hyperlink"/>
            <w:rFonts w:ascii="Arial" w:hAnsi="Arial" w:cs="Arial"/>
            <w:sz w:val="28"/>
            <w:szCs w:val="28"/>
          </w:rPr>
          <w:t>https://www.sra.org.uk/solicitors/standards-regulations/</w:t>
        </w:r>
      </w:hyperlink>
      <w:r w:rsidR="006C2268" w:rsidRPr="00873A2B">
        <w:rPr>
          <w:rFonts w:ascii="Arial" w:hAnsi="Arial" w:cs="Arial"/>
          <w:sz w:val="28"/>
          <w:szCs w:val="28"/>
        </w:rPr>
        <w:t xml:space="preserve"> </w:t>
      </w:r>
    </w:p>
    <w:p w14:paraId="06D101F1" w14:textId="77777777" w:rsidR="00DD062B" w:rsidRDefault="00DD062B">
      <w:pPr>
        <w:rPr>
          <w:rFonts w:ascii="Arial" w:hAnsi="Arial" w:cs="Arial"/>
          <w:sz w:val="28"/>
          <w:szCs w:val="28"/>
        </w:rPr>
      </w:pPr>
    </w:p>
    <w:p w14:paraId="78FF298A" w14:textId="0D6F6DB9" w:rsidR="00826A17" w:rsidRPr="00873A2B" w:rsidRDefault="00777976">
      <w:pPr>
        <w:rPr>
          <w:rFonts w:ascii="Arial" w:hAnsi="Arial" w:cs="Arial"/>
          <w:sz w:val="28"/>
          <w:szCs w:val="28"/>
        </w:rPr>
      </w:pPr>
      <w:r w:rsidRPr="00873A2B">
        <w:rPr>
          <w:rFonts w:ascii="Arial" w:hAnsi="Arial" w:cs="Arial"/>
          <w:sz w:val="28"/>
          <w:szCs w:val="28"/>
        </w:rPr>
        <w:t xml:space="preserve">Solicitors Regulation Authority. (2019). Equality, diversity and inclusion: Guidance for solicitors. Available at: </w:t>
      </w:r>
      <w:hyperlink r:id="rId8" w:history="1">
        <w:r w:rsidR="006C2268" w:rsidRPr="00873A2B">
          <w:rPr>
            <w:rStyle w:val="Hyperlink"/>
            <w:rFonts w:ascii="Arial" w:hAnsi="Arial" w:cs="Arial"/>
            <w:sz w:val="28"/>
            <w:szCs w:val="28"/>
          </w:rPr>
          <w:t>https://www.sra.org.uk/solicitors/guidance/equality-diversity-inclusion/</w:t>
        </w:r>
      </w:hyperlink>
      <w:r w:rsidR="006C2268" w:rsidRPr="00873A2B">
        <w:rPr>
          <w:rFonts w:ascii="Arial" w:hAnsi="Arial" w:cs="Arial"/>
          <w:sz w:val="28"/>
          <w:szCs w:val="28"/>
        </w:rPr>
        <w:t xml:space="preserve"> </w:t>
      </w:r>
    </w:p>
    <w:p w14:paraId="1FF487BF" w14:textId="77777777" w:rsidR="00DD062B" w:rsidRDefault="00DD062B">
      <w:pPr>
        <w:rPr>
          <w:rFonts w:ascii="Arial" w:hAnsi="Arial" w:cs="Arial"/>
          <w:sz w:val="28"/>
          <w:szCs w:val="28"/>
        </w:rPr>
      </w:pPr>
    </w:p>
    <w:p w14:paraId="0F02109B" w14:textId="64D3B9C3" w:rsidR="003734EE" w:rsidRDefault="003734EE" w:rsidP="003103AE">
      <w:pPr>
        <w:rPr>
          <w:rFonts w:ascii="Arial" w:hAnsi="Arial" w:cs="Arial"/>
          <w:sz w:val="28"/>
          <w:szCs w:val="28"/>
        </w:rPr>
      </w:pPr>
      <w:r w:rsidRPr="00873A2B">
        <w:rPr>
          <w:rFonts w:ascii="Arial" w:hAnsi="Arial" w:cs="Arial"/>
          <w:sz w:val="28"/>
          <w:szCs w:val="28"/>
        </w:rPr>
        <w:t>Wickens, E. (2018). Equality and Diversity in the Legal Profession: Insights from the UK and Beyond. Legal Information Management, 18(3), 141-147. doi: 10.1017/S1472669618000434.</w:t>
      </w:r>
    </w:p>
    <w:p w14:paraId="298A6461" w14:textId="3D399E5A" w:rsidR="001731A9" w:rsidRDefault="001731A9" w:rsidP="003103AE">
      <w:pPr>
        <w:rPr>
          <w:rFonts w:ascii="Arial" w:hAnsi="Arial" w:cs="Arial"/>
          <w:sz w:val="28"/>
          <w:szCs w:val="28"/>
        </w:rPr>
      </w:pPr>
    </w:p>
    <w:p w14:paraId="667CB69D" w14:textId="59768FA8" w:rsidR="001731A9" w:rsidRDefault="001731A9" w:rsidP="003103AE">
      <w:pPr>
        <w:rPr>
          <w:rFonts w:ascii="Arial" w:hAnsi="Arial" w:cs="Arial"/>
          <w:sz w:val="28"/>
          <w:szCs w:val="28"/>
        </w:rPr>
      </w:pPr>
    </w:p>
    <w:p w14:paraId="34720C14" w14:textId="16463243" w:rsidR="001731A9" w:rsidRDefault="001731A9" w:rsidP="003103AE">
      <w:pPr>
        <w:rPr>
          <w:rFonts w:ascii="Arial" w:hAnsi="Arial" w:cs="Arial"/>
          <w:sz w:val="28"/>
          <w:szCs w:val="28"/>
        </w:rPr>
      </w:pPr>
    </w:p>
    <w:p w14:paraId="2B9D6195" w14:textId="3FC0781B" w:rsidR="00D52B0C" w:rsidRPr="00D52B0C" w:rsidRDefault="00D52B0C" w:rsidP="00D52B0C">
      <w:pPr>
        <w:rPr>
          <w:rFonts w:ascii="Arial" w:hAnsi="Arial" w:cs="Arial"/>
          <w:sz w:val="28"/>
          <w:szCs w:val="28"/>
        </w:rPr>
      </w:pPr>
    </w:p>
    <w:sectPr w:rsidR="00D52B0C" w:rsidRPr="00D52B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B3D11" w14:textId="77777777" w:rsidR="0077207F" w:rsidRDefault="0077207F" w:rsidP="006043A6">
      <w:r>
        <w:separator/>
      </w:r>
    </w:p>
  </w:endnote>
  <w:endnote w:type="continuationSeparator" w:id="0">
    <w:p w14:paraId="5BF58BD5" w14:textId="77777777" w:rsidR="0077207F" w:rsidRDefault="0077207F" w:rsidP="00604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6E250" w14:textId="77777777" w:rsidR="0077207F" w:rsidRDefault="0077207F" w:rsidP="006043A6">
      <w:r>
        <w:separator/>
      </w:r>
    </w:p>
  </w:footnote>
  <w:footnote w:type="continuationSeparator" w:id="0">
    <w:p w14:paraId="35185B62" w14:textId="77777777" w:rsidR="0077207F" w:rsidRDefault="0077207F" w:rsidP="006043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3975"/>
    <w:multiLevelType w:val="hybridMultilevel"/>
    <w:tmpl w:val="E4F635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411101"/>
    <w:multiLevelType w:val="hybridMultilevel"/>
    <w:tmpl w:val="BF42D4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E42D8F"/>
    <w:multiLevelType w:val="hybridMultilevel"/>
    <w:tmpl w:val="E2FA0C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0212972">
    <w:abstractNumId w:val="1"/>
  </w:num>
  <w:num w:numId="2" w16cid:durableId="578834537">
    <w:abstractNumId w:val="0"/>
  </w:num>
  <w:num w:numId="3" w16cid:durableId="20698370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580"/>
    <w:rsid w:val="00006D72"/>
    <w:rsid w:val="00031C47"/>
    <w:rsid w:val="000338DB"/>
    <w:rsid w:val="00047B99"/>
    <w:rsid w:val="000660E8"/>
    <w:rsid w:val="000A45A3"/>
    <w:rsid w:val="00112B05"/>
    <w:rsid w:val="0013786E"/>
    <w:rsid w:val="001414C4"/>
    <w:rsid w:val="00145BF5"/>
    <w:rsid w:val="001731A9"/>
    <w:rsid w:val="00186150"/>
    <w:rsid w:val="001A17C0"/>
    <w:rsid w:val="001A605F"/>
    <w:rsid w:val="001B0367"/>
    <w:rsid w:val="001B55C7"/>
    <w:rsid w:val="001D15FF"/>
    <w:rsid w:val="001D7580"/>
    <w:rsid w:val="001E1722"/>
    <w:rsid w:val="001E2CDB"/>
    <w:rsid w:val="001F6959"/>
    <w:rsid w:val="00200299"/>
    <w:rsid w:val="0023471F"/>
    <w:rsid w:val="002545EF"/>
    <w:rsid w:val="002550F6"/>
    <w:rsid w:val="00277CDF"/>
    <w:rsid w:val="00292C76"/>
    <w:rsid w:val="002B4046"/>
    <w:rsid w:val="002E4D41"/>
    <w:rsid w:val="002F469E"/>
    <w:rsid w:val="002F67DA"/>
    <w:rsid w:val="002F71C6"/>
    <w:rsid w:val="0033506F"/>
    <w:rsid w:val="0034002E"/>
    <w:rsid w:val="00350EB2"/>
    <w:rsid w:val="00372D56"/>
    <w:rsid w:val="003734EE"/>
    <w:rsid w:val="00373F07"/>
    <w:rsid w:val="003A52C7"/>
    <w:rsid w:val="003B0CF5"/>
    <w:rsid w:val="003C00AE"/>
    <w:rsid w:val="003D109F"/>
    <w:rsid w:val="003F7F8D"/>
    <w:rsid w:val="004029B7"/>
    <w:rsid w:val="0041261E"/>
    <w:rsid w:val="00414C7E"/>
    <w:rsid w:val="00441399"/>
    <w:rsid w:val="00444770"/>
    <w:rsid w:val="0044619F"/>
    <w:rsid w:val="00475232"/>
    <w:rsid w:val="00484F44"/>
    <w:rsid w:val="004A0919"/>
    <w:rsid w:val="004A1F68"/>
    <w:rsid w:val="004C6779"/>
    <w:rsid w:val="004F74EF"/>
    <w:rsid w:val="00514013"/>
    <w:rsid w:val="00542E75"/>
    <w:rsid w:val="0056167A"/>
    <w:rsid w:val="00594E67"/>
    <w:rsid w:val="005B06A8"/>
    <w:rsid w:val="005C3F28"/>
    <w:rsid w:val="005E2213"/>
    <w:rsid w:val="005E3A88"/>
    <w:rsid w:val="005F28A6"/>
    <w:rsid w:val="00603EAF"/>
    <w:rsid w:val="006043A6"/>
    <w:rsid w:val="00631C7D"/>
    <w:rsid w:val="006519AD"/>
    <w:rsid w:val="006628D2"/>
    <w:rsid w:val="00677AFC"/>
    <w:rsid w:val="006835DB"/>
    <w:rsid w:val="0069206A"/>
    <w:rsid w:val="006B1274"/>
    <w:rsid w:val="006C2268"/>
    <w:rsid w:val="006C426B"/>
    <w:rsid w:val="006E2011"/>
    <w:rsid w:val="006E5A5B"/>
    <w:rsid w:val="006F14E1"/>
    <w:rsid w:val="006F72C7"/>
    <w:rsid w:val="00716248"/>
    <w:rsid w:val="00727820"/>
    <w:rsid w:val="00750430"/>
    <w:rsid w:val="00754E8A"/>
    <w:rsid w:val="00757984"/>
    <w:rsid w:val="00770697"/>
    <w:rsid w:val="0077207F"/>
    <w:rsid w:val="007750DF"/>
    <w:rsid w:val="00777940"/>
    <w:rsid w:val="00777976"/>
    <w:rsid w:val="00777CFC"/>
    <w:rsid w:val="00784F1F"/>
    <w:rsid w:val="007B4B83"/>
    <w:rsid w:val="007C449F"/>
    <w:rsid w:val="007D1AEB"/>
    <w:rsid w:val="00826A17"/>
    <w:rsid w:val="00850E83"/>
    <w:rsid w:val="00873A2B"/>
    <w:rsid w:val="00874F08"/>
    <w:rsid w:val="008761ED"/>
    <w:rsid w:val="008941AD"/>
    <w:rsid w:val="008A33C8"/>
    <w:rsid w:val="008C21F5"/>
    <w:rsid w:val="008F2B80"/>
    <w:rsid w:val="009010EB"/>
    <w:rsid w:val="00915FDD"/>
    <w:rsid w:val="00916C9C"/>
    <w:rsid w:val="009502F1"/>
    <w:rsid w:val="00951F32"/>
    <w:rsid w:val="00956958"/>
    <w:rsid w:val="009658A4"/>
    <w:rsid w:val="00967332"/>
    <w:rsid w:val="0098303F"/>
    <w:rsid w:val="009B7BAE"/>
    <w:rsid w:val="009D43E3"/>
    <w:rsid w:val="009D5091"/>
    <w:rsid w:val="009D5E2A"/>
    <w:rsid w:val="009E0B2B"/>
    <w:rsid w:val="009E2B5E"/>
    <w:rsid w:val="009F1287"/>
    <w:rsid w:val="00A0118E"/>
    <w:rsid w:val="00A658F3"/>
    <w:rsid w:val="00A74E8B"/>
    <w:rsid w:val="00A85975"/>
    <w:rsid w:val="00A958B1"/>
    <w:rsid w:val="00AA4375"/>
    <w:rsid w:val="00AB4A3B"/>
    <w:rsid w:val="00AC5CB5"/>
    <w:rsid w:val="00AC79DC"/>
    <w:rsid w:val="00AD36FA"/>
    <w:rsid w:val="00B64BDF"/>
    <w:rsid w:val="00B70162"/>
    <w:rsid w:val="00B7286A"/>
    <w:rsid w:val="00B84378"/>
    <w:rsid w:val="00BA5F80"/>
    <w:rsid w:val="00BD7AE4"/>
    <w:rsid w:val="00BE1845"/>
    <w:rsid w:val="00BE44C5"/>
    <w:rsid w:val="00C01A38"/>
    <w:rsid w:val="00C41839"/>
    <w:rsid w:val="00C42BD8"/>
    <w:rsid w:val="00C46163"/>
    <w:rsid w:val="00C72017"/>
    <w:rsid w:val="00C93AC7"/>
    <w:rsid w:val="00C94BA5"/>
    <w:rsid w:val="00CB364D"/>
    <w:rsid w:val="00CC0684"/>
    <w:rsid w:val="00CC409D"/>
    <w:rsid w:val="00CC7022"/>
    <w:rsid w:val="00CD7525"/>
    <w:rsid w:val="00CE5DC6"/>
    <w:rsid w:val="00CF7AC4"/>
    <w:rsid w:val="00D13FE7"/>
    <w:rsid w:val="00D375F1"/>
    <w:rsid w:val="00D42B20"/>
    <w:rsid w:val="00D52B0C"/>
    <w:rsid w:val="00D669AB"/>
    <w:rsid w:val="00D77B07"/>
    <w:rsid w:val="00DA534B"/>
    <w:rsid w:val="00DB08CC"/>
    <w:rsid w:val="00DB7272"/>
    <w:rsid w:val="00DD062B"/>
    <w:rsid w:val="00E061D2"/>
    <w:rsid w:val="00E1126F"/>
    <w:rsid w:val="00E84202"/>
    <w:rsid w:val="00EA07DE"/>
    <w:rsid w:val="00EC6F83"/>
    <w:rsid w:val="00F314B7"/>
    <w:rsid w:val="00F702B0"/>
    <w:rsid w:val="00F764D2"/>
    <w:rsid w:val="00FA0C6D"/>
    <w:rsid w:val="00FC464A"/>
    <w:rsid w:val="00FF4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B0E4C"/>
  <w15:chartTrackingRefBased/>
  <w15:docId w15:val="{751E9C0C-7199-D149-9099-3E9CC574E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F08"/>
    <w:pPr>
      <w:ind w:left="720"/>
      <w:contextualSpacing/>
    </w:pPr>
  </w:style>
  <w:style w:type="character" w:styleId="Hyperlink">
    <w:name w:val="Hyperlink"/>
    <w:basedOn w:val="DefaultParagraphFont"/>
    <w:uiPriority w:val="99"/>
    <w:unhideWhenUsed/>
    <w:rsid w:val="006C2268"/>
    <w:rPr>
      <w:color w:val="0563C1" w:themeColor="hyperlink"/>
      <w:u w:val="single"/>
    </w:rPr>
  </w:style>
  <w:style w:type="character" w:styleId="UnresolvedMention">
    <w:name w:val="Unresolved Mention"/>
    <w:basedOn w:val="DefaultParagraphFont"/>
    <w:uiPriority w:val="99"/>
    <w:semiHidden/>
    <w:unhideWhenUsed/>
    <w:rsid w:val="006C22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4198">
      <w:bodyDiv w:val="1"/>
      <w:marLeft w:val="0"/>
      <w:marRight w:val="0"/>
      <w:marTop w:val="0"/>
      <w:marBottom w:val="0"/>
      <w:divBdr>
        <w:top w:val="none" w:sz="0" w:space="0" w:color="auto"/>
        <w:left w:val="none" w:sz="0" w:space="0" w:color="auto"/>
        <w:bottom w:val="none" w:sz="0" w:space="0" w:color="auto"/>
        <w:right w:val="none" w:sz="0" w:space="0" w:color="auto"/>
      </w:divBdr>
    </w:div>
    <w:div w:id="183205337">
      <w:bodyDiv w:val="1"/>
      <w:marLeft w:val="0"/>
      <w:marRight w:val="0"/>
      <w:marTop w:val="0"/>
      <w:marBottom w:val="0"/>
      <w:divBdr>
        <w:top w:val="none" w:sz="0" w:space="0" w:color="auto"/>
        <w:left w:val="none" w:sz="0" w:space="0" w:color="auto"/>
        <w:bottom w:val="none" w:sz="0" w:space="0" w:color="auto"/>
        <w:right w:val="none" w:sz="0" w:space="0" w:color="auto"/>
      </w:divBdr>
    </w:div>
    <w:div w:id="183831699">
      <w:bodyDiv w:val="1"/>
      <w:marLeft w:val="0"/>
      <w:marRight w:val="0"/>
      <w:marTop w:val="0"/>
      <w:marBottom w:val="0"/>
      <w:divBdr>
        <w:top w:val="none" w:sz="0" w:space="0" w:color="auto"/>
        <w:left w:val="none" w:sz="0" w:space="0" w:color="auto"/>
        <w:bottom w:val="none" w:sz="0" w:space="0" w:color="auto"/>
        <w:right w:val="none" w:sz="0" w:space="0" w:color="auto"/>
      </w:divBdr>
    </w:div>
    <w:div w:id="497426188">
      <w:bodyDiv w:val="1"/>
      <w:marLeft w:val="0"/>
      <w:marRight w:val="0"/>
      <w:marTop w:val="0"/>
      <w:marBottom w:val="0"/>
      <w:divBdr>
        <w:top w:val="none" w:sz="0" w:space="0" w:color="auto"/>
        <w:left w:val="none" w:sz="0" w:space="0" w:color="auto"/>
        <w:bottom w:val="none" w:sz="0" w:space="0" w:color="auto"/>
        <w:right w:val="none" w:sz="0" w:space="0" w:color="auto"/>
      </w:divBdr>
    </w:div>
    <w:div w:id="957754816">
      <w:bodyDiv w:val="1"/>
      <w:marLeft w:val="0"/>
      <w:marRight w:val="0"/>
      <w:marTop w:val="0"/>
      <w:marBottom w:val="0"/>
      <w:divBdr>
        <w:top w:val="none" w:sz="0" w:space="0" w:color="auto"/>
        <w:left w:val="none" w:sz="0" w:space="0" w:color="auto"/>
        <w:bottom w:val="none" w:sz="0" w:space="0" w:color="auto"/>
        <w:right w:val="none" w:sz="0" w:space="0" w:color="auto"/>
      </w:divBdr>
    </w:div>
    <w:div w:id="1063288083">
      <w:bodyDiv w:val="1"/>
      <w:marLeft w:val="0"/>
      <w:marRight w:val="0"/>
      <w:marTop w:val="0"/>
      <w:marBottom w:val="0"/>
      <w:divBdr>
        <w:top w:val="none" w:sz="0" w:space="0" w:color="auto"/>
        <w:left w:val="none" w:sz="0" w:space="0" w:color="auto"/>
        <w:bottom w:val="none" w:sz="0" w:space="0" w:color="auto"/>
        <w:right w:val="none" w:sz="0" w:space="0" w:color="auto"/>
      </w:divBdr>
    </w:div>
    <w:div w:id="1499343474">
      <w:bodyDiv w:val="1"/>
      <w:marLeft w:val="0"/>
      <w:marRight w:val="0"/>
      <w:marTop w:val="0"/>
      <w:marBottom w:val="0"/>
      <w:divBdr>
        <w:top w:val="none" w:sz="0" w:space="0" w:color="auto"/>
        <w:left w:val="none" w:sz="0" w:space="0" w:color="auto"/>
        <w:bottom w:val="none" w:sz="0" w:space="0" w:color="auto"/>
        <w:right w:val="none" w:sz="0" w:space="0" w:color="auto"/>
      </w:divBdr>
    </w:div>
    <w:div w:id="1876503287">
      <w:bodyDiv w:val="1"/>
      <w:marLeft w:val="0"/>
      <w:marRight w:val="0"/>
      <w:marTop w:val="0"/>
      <w:marBottom w:val="0"/>
      <w:divBdr>
        <w:top w:val="none" w:sz="0" w:space="0" w:color="auto"/>
        <w:left w:val="none" w:sz="0" w:space="0" w:color="auto"/>
        <w:bottom w:val="none" w:sz="0" w:space="0" w:color="auto"/>
        <w:right w:val="none" w:sz="0" w:space="0" w:color="auto"/>
      </w:divBdr>
    </w:div>
    <w:div w:id="1997301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ra.org.uk/solicitors/guidance/equality-diversity-inclusion/" TargetMode="External"/><Relationship Id="rId3" Type="http://schemas.openxmlformats.org/officeDocument/2006/relationships/settings" Target="settings.xml"/><Relationship Id="rId7" Type="http://schemas.openxmlformats.org/officeDocument/2006/relationships/hyperlink" Target="https://www.sra.org.uk/solicitors/standards-regul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2041</Words>
  <Characters>11635</Characters>
  <Application>Microsoft Office Word</Application>
  <DocSecurity>0</DocSecurity>
  <Lines>96</Lines>
  <Paragraphs>27</Paragraphs>
  <ScaleCrop>false</ScaleCrop>
  <Company/>
  <LinksUpToDate>false</LinksUpToDate>
  <CharactersWithSpaces>13649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Adeel Fakhr (2211521)</dc:creator>
  <cp:keywords/>
  <dc:description/>
  <cp:lastModifiedBy>Daniel Tutu</cp:lastModifiedBy>
  <cp:revision>3</cp:revision>
  <dcterms:created xsi:type="dcterms:W3CDTF">2023-07-03T09:57:00Z</dcterms:created>
  <dcterms:modified xsi:type="dcterms:W3CDTF">2023-07-03T11:03:00Z</dcterms:modified>
</cp:coreProperties>
</file>