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5EA2" w:rsidRDefault="00325EA2">
      <w:pPr>
        <w:spacing w:line="360" w:lineRule="auto"/>
        <w:jc w:val="center"/>
        <w:rPr>
          <w:rFonts w:ascii="Times New Roman" w:eastAsia="Times New Roman" w:hAnsi="Times New Roman" w:cs="Times New Roman"/>
          <w:b/>
          <w:sz w:val="32"/>
          <w:szCs w:val="32"/>
          <w:lang w:val="en-GB"/>
        </w:rPr>
      </w:pPr>
      <w:bookmarkStart w:id="0" w:name="_GoBack"/>
      <w:bookmarkEnd w:id="0"/>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E72386">
      <w:pPr>
        <w:spacing w:line="360" w:lineRule="auto"/>
        <w:jc w:val="center"/>
        <w:rPr>
          <w:rFonts w:ascii="Times New Roman" w:eastAsia="Times New Roman" w:hAnsi="Times New Roman" w:cs="Times New Roman"/>
          <w:b/>
          <w:sz w:val="32"/>
          <w:szCs w:val="32"/>
          <w:lang w:val="en-GB"/>
        </w:rPr>
      </w:pPr>
      <w:r w:rsidRPr="001D19E2">
        <w:rPr>
          <w:rFonts w:ascii="Times New Roman" w:eastAsia="Times New Roman" w:hAnsi="Times New Roman" w:cs="Times New Roman"/>
          <w:b/>
          <w:sz w:val="32"/>
          <w:szCs w:val="32"/>
          <w:lang w:val="en-GB"/>
        </w:rPr>
        <w:t>ACCOUNTING FUNDAMENTALS</w:t>
      </w:r>
    </w:p>
    <w:p w:rsidR="00325EA2" w:rsidRDefault="00325EA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w:t>
      </w:r>
      <w:r w:rsidR="00EC6339">
        <w:rPr>
          <w:rFonts w:ascii="Times New Roman" w:eastAsia="Times New Roman" w:hAnsi="Times New Roman" w:cs="Times New Roman"/>
          <w:b/>
          <w:sz w:val="32"/>
          <w:szCs w:val="32"/>
          <w:lang w:val="en-GB"/>
        </w:rPr>
        <w:t xml:space="preserve"> </w:t>
      </w:r>
      <w:proofErr w:type="spellStart"/>
      <w:r w:rsidR="00EC6339">
        <w:rPr>
          <w:rFonts w:ascii="Times New Roman" w:eastAsia="Times New Roman" w:hAnsi="Times New Roman" w:cs="Times New Roman"/>
          <w:b/>
          <w:sz w:val="32"/>
          <w:szCs w:val="32"/>
          <w:lang w:val="en-GB"/>
        </w:rPr>
        <w:t>Alexandru</w:t>
      </w:r>
      <w:proofErr w:type="spellEnd"/>
      <w:r w:rsidR="00EC6339">
        <w:rPr>
          <w:rFonts w:ascii="Times New Roman" w:eastAsia="Times New Roman" w:hAnsi="Times New Roman" w:cs="Times New Roman"/>
          <w:b/>
          <w:sz w:val="32"/>
          <w:szCs w:val="32"/>
          <w:lang w:val="en-GB"/>
        </w:rPr>
        <w:t xml:space="preserve"> </w:t>
      </w:r>
      <w:proofErr w:type="spellStart"/>
      <w:r w:rsidR="00EC6339">
        <w:rPr>
          <w:rFonts w:ascii="Times New Roman" w:eastAsia="Times New Roman" w:hAnsi="Times New Roman" w:cs="Times New Roman"/>
          <w:b/>
          <w:sz w:val="32"/>
          <w:szCs w:val="32"/>
          <w:lang w:val="en-GB"/>
        </w:rPr>
        <w:t>Cretu</w:t>
      </w:r>
      <w:proofErr w:type="spellEnd"/>
    </w:p>
    <w:p w:rsidR="00325EA2" w:rsidRDefault="00325EA2">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w:t>
      </w:r>
      <w:r w:rsidR="00EC6339">
        <w:rPr>
          <w:rFonts w:ascii="Times New Roman" w:eastAsia="Times New Roman" w:hAnsi="Times New Roman" w:cs="Times New Roman"/>
          <w:b/>
          <w:sz w:val="32"/>
          <w:szCs w:val="32"/>
          <w:lang w:val="en-GB"/>
        </w:rPr>
        <w:t xml:space="preserve"> 2113196</w:t>
      </w:r>
    </w:p>
    <w:p w:rsidR="00325EA2" w:rsidRDefault="00325EA2">
      <w:pPr>
        <w:spacing w:line="360" w:lineRule="auto"/>
        <w:jc w:val="center"/>
        <w:rPr>
          <w:rFonts w:ascii="Times New Roman" w:eastAsia="Times New Roman" w:hAnsi="Times New Roman" w:cs="Times New Roman"/>
          <w:b/>
          <w:sz w:val="32"/>
          <w:szCs w:val="32"/>
          <w:lang w:val="en-GB"/>
        </w:rPr>
      </w:pPr>
    </w:p>
    <w:p w:rsidR="00325EA2" w:rsidRDefault="00325EA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color w:val="auto"/>
          <w:sz w:val="22"/>
          <w:szCs w:val="22"/>
          <w:lang w:val="ro-RO" w:eastAsia="en-IN"/>
        </w:rPr>
        <w:id w:val="439192146"/>
        <w:docPartObj>
          <w:docPartGallery w:val="Table of Contents"/>
          <w:docPartUnique/>
        </w:docPartObj>
      </w:sdtPr>
      <w:sdtEndPr>
        <w:rPr>
          <w:b/>
          <w:bCs/>
          <w:noProof/>
        </w:rPr>
      </w:sdtEndPr>
      <w:sdtContent>
        <w:p w:rsidR="00325EA2" w:rsidRPr="00325EA2" w:rsidRDefault="00325EA2" w:rsidP="00325EA2">
          <w:pPr>
            <w:pStyle w:val="Titlucuprins"/>
            <w:jc w:val="center"/>
            <w:rPr>
              <w:rFonts w:ascii="Times New Roman" w:hAnsi="Times New Roman" w:cs="Times New Roman"/>
              <w:b/>
              <w:color w:val="000000" w:themeColor="text1"/>
              <w:sz w:val="24"/>
              <w:szCs w:val="24"/>
            </w:rPr>
          </w:pPr>
          <w:r w:rsidRPr="00325EA2">
            <w:rPr>
              <w:rFonts w:ascii="Times New Roman" w:hAnsi="Times New Roman" w:cs="Times New Roman"/>
              <w:b/>
              <w:color w:val="000000" w:themeColor="text1"/>
              <w:sz w:val="24"/>
              <w:szCs w:val="24"/>
            </w:rPr>
            <w:t>Table of Contents</w:t>
          </w:r>
        </w:p>
        <w:p w:rsidR="00325EA2" w:rsidRPr="00325EA2" w:rsidRDefault="00325EA2" w:rsidP="00325EA2">
          <w:pPr>
            <w:pStyle w:val="Cuprins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1131428" w:history="1">
            <w:r w:rsidRPr="00325EA2">
              <w:rPr>
                <w:rStyle w:val="Hyperlink"/>
                <w:rFonts w:ascii="Times New Roman" w:hAnsi="Times New Roman" w:cs="Times New Roman"/>
                <w:noProof/>
                <w:sz w:val="24"/>
                <w:szCs w:val="24"/>
                <w:lang w:val="en-GB"/>
              </w:rPr>
              <w:t>Introduction</w:t>
            </w:r>
            <w:r w:rsidRPr="00325EA2">
              <w:rPr>
                <w:rFonts w:ascii="Times New Roman" w:hAnsi="Times New Roman" w:cs="Times New Roman"/>
                <w:noProof/>
                <w:webHidden/>
                <w:sz w:val="24"/>
                <w:szCs w:val="24"/>
              </w:rPr>
              <w:tab/>
            </w:r>
            <w:r w:rsidRPr="00325EA2">
              <w:rPr>
                <w:rFonts w:ascii="Times New Roman" w:hAnsi="Times New Roman" w:cs="Times New Roman"/>
                <w:noProof/>
                <w:webHidden/>
                <w:sz w:val="24"/>
                <w:szCs w:val="24"/>
              </w:rPr>
              <w:fldChar w:fldCharType="begin"/>
            </w:r>
            <w:r w:rsidRPr="00325EA2">
              <w:rPr>
                <w:rFonts w:ascii="Times New Roman" w:hAnsi="Times New Roman" w:cs="Times New Roman"/>
                <w:noProof/>
                <w:webHidden/>
                <w:sz w:val="24"/>
                <w:szCs w:val="24"/>
              </w:rPr>
              <w:instrText xml:space="preserve"> PAGEREF _Toc111131428 \h </w:instrText>
            </w:r>
            <w:r w:rsidRPr="00325EA2">
              <w:rPr>
                <w:rFonts w:ascii="Times New Roman" w:hAnsi="Times New Roman" w:cs="Times New Roman"/>
                <w:noProof/>
                <w:webHidden/>
                <w:sz w:val="24"/>
                <w:szCs w:val="24"/>
              </w:rPr>
            </w:r>
            <w:r w:rsidRPr="00325EA2">
              <w:rPr>
                <w:rFonts w:ascii="Times New Roman" w:hAnsi="Times New Roman" w:cs="Times New Roman"/>
                <w:noProof/>
                <w:webHidden/>
                <w:sz w:val="24"/>
                <w:szCs w:val="24"/>
              </w:rPr>
              <w:fldChar w:fldCharType="separate"/>
            </w:r>
            <w:r w:rsidRPr="00325EA2">
              <w:rPr>
                <w:rFonts w:ascii="Times New Roman" w:hAnsi="Times New Roman" w:cs="Times New Roman"/>
                <w:noProof/>
                <w:webHidden/>
                <w:sz w:val="24"/>
                <w:szCs w:val="24"/>
              </w:rPr>
              <w:t>2</w:t>
            </w:r>
            <w:r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29" w:history="1">
            <w:r w:rsidR="00325EA2" w:rsidRPr="00325EA2">
              <w:rPr>
                <w:rStyle w:val="Hyperlink"/>
                <w:rFonts w:ascii="Times New Roman" w:hAnsi="Times New Roman" w:cs="Times New Roman"/>
                <w:noProof/>
                <w:sz w:val="24"/>
                <w:szCs w:val="24"/>
                <w:lang w:val="en-GB"/>
              </w:rPr>
              <w:t>Question 1</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_Toc111131429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2</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0" w:history="1">
            <w:r w:rsidR="00325EA2" w:rsidRPr="00325EA2">
              <w:rPr>
                <w:rStyle w:val="Hyperlink"/>
                <w:rFonts w:ascii="Times New Roman" w:hAnsi="Times New Roman" w:cs="Times New Roman"/>
                <w:noProof/>
                <w:sz w:val="24"/>
                <w:szCs w:val="24"/>
                <w:lang w:val="en-GB"/>
              </w:rPr>
              <w:t>a) Preparation of income statement and statement of financial position of Wales PLC</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_Toc111131430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2</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1" w:history="1">
            <w:r w:rsidR="00325EA2" w:rsidRPr="00325EA2">
              <w:rPr>
                <w:rStyle w:val="Hyperlink"/>
                <w:rFonts w:ascii="Times New Roman" w:hAnsi="Times New Roman" w:cs="Times New Roman"/>
                <w:noProof/>
                <w:sz w:val="24"/>
                <w:szCs w:val="24"/>
                <w:lang w:val="en-GB"/>
              </w:rPr>
              <w:t>b) Why statement of financial position balance</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_Toc111131431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6</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2" w:history="1">
            <w:r w:rsidR="00325EA2" w:rsidRPr="00325EA2">
              <w:rPr>
                <w:rStyle w:val="Hyperlink"/>
                <w:rFonts w:ascii="Times New Roman" w:hAnsi="Times New Roman" w:cs="Times New Roman"/>
                <w:noProof/>
                <w:sz w:val="24"/>
                <w:szCs w:val="24"/>
                <w:lang w:val="en-GB"/>
              </w:rPr>
              <w:t>Question 2</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_Toc111131432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7</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3" w:history="1">
            <w:r w:rsidR="00325EA2" w:rsidRPr="00325EA2">
              <w:rPr>
                <w:rStyle w:val="Hyperlink"/>
                <w:rFonts w:ascii="Times New Roman" w:hAnsi="Times New Roman" w:cs="Times New Roman"/>
                <w:noProof/>
                <w:sz w:val="24"/>
                <w:szCs w:val="24"/>
                <w:lang w:val="en-GB"/>
              </w:rPr>
              <w:t>a) Calculation of various ratios</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_Toc111131433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7</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2"/>
            <w:tabs>
              <w:tab w:val="right" w:leader="dot" w:pos="9350"/>
            </w:tabs>
            <w:spacing w:line="360" w:lineRule="auto"/>
            <w:jc w:val="both"/>
            <w:rPr>
              <w:rFonts w:ascii="Times New Roman" w:hAnsi="Times New Roman" w:cs="Times New Roman"/>
              <w:noProof/>
              <w:sz w:val="24"/>
              <w:szCs w:val="24"/>
            </w:rPr>
          </w:pPr>
          <w:hyperlink w:anchor="_Toc111131434" w:history="1">
            <w:r w:rsidR="00325EA2" w:rsidRPr="00325EA2">
              <w:rPr>
                <w:rStyle w:val="Hyperlink"/>
                <w:rFonts w:ascii="Times New Roman" w:hAnsi="Times New Roman" w:cs="Times New Roman"/>
                <w:noProof/>
                <w:sz w:val="24"/>
                <w:szCs w:val="24"/>
                <w:lang w:val="en-GB"/>
              </w:rPr>
              <w:t>b) Comment on financial performance and position of Sweet plc</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_Toc111131434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12</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5" w:history="1">
            <w:r w:rsidR="00325EA2" w:rsidRPr="00325EA2">
              <w:rPr>
                <w:rStyle w:val="Hyperlink"/>
                <w:rFonts w:ascii="Times New Roman" w:hAnsi="Times New Roman" w:cs="Times New Roman"/>
                <w:noProof/>
                <w:sz w:val="24"/>
                <w:szCs w:val="24"/>
                <w:lang w:val="en-GB"/>
              </w:rPr>
              <w:t>Conclusion</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_Toc111131435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13</w:t>
            </w:r>
            <w:r w:rsidR="00325EA2" w:rsidRPr="00325EA2">
              <w:rPr>
                <w:rFonts w:ascii="Times New Roman" w:hAnsi="Times New Roman" w:cs="Times New Roman"/>
                <w:noProof/>
                <w:webHidden/>
                <w:sz w:val="24"/>
                <w:szCs w:val="24"/>
              </w:rPr>
              <w:fldChar w:fldCharType="end"/>
            </w:r>
          </w:hyperlink>
        </w:p>
        <w:p w:rsidR="00325EA2" w:rsidRPr="00325EA2" w:rsidRDefault="00543218" w:rsidP="00325EA2">
          <w:pPr>
            <w:pStyle w:val="Cuprins1"/>
            <w:tabs>
              <w:tab w:val="right" w:leader="dot" w:pos="9350"/>
            </w:tabs>
            <w:spacing w:line="360" w:lineRule="auto"/>
            <w:jc w:val="both"/>
            <w:rPr>
              <w:rFonts w:ascii="Times New Roman" w:hAnsi="Times New Roman" w:cs="Times New Roman"/>
              <w:noProof/>
              <w:sz w:val="24"/>
              <w:szCs w:val="24"/>
            </w:rPr>
          </w:pPr>
          <w:hyperlink w:anchor="_Toc111131436" w:history="1">
            <w:r w:rsidR="00325EA2" w:rsidRPr="00325EA2">
              <w:rPr>
                <w:rStyle w:val="Hyperlink"/>
                <w:rFonts w:ascii="Times New Roman" w:hAnsi="Times New Roman" w:cs="Times New Roman"/>
                <w:noProof/>
                <w:sz w:val="24"/>
                <w:szCs w:val="24"/>
                <w:lang w:val="en-GB"/>
              </w:rPr>
              <w:t>References</w:t>
            </w:r>
            <w:r w:rsidR="00325EA2" w:rsidRPr="00325EA2">
              <w:rPr>
                <w:rFonts w:ascii="Times New Roman" w:hAnsi="Times New Roman" w:cs="Times New Roman"/>
                <w:noProof/>
                <w:webHidden/>
                <w:sz w:val="24"/>
                <w:szCs w:val="24"/>
              </w:rPr>
              <w:tab/>
            </w:r>
            <w:r w:rsidR="00325EA2" w:rsidRPr="00325EA2">
              <w:rPr>
                <w:rFonts w:ascii="Times New Roman" w:hAnsi="Times New Roman" w:cs="Times New Roman"/>
                <w:noProof/>
                <w:webHidden/>
                <w:sz w:val="24"/>
                <w:szCs w:val="24"/>
              </w:rPr>
              <w:fldChar w:fldCharType="begin"/>
            </w:r>
            <w:r w:rsidR="00325EA2" w:rsidRPr="00325EA2">
              <w:rPr>
                <w:rFonts w:ascii="Times New Roman" w:hAnsi="Times New Roman" w:cs="Times New Roman"/>
                <w:noProof/>
                <w:webHidden/>
                <w:sz w:val="24"/>
                <w:szCs w:val="24"/>
              </w:rPr>
              <w:instrText xml:space="preserve"> PAGEREF _Toc111131436 \h </w:instrText>
            </w:r>
            <w:r w:rsidR="00325EA2" w:rsidRPr="00325EA2">
              <w:rPr>
                <w:rFonts w:ascii="Times New Roman" w:hAnsi="Times New Roman" w:cs="Times New Roman"/>
                <w:noProof/>
                <w:webHidden/>
                <w:sz w:val="24"/>
                <w:szCs w:val="24"/>
              </w:rPr>
            </w:r>
            <w:r w:rsidR="00325EA2" w:rsidRPr="00325EA2">
              <w:rPr>
                <w:rFonts w:ascii="Times New Roman" w:hAnsi="Times New Roman" w:cs="Times New Roman"/>
                <w:noProof/>
                <w:webHidden/>
                <w:sz w:val="24"/>
                <w:szCs w:val="24"/>
              </w:rPr>
              <w:fldChar w:fldCharType="separate"/>
            </w:r>
            <w:r w:rsidR="00325EA2" w:rsidRPr="00325EA2">
              <w:rPr>
                <w:rFonts w:ascii="Times New Roman" w:hAnsi="Times New Roman" w:cs="Times New Roman"/>
                <w:noProof/>
                <w:webHidden/>
                <w:sz w:val="24"/>
                <w:szCs w:val="24"/>
              </w:rPr>
              <w:t>14</w:t>
            </w:r>
            <w:r w:rsidR="00325EA2" w:rsidRPr="00325EA2">
              <w:rPr>
                <w:rFonts w:ascii="Times New Roman" w:hAnsi="Times New Roman" w:cs="Times New Roman"/>
                <w:noProof/>
                <w:webHidden/>
                <w:sz w:val="24"/>
                <w:szCs w:val="24"/>
              </w:rPr>
              <w:fldChar w:fldCharType="end"/>
            </w:r>
          </w:hyperlink>
        </w:p>
        <w:p w:rsidR="00325EA2" w:rsidRDefault="00325EA2">
          <w:r>
            <w:rPr>
              <w:b/>
              <w:bCs/>
              <w:noProof/>
            </w:rPr>
            <w:fldChar w:fldCharType="end"/>
          </w:r>
        </w:p>
      </w:sdtContent>
    </w:sdt>
    <w:p w:rsidR="006708DD" w:rsidRPr="001D19E2" w:rsidRDefault="00E72386">
      <w:pPr>
        <w:spacing w:line="360" w:lineRule="auto"/>
        <w:jc w:val="center"/>
        <w:rPr>
          <w:rFonts w:ascii="Times New Roman" w:eastAsia="Times New Roman" w:hAnsi="Times New Roman" w:cs="Times New Roman"/>
          <w:b/>
          <w:sz w:val="32"/>
          <w:szCs w:val="32"/>
          <w:lang w:val="en-GB"/>
        </w:rPr>
      </w:pPr>
      <w:r w:rsidRPr="001D19E2">
        <w:rPr>
          <w:lang w:val="en-GB"/>
        </w:rPr>
        <w:br w:type="page"/>
      </w:r>
    </w:p>
    <w:p w:rsidR="006708DD" w:rsidRPr="000905FE" w:rsidRDefault="00E72386" w:rsidP="000905FE">
      <w:pPr>
        <w:pStyle w:val="Titlu1"/>
        <w:rPr>
          <w:rFonts w:cs="Times New Roman"/>
          <w:szCs w:val="24"/>
          <w:lang w:val="en-GB"/>
        </w:rPr>
      </w:pPr>
      <w:bookmarkStart w:id="1" w:name="_Toc111131428"/>
      <w:r w:rsidRPr="000905FE">
        <w:rPr>
          <w:rFonts w:cs="Times New Roman"/>
          <w:szCs w:val="24"/>
          <w:lang w:val="en-GB"/>
        </w:rPr>
        <w:t>Introduction</w:t>
      </w:r>
      <w:bookmarkEnd w:id="1"/>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Every business entity tries to maintain its business process properly by creating its financial statements in an appropriate way</w:t>
      </w:r>
      <w:r w:rsidR="00B65B50" w:rsidRPr="000905FE">
        <w:rPr>
          <w:rFonts w:ascii="Times New Roman" w:eastAsia="Times New Roman" w:hAnsi="Times New Roman" w:cs="Times New Roman"/>
          <w:sz w:val="24"/>
          <w:szCs w:val="24"/>
          <w:lang w:val="en-GB"/>
        </w:rPr>
        <w:t xml:space="preserve"> (</w:t>
      </w:r>
      <w:proofErr w:type="spellStart"/>
      <w:r w:rsidR="00B65B50" w:rsidRPr="000905FE">
        <w:rPr>
          <w:rFonts w:ascii="Times New Roman" w:hAnsi="Times New Roman" w:cs="Times New Roman"/>
          <w:color w:val="222222"/>
          <w:sz w:val="24"/>
          <w:szCs w:val="24"/>
          <w:shd w:val="clear" w:color="auto" w:fill="FFFFFF"/>
        </w:rPr>
        <w:t>Svabova</w:t>
      </w:r>
      <w:proofErr w:type="spellEnd"/>
      <w:r w:rsidR="00B65B50" w:rsidRPr="000905FE">
        <w:rPr>
          <w:rFonts w:ascii="Times New Roman" w:hAnsi="Times New Roman" w:cs="Times New Roman"/>
          <w:color w:val="222222"/>
          <w:sz w:val="24"/>
          <w:szCs w:val="24"/>
          <w:shd w:val="clear" w:color="auto" w:fill="FFFFFF"/>
        </w:rPr>
        <w:t xml:space="preserve"> </w:t>
      </w:r>
      <w:r w:rsidR="00B65B50" w:rsidRPr="000905FE">
        <w:rPr>
          <w:rFonts w:ascii="Times New Roman" w:hAnsi="Times New Roman" w:cs="Times New Roman"/>
          <w:i/>
          <w:color w:val="222222"/>
          <w:sz w:val="24"/>
          <w:szCs w:val="24"/>
          <w:shd w:val="clear" w:color="auto" w:fill="FFFFFF"/>
        </w:rPr>
        <w:t xml:space="preserve">et al., </w:t>
      </w:r>
      <w:r w:rsidR="00B65B50" w:rsidRPr="000905FE">
        <w:rPr>
          <w:rFonts w:ascii="Times New Roman" w:hAnsi="Times New Roman" w:cs="Times New Roman"/>
          <w:color w:val="222222"/>
          <w:sz w:val="24"/>
          <w:szCs w:val="24"/>
          <w:shd w:val="clear" w:color="auto" w:fill="FFFFFF"/>
        </w:rPr>
        <w:t>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When a business entity prepares its financial statements by maintaining rules and regulations of accounting properly then they get a huge advantage in its business process. They easily identify the “opportunities and weaknesses” of their business operation. This paper is going to prepare the financial statement and financial position of wales plc to understand their current “financial position”. The second part of the paper will analyse the ratio of Sweets plc to understand “their current financial performance” and current situations. In this context, it is necessary to mention that the analyse of “financial ratios” is also very effective for understanding a business entity’s financial performance. So the discussion of this whole report will clearly reveal the performance of two different organisations. </w:t>
      </w:r>
    </w:p>
    <w:p w:rsidR="006708DD" w:rsidRPr="000905FE" w:rsidRDefault="00E72386" w:rsidP="000905FE">
      <w:pPr>
        <w:pStyle w:val="Titlu1"/>
        <w:rPr>
          <w:rFonts w:cs="Times New Roman"/>
          <w:szCs w:val="24"/>
          <w:lang w:val="en-GB"/>
        </w:rPr>
      </w:pPr>
      <w:bookmarkStart w:id="2" w:name="_Toc111131429"/>
      <w:r w:rsidRPr="000905FE">
        <w:rPr>
          <w:rFonts w:cs="Times New Roman"/>
          <w:szCs w:val="24"/>
          <w:lang w:val="en-GB"/>
        </w:rPr>
        <w:t>Question 1</w:t>
      </w:r>
      <w:bookmarkEnd w:id="2"/>
    </w:p>
    <w:p w:rsidR="006708DD" w:rsidRPr="000905FE" w:rsidRDefault="00E72386" w:rsidP="000905FE">
      <w:pPr>
        <w:pStyle w:val="Titlu2"/>
        <w:rPr>
          <w:rFonts w:cs="Times New Roman"/>
          <w:szCs w:val="24"/>
          <w:lang w:val="en-GB"/>
        </w:rPr>
      </w:pPr>
      <w:bookmarkStart w:id="3" w:name="_Toc111131430"/>
      <w:r w:rsidRPr="000905FE">
        <w:rPr>
          <w:rFonts w:cs="Times New Roman"/>
          <w:szCs w:val="24"/>
          <w:lang w:val="en-GB"/>
        </w:rPr>
        <w:t xml:space="preserve">a) Preparation of income statement and </w:t>
      </w:r>
      <w:r w:rsidR="001D19E2" w:rsidRPr="000905FE">
        <w:rPr>
          <w:rFonts w:cs="Times New Roman"/>
          <w:szCs w:val="24"/>
          <w:lang w:val="en-GB"/>
        </w:rPr>
        <w:t>statement of</w:t>
      </w:r>
      <w:r w:rsidRPr="000905FE">
        <w:rPr>
          <w:rFonts w:cs="Times New Roman"/>
          <w:szCs w:val="24"/>
          <w:lang w:val="en-GB"/>
        </w:rPr>
        <w:t xml:space="preserve"> financial position of Wales PLC</w:t>
      </w:r>
      <w:bookmarkEnd w:id="3"/>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i/>
          <w:sz w:val="24"/>
          <w:szCs w:val="24"/>
          <w:lang w:val="en-GB"/>
        </w:rPr>
        <w:t>Income statement</w:t>
      </w:r>
    </w:p>
    <w:tbl>
      <w:tblPr>
        <w:tblStyle w:val="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3113"/>
        <w:gridCol w:w="1045"/>
        <w:gridCol w:w="1111"/>
        <w:gridCol w:w="1935"/>
        <w:gridCol w:w="1045"/>
        <w:gridCol w:w="1111"/>
      </w:tblGrid>
      <w:tr w:rsidR="006708DD" w:rsidRPr="000905FE" w:rsidTr="001D19E2">
        <w:trPr>
          <w:trHeight w:val="515"/>
          <w:jc w:val="center"/>
        </w:trPr>
        <w:tc>
          <w:tcPr>
            <w:tcW w:w="3111" w:type="dxa"/>
            <w:tcBorders>
              <w:top w:val="single" w:sz="8" w:space="0" w:color="000000"/>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proofErr w:type="spellStart"/>
            <w:r w:rsidRPr="000905FE">
              <w:rPr>
                <w:rFonts w:ascii="Times New Roman" w:eastAsia="Times New Roman" w:hAnsi="Times New Roman" w:cs="Times New Roman"/>
                <w:sz w:val="24"/>
                <w:szCs w:val="24"/>
                <w:lang w:val="en-GB"/>
              </w:rPr>
              <w:t>Dr.</w:t>
            </w:r>
            <w:proofErr w:type="spellEnd"/>
          </w:p>
        </w:tc>
        <w:tc>
          <w:tcPr>
            <w:tcW w:w="1045"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single" w:sz="8" w:space="0" w:color="000000"/>
              <w:left w:val="nil"/>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Cr.</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 the books of Wales plc"</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"For the year ended 31/12/2021"</w:t>
            </w:r>
          </w:p>
        </w:tc>
      </w:tr>
      <w:tr w:rsidR="006708DD" w:rsidRPr="000905FE" w:rsidTr="001D19E2">
        <w:trPr>
          <w:trHeight w:val="515"/>
          <w:jc w:val="center"/>
        </w:trPr>
        <w:tc>
          <w:tcPr>
            <w:tcW w:w="9357"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"Income Statement"</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purchase</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5,78,650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By Sales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8,00,000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gross profit C/d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8,00,000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8,00,000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By gross profit b/d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interest paid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Admin expenses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director's remuneration</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pay of ordinary dividend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distribution costs</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28,000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pay of preference dividend</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corporation tax</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 outstanding commission</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 net profit</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3,350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515"/>
          <w:jc w:val="center"/>
        </w:trPr>
        <w:tc>
          <w:tcPr>
            <w:tcW w:w="3111"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934"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04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111"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221350</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 Wales PLC’s income statement</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1D19E2" w:rsidRPr="000905FE" w:rsidRDefault="00E72386" w:rsidP="000905FE">
      <w:pPr>
        <w:spacing w:line="360" w:lineRule="auto"/>
        <w:jc w:val="both"/>
        <w:rPr>
          <w:rFonts w:ascii="Times New Roman" w:eastAsia="Times New Roman" w:hAnsi="Times New Roman" w:cs="Times New Roman"/>
          <w:b/>
          <w:i/>
          <w:sz w:val="24"/>
          <w:szCs w:val="24"/>
          <w:lang w:val="en-GB"/>
        </w:rPr>
      </w:pPr>
      <w:r w:rsidRPr="000905FE">
        <w:rPr>
          <w:rFonts w:ascii="Times New Roman" w:eastAsia="Times New Roman" w:hAnsi="Times New Roman" w:cs="Times New Roman"/>
          <w:b/>
          <w:i/>
          <w:sz w:val="24"/>
          <w:szCs w:val="24"/>
          <w:lang w:val="en-GB"/>
        </w:rPr>
        <w:t>Statement of financial position</w:t>
      </w:r>
    </w:p>
    <w:tbl>
      <w:tblPr>
        <w:tblStyle w:val="a0"/>
        <w:tblW w:w="9885" w:type="dxa"/>
        <w:jc w:val="center"/>
        <w:tblBorders>
          <w:top w:val="nil"/>
          <w:left w:val="nil"/>
          <w:bottom w:val="nil"/>
          <w:right w:val="nil"/>
          <w:insideH w:val="nil"/>
          <w:insideV w:val="nil"/>
        </w:tblBorders>
        <w:tblLayout w:type="fixed"/>
        <w:tblLook w:val="0600" w:firstRow="0" w:lastRow="0" w:firstColumn="0" w:lastColumn="0" w:noHBand="1" w:noVBand="1"/>
      </w:tblPr>
      <w:tblGrid>
        <w:gridCol w:w="4605"/>
        <w:gridCol w:w="885"/>
        <w:gridCol w:w="975"/>
        <w:gridCol w:w="1500"/>
        <w:gridCol w:w="420"/>
        <w:gridCol w:w="1500"/>
      </w:tblGrid>
      <w:tr w:rsidR="006708DD" w:rsidRPr="000905FE" w:rsidTr="001D19E2">
        <w:trPr>
          <w:trHeight w:val="890"/>
          <w:jc w:val="center"/>
        </w:trPr>
        <w:tc>
          <w:tcPr>
            <w:tcW w:w="9885" w:type="dxa"/>
            <w:gridSpan w:val="6"/>
            <w:tcBorders>
              <w:top w:val="single" w:sz="8" w:space="0" w:color="000000"/>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 the books of Wales plc</w:t>
            </w:r>
          </w:p>
        </w:tc>
      </w:tr>
      <w:tr w:rsidR="006708DD" w:rsidRPr="000905FE" w:rsidTr="001D19E2">
        <w:trPr>
          <w:trHeight w:val="890"/>
          <w:jc w:val="center"/>
        </w:trPr>
        <w:tc>
          <w:tcPr>
            <w:tcW w:w="9885"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For the year ended 31/12/2021</w:t>
            </w:r>
          </w:p>
        </w:tc>
      </w:tr>
      <w:tr w:rsidR="006708DD" w:rsidRPr="000905FE" w:rsidTr="001D19E2">
        <w:trPr>
          <w:trHeight w:val="890"/>
          <w:jc w:val="center"/>
        </w:trPr>
        <w:tc>
          <w:tcPr>
            <w:tcW w:w="9885" w:type="dxa"/>
            <w:gridSpan w:val="6"/>
            <w:tcBorders>
              <w:top w:val="nil"/>
              <w:left w:val="single" w:sz="8" w:space="0" w:color="000000"/>
              <w:bottom w:val="single" w:sz="8" w:space="0" w:color="000000"/>
              <w:right w:val="single" w:sz="8" w:space="0" w:color="000000"/>
            </w:tcBorders>
            <w:shd w:val="clear" w:color="auto" w:fill="FDE9D9"/>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Statement of financial position</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Liabilities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Asset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Share capital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Ordinary share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Fixed Asset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Preference share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Plant</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6,50,000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7,00,000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Current assets</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Add: Net profit</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3,350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Trade receivable</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1,70,125</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Add: retained earning</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1,32,000</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Cash and bank</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76,250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8,35,350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3,30,600</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Debentures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Outstanding expenses</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Corporation tax</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100000</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89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Trade payable</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188625</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r>
      <w:tr w:rsidR="006708DD" w:rsidRPr="000905FE" w:rsidTr="001D19E2">
        <w:trPr>
          <w:trHeight w:val="920"/>
          <w:jc w:val="center"/>
        </w:trPr>
        <w:tc>
          <w:tcPr>
            <w:tcW w:w="4605" w:type="dxa"/>
            <w:tcBorders>
              <w:top w:val="nil"/>
              <w:left w:val="single" w:sz="8" w:space="0" w:color="000000"/>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88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975"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12,26,975</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Total</w:t>
            </w:r>
          </w:p>
        </w:tc>
        <w:tc>
          <w:tcPr>
            <w:tcW w:w="42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 </w:t>
            </w:r>
          </w:p>
        </w:tc>
        <w:tc>
          <w:tcPr>
            <w:tcW w:w="1500" w:type="dxa"/>
            <w:tcBorders>
              <w:top w:val="nil"/>
              <w:left w:val="nil"/>
              <w:bottom w:val="single" w:sz="8" w:space="0" w:color="000000"/>
              <w:right w:val="single" w:sz="8" w:space="0" w:color="000000"/>
            </w:tcBorders>
            <w:shd w:val="clear" w:color="auto" w:fill="D8E4BC"/>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12,26,975</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2: statement of financial position of wales plc</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B65B50"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The income statement of any business entity gives a clear idea about the financial performance and financial position of them</w:t>
      </w:r>
      <w:r w:rsidR="00B65B50" w:rsidRPr="000905FE">
        <w:rPr>
          <w:rFonts w:ascii="Times New Roman" w:eastAsia="Times New Roman" w:hAnsi="Times New Roman" w:cs="Times New Roman"/>
          <w:sz w:val="24"/>
          <w:szCs w:val="24"/>
          <w:lang w:val="en-GB"/>
        </w:rPr>
        <w:t xml:space="preserve"> (</w:t>
      </w:r>
      <w:proofErr w:type="spellStart"/>
      <w:r w:rsidR="00B65B50" w:rsidRPr="000905FE">
        <w:rPr>
          <w:rFonts w:ascii="Times New Roman" w:hAnsi="Times New Roman" w:cs="Times New Roman"/>
          <w:color w:val="222222"/>
          <w:sz w:val="24"/>
          <w:szCs w:val="24"/>
          <w:shd w:val="clear" w:color="auto" w:fill="FFFFFF"/>
        </w:rPr>
        <w:t>Gardi</w:t>
      </w:r>
      <w:proofErr w:type="spellEnd"/>
      <w:r w:rsidR="00B65B50" w:rsidRPr="000905FE">
        <w:rPr>
          <w:rFonts w:ascii="Times New Roman" w:hAnsi="Times New Roman" w:cs="Times New Roman"/>
          <w:color w:val="222222"/>
          <w:sz w:val="24"/>
          <w:szCs w:val="24"/>
          <w:shd w:val="clear" w:color="auto" w:fill="FFFFFF"/>
        </w:rPr>
        <w:t xml:space="preserve"> </w:t>
      </w:r>
      <w:r w:rsidR="00B65B50" w:rsidRPr="000905FE">
        <w:rPr>
          <w:rFonts w:ascii="Times New Roman" w:hAnsi="Times New Roman" w:cs="Times New Roman"/>
          <w:i/>
          <w:color w:val="222222"/>
          <w:sz w:val="24"/>
          <w:szCs w:val="24"/>
          <w:shd w:val="clear" w:color="auto" w:fill="FFFFFF"/>
        </w:rPr>
        <w:t xml:space="preserve">et al., </w:t>
      </w:r>
      <w:r w:rsidR="00B65B50" w:rsidRPr="000905FE">
        <w:rPr>
          <w:rFonts w:ascii="Times New Roman" w:hAnsi="Times New Roman" w:cs="Times New Roman"/>
          <w:color w:val="222222"/>
          <w:sz w:val="24"/>
          <w:szCs w:val="24"/>
          <w:shd w:val="clear" w:color="auto" w:fill="FFFFFF"/>
        </w:rPr>
        <w:t>2021</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So the appropriate preparation of financial statements is essential for any business entity. The “financial statement” of any business entity reveals the amount of sales, purchases, and direct or indirect expenses made by the business entity appropriately. That is why maintenance of proper accounting function in the time of preparation of financial statement is very much necessary. The “financial statement” of any business entity gives a clear indication of the “gross profit” of the business entity in particular years. By understanding the value or amount of “gross profit” a business entity can estimate what will be their net profit for that year. Identification of this thing is very important for estimating and understanding the “financial performance” of a business entity.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It is also very effective for comparing the performance of a particular business entity with its competitor and other companies. The “income statement” of wales plc is also giving a clear idea about their performance</w:t>
      </w:r>
      <w:r w:rsidR="00B65B50" w:rsidRPr="000905FE">
        <w:rPr>
          <w:rFonts w:ascii="Times New Roman" w:eastAsia="Times New Roman" w:hAnsi="Times New Roman" w:cs="Times New Roman"/>
          <w:sz w:val="24"/>
          <w:szCs w:val="24"/>
          <w:lang w:val="en-GB"/>
        </w:rPr>
        <w:t xml:space="preserve"> (</w:t>
      </w:r>
      <w:r w:rsidR="00B65B50" w:rsidRPr="000905FE">
        <w:rPr>
          <w:rFonts w:ascii="Times New Roman" w:hAnsi="Times New Roman" w:cs="Times New Roman"/>
          <w:color w:val="222222"/>
          <w:sz w:val="24"/>
          <w:szCs w:val="24"/>
          <w:shd w:val="clear" w:color="auto" w:fill="FFFFFF"/>
        </w:rPr>
        <w:t xml:space="preserve">Napier </w:t>
      </w:r>
      <w:proofErr w:type="spellStart"/>
      <w:r w:rsidR="00B65B50" w:rsidRPr="000905FE">
        <w:rPr>
          <w:rFonts w:ascii="Times New Roman" w:hAnsi="Times New Roman" w:cs="Times New Roman"/>
          <w:color w:val="222222"/>
          <w:sz w:val="24"/>
          <w:szCs w:val="24"/>
          <w:shd w:val="clear" w:color="auto" w:fill="FFFFFF"/>
        </w:rPr>
        <w:t>and</w:t>
      </w:r>
      <w:proofErr w:type="spellEnd"/>
      <w:r w:rsidR="00B65B50" w:rsidRPr="000905FE">
        <w:rPr>
          <w:rFonts w:ascii="Times New Roman" w:hAnsi="Times New Roman" w:cs="Times New Roman"/>
          <w:color w:val="222222"/>
          <w:sz w:val="24"/>
          <w:szCs w:val="24"/>
          <w:shd w:val="clear" w:color="auto" w:fill="FFFFFF"/>
        </w:rPr>
        <w:t xml:space="preserve"> </w:t>
      </w:r>
      <w:proofErr w:type="spellStart"/>
      <w:r w:rsidR="00B65B50" w:rsidRPr="000905FE">
        <w:rPr>
          <w:rFonts w:ascii="Times New Roman" w:hAnsi="Times New Roman" w:cs="Times New Roman"/>
          <w:color w:val="222222"/>
          <w:sz w:val="24"/>
          <w:szCs w:val="24"/>
          <w:shd w:val="clear" w:color="auto" w:fill="FFFFFF"/>
        </w:rPr>
        <w:t>Stadler</w:t>
      </w:r>
      <w:proofErr w:type="spellEnd"/>
      <w:r w:rsidR="00B65B50" w:rsidRPr="000905FE">
        <w:rPr>
          <w:rFonts w:ascii="Times New Roman" w:hAnsi="Times New Roman" w:cs="Times New Roman"/>
          <w:color w:val="222222"/>
          <w:sz w:val="24"/>
          <w:szCs w:val="24"/>
          <w:shd w:val="clear" w:color="auto" w:fill="FFFFFF"/>
        </w:rPr>
        <w:t xml:space="preserve"> 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“Income statement” of wales plc is showing the amount of sales, purchases made by the company in the year 2021 and the figure will help them to get a clear idea about their financial position. They can compare their income statement with their competitors also to understand whether their performance is superior to their competitors or not. If they find that they need to increase their performance or the performance of their competitors is stronger than theirs then they can choose a proper strategy for increasing performance. So the income statement of a business entity is very important and it is a clear indicator of the performance of Wales plc. This statement will help the management of Wales plc to compare their current performance with the previous performance as well. So they can easily identify whether the position of their business operation becomes strong or weak. </w:t>
      </w:r>
    </w:p>
    <w:p w:rsidR="006708DD" w:rsidRPr="000905FE" w:rsidRDefault="00E72386" w:rsidP="000905FE">
      <w:pPr>
        <w:pStyle w:val="Titlu2"/>
        <w:rPr>
          <w:rFonts w:cs="Times New Roman"/>
          <w:szCs w:val="24"/>
          <w:lang w:val="en-GB"/>
        </w:rPr>
      </w:pPr>
      <w:bookmarkStart w:id="4" w:name="_Toc111131431"/>
      <w:r w:rsidRPr="000905FE">
        <w:rPr>
          <w:rFonts w:cs="Times New Roman"/>
          <w:szCs w:val="24"/>
          <w:lang w:val="en-GB"/>
        </w:rPr>
        <w:t>b) Why statement of financial position balance</w:t>
      </w:r>
      <w:bookmarkEnd w:id="4"/>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The statement of “financial position” gives the idea of the availability </w:t>
      </w:r>
      <w:r w:rsidR="001D19E2" w:rsidRPr="000905FE">
        <w:rPr>
          <w:rFonts w:ascii="Times New Roman" w:eastAsia="Times New Roman" w:hAnsi="Times New Roman" w:cs="Times New Roman"/>
          <w:sz w:val="24"/>
          <w:szCs w:val="24"/>
          <w:lang w:val="en-GB"/>
        </w:rPr>
        <w:t>of “</w:t>
      </w:r>
      <w:r w:rsidRPr="000905FE">
        <w:rPr>
          <w:rFonts w:ascii="Times New Roman" w:eastAsia="Times New Roman" w:hAnsi="Times New Roman" w:cs="Times New Roman"/>
          <w:sz w:val="24"/>
          <w:szCs w:val="24"/>
          <w:lang w:val="en-GB"/>
        </w:rPr>
        <w:t>asset and liability” in the current financial year. It always gives a clear idea about the position of debt</w:t>
      </w:r>
      <w:r w:rsidR="00B65B50" w:rsidRPr="000905FE">
        <w:rPr>
          <w:rFonts w:ascii="Times New Roman" w:eastAsia="Times New Roman" w:hAnsi="Times New Roman" w:cs="Times New Roman"/>
          <w:sz w:val="24"/>
          <w:szCs w:val="24"/>
          <w:lang w:val="en-GB"/>
        </w:rPr>
        <w:t xml:space="preserve"> (</w:t>
      </w:r>
      <w:r w:rsidR="00B65B50" w:rsidRPr="000905FE">
        <w:rPr>
          <w:rFonts w:ascii="Times New Roman" w:hAnsi="Times New Roman" w:cs="Times New Roman"/>
          <w:color w:val="222222"/>
          <w:sz w:val="24"/>
          <w:szCs w:val="24"/>
          <w:shd w:val="clear" w:color="auto" w:fill="FFFFFF"/>
        </w:rPr>
        <w:t>Robinson</w:t>
      </w:r>
      <w:r w:rsidR="00871020" w:rsidRPr="000905FE">
        <w:rPr>
          <w:rFonts w:ascii="Times New Roman" w:hAnsi="Times New Roman" w:cs="Times New Roman"/>
          <w:color w:val="222222"/>
          <w:sz w:val="24"/>
          <w:szCs w:val="24"/>
          <w:shd w:val="clear" w:color="auto" w:fill="FFFFFF"/>
        </w:rPr>
        <w:t>, 2020</w:t>
      </w:r>
      <w:r w:rsidR="00B65B5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The identification of debts and liability is very important for a business entity. If a business entity identifies the amount of debt and if they notice that the amount of debt is quite huge then it can take the proper step to mitigate the amount of debt. At the same time, the financial position is also a very important indicator for the “stakeholders and shareholders” of the business entity to understand how efficient the company is doing its business.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If the stakeholders and shareholders notice that the liquidity position of a particular company is good or they have enough assets and they can fulfil all its current liabilities properly </w:t>
      </w:r>
      <w:r w:rsidR="001D19E2" w:rsidRPr="000905FE">
        <w:rPr>
          <w:rFonts w:ascii="Times New Roman" w:eastAsia="Times New Roman" w:hAnsi="Times New Roman" w:cs="Times New Roman"/>
          <w:sz w:val="24"/>
          <w:szCs w:val="24"/>
          <w:lang w:val="en-GB"/>
        </w:rPr>
        <w:t>then they</w:t>
      </w:r>
      <w:r w:rsidRPr="000905FE">
        <w:rPr>
          <w:rFonts w:ascii="Times New Roman" w:eastAsia="Times New Roman" w:hAnsi="Times New Roman" w:cs="Times New Roman"/>
          <w:sz w:val="24"/>
          <w:szCs w:val="24"/>
          <w:lang w:val="en-GB"/>
        </w:rPr>
        <w:t xml:space="preserve"> can take the decision of their investment</w:t>
      </w:r>
      <w:r w:rsidR="00871020" w:rsidRPr="000905FE">
        <w:rPr>
          <w:rFonts w:ascii="Times New Roman" w:eastAsia="Times New Roman" w:hAnsi="Times New Roman" w:cs="Times New Roman"/>
          <w:sz w:val="24"/>
          <w:szCs w:val="24"/>
          <w:lang w:val="en-GB"/>
        </w:rPr>
        <w:t xml:space="preserve"> (</w:t>
      </w:r>
      <w:proofErr w:type="spellStart"/>
      <w:r w:rsidR="00871020" w:rsidRPr="000905FE">
        <w:rPr>
          <w:rFonts w:ascii="Times New Roman" w:hAnsi="Times New Roman" w:cs="Times New Roman"/>
          <w:color w:val="222222"/>
          <w:sz w:val="24"/>
          <w:szCs w:val="24"/>
          <w:shd w:val="clear" w:color="auto" w:fill="FFFFFF"/>
        </w:rPr>
        <w:t>Magli</w:t>
      </w:r>
      <w:proofErr w:type="spellEnd"/>
      <w:r w:rsidR="00871020" w:rsidRPr="000905FE">
        <w:rPr>
          <w:rFonts w:ascii="Times New Roman" w:hAnsi="Times New Roman" w:cs="Times New Roman"/>
          <w:color w:val="222222"/>
          <w:sz w:val="24"/>
          <w:szCs w:val="24"/>
          <w:shd w:val="clear" w:color="auto" w:fill="FFFFFF"/>
        </w:rPr>
        <w:t xml:space="preserve"> </w:t>
      </w:r>
      <w:r w:rsidR="00871020" w:rsidRPr="000905FE">
        <w:rPr>
          <w:rFonts w:ascii="Times New Roman" w:hAnsi="Times New Roman" w:cs="Times New Roman"/>
          <w:i/>
          <w:color w:val="222222"/>
          <w:sz w:val="24"/>
          <w:szCs w:val="24"/>
          <w:shd w:val="clear" w:color="auto" w:fill="FFFFFF"/>
        </w:rPr>
        <w:t xml:space="preserve">et al., </w:t>
      </w:r>
      <w:r w:rsidR="00871020" w:rsidRPr="000905FE">
        <w:rPr>
          <w:rFonts w:ascii="Times New Roman" w:hAnsi="Times New Roman" w:cs="Times New Roman"/>
          <w:color w:val="222222"/>
          <w:sz w:val="24"/>
          <w:szCs w:val="24"/>
          <w:shd w:val="clear" w:color="auto" w:fill="FFFFFF"/>
        </w:rPr>
        <w:t>2018</w:t>
      </w:r>
      <w:r w:rsidR="0087102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xml:space="preserve">. That is why the “statement of financial position” is very important for any business entity. The “statement of the balance sheet” or the “financial position” of a business entity always shows the balance amount because all entries are connected with each other.  So in the double entry system, the effect of an entry makes an appropriate balance between two sides of the balance sheet.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The “balance sheet” of a company is also very effective for them also as they can easily understand the position of their equity and debt in a particular year. The identification of the position of equity and debt is very important and it gives a clear idea of how much a company collects money from the market</w:t>
      </w:r>
      <w:r w:rsidR="00871020" w:rsidRPr="000905FE">
        <w:rPr>
          <w:rFonts w:ascii="Times New Roman" w:eastAsia="Times New Roman" w:hAnsi="Times New Roman" w:cs="Times New Roman"/>
          <w:sz w:val="24"/>
          <w:szCs w:val="24"/>
          <w:lang w:val="en-GB"/>
        </w:rPr>
        <w:t xml:space="preserve"> (</w:t>
      </w:r>
      <w:proofErr w:type="spellStart"/>
      <w:r w:rsidR="00871020" w:rsidRPr="000905FE">
        <w:rPr>
          <w:rFonts w:ascii="Times New Roman" w:hAnsi="Times New Roman" w:cs="Times New Roman"/>
          <w:color w:val="222222"/>
          <w:sz w:val="24"/>
          <w:szCs w:val="24"/>
          <w:shd w:val="clear" w:color="auto" w:fill="FFFFFF"/>
        </w:rPr>
        <w:t>Čavlin</w:t>
      </w:r>
      <w:proofErr w:type="spellEnd"/>
      <w:r w:rsidR="00871020" w:rsidRPr="000905FE">
        <w:rPr>
          <w:rFonts w:ascii="Times New Roman" w:hAnsi="Times New Roman" w:cs="Times New Roman"/>
          <w:color w:val="222222"/>
          <w:sz w:val="24"/>
          <w:szCs w:val="24"/>
          <w:shd w:val="clear" w:color="auto" w:fill="FFFFFF"/>
        </w:rPr>
        <w:t xml:space="preserve">, M., &amp; </w:t>
      </w:r>
      <w:proofErr w:type="spellStart"/>
      <w:r w:rsidR="00871020" w:rsidRPr="000905FE">
        <w:rPr>
          <w:rFonts w:ascii="Times New Roman" w:hAnsi="Times New Roman" w:cs="Times New Roman"/>
          <w:color w:val="222222"/>
          <w:sz w:val="24"/>
          <w:szCs w:val="24"/>
          <w:shd w:val="clear" w:color="auto" w:fill="FFFFFF"/>
        </w:rPr>
        <w:t>Tepavac</w:t>
      </w:r>
      <w:proofErr w:type="spellEnd"/>
      <w:r w:rsidR="00871020" w:rsidRPr="000905FE">
        <w:rPr>
          <w:rFonts w:ascii="Times New Roman" w:hAnsi="Times New Roman" w:cs="Times New Roman"/>
          <w:color w:val="222222"/>
          <w:sz w:val="24"/>
          <w:szCs w:val="24"/>
          <w:shd w:val="clear" w:color="auto" w:fill="FFFFFF"/>
        </w:rPr>
        <w:t>, 2020</w:t>
      </w:r>
      <w:r w:rsidR="00871020" w:rsidRPr="000905FE">
        <w:rPr>
          <w:rFonts w:ascii="Times New Roman" w:eastAsia="Times New Roman" w:hAnsi="Times New Roman" w:cs="Times New Roman"/>
          <w:sz w:val="24"/>
          <w:szCs w:val="24"/>
          <w:lang w:val="en-GB"/>
        </w:rPr>
        <w:t>)</w:t>
      </w:r>
      <w:r w:rsidRPr="000905FE">
        <w:rPr>
          <w:rFonts w:ascii="Times New Roman" w:eastAsia="Times New Roman" w:hAnsi="Times New Roman" w:cs="Times New Roman"/>
          <w:sz w:val="24"/>
          <w:szCs w:val="24"/>
          <w:lang w:val="en-GB"/>
        </w:rPr>
        <w:t>. A business entity has to pay dividends against their collecting cash from the market. So a huge amount of equity increases the liability of a business entity and it is a negative thing for a business entity. Such a thing can make a negative impact on the business process of the company. Therefore, appropriate steps to mitigate the balance of the liability are very necessary. “Statement of balance sheet” helps business entities to identify the position of equity of the business entity and they also give a clear idea about how much the business entity takes money from the creditors. So the identification of these important things helps them to choose the proper strategy for the mitigation of debts and equity.</w:t>
      </w:r>
    </w:p>
    <w:p w:rsidR="006708DD" w:rsidRPr="000905FE" w:rsidRDefault="00E72386" w:rsidP="000905FE">
      <w:pPr>
        <w:pStyle w:val="Titlu1"/>
        <w:rPr>
          <w:lang w:val="en-GB"/>
        </w:rPr>
      </w:pPr>
      <w:bookmarkStart w:id="5" w:name="_Toc111131432"/>
      <w:r w:rsidRPr="000905FE">
        <w:rPr>
          <w:lang w:val="en-GB"/>
        </w:rPr>
        <w:t>Question 2</w:t>
      </w:r>
      <w:bookmarkEnd w:id="5"/>
      <w:r w:rsidRPr="000905FE">
        <w:rPr>
          <w:lang w:val="en-GB"/>
        </w:rPr>
        <w:t xml:space="preserve"> </w:t>
      </w:r>
    </w:p>
    <w:p w:rsidR="006708DD" w:rsidRPr="000905FE" w:rsidRDefault="00E72386" w:rsidP="000905FE">
      <w:pPr>
        <w:pStyle w:val="Titlu2"/>
        <w:rPr>
          <w:lang w:val="en-GB"/>
        </w:rPr>
      </w:pPr>
      <w:bookmarkStart w:id="6" w:name="_Toc111131433"/>
      <w:r w:rsidRPr="000905FE">
        <w:rPr>
          <w:lang w:val="en-GB"/>
        </w:rPr>
        <w:t>a) Calculation of various ratios</w:t>
      </w:r>
      <w:bookmarkEnd w:id="6"/>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This part of the paper will analyse the “financial ratios” of Sweet's plc to identify their current financial performance. </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1. ROCE</w:t>
      </w:r>
    </w:p>
    <w:tbl>
      <w:tblPr>
        <w:tblStyle w:val="a1"/>
        <w:tblW w:w="8955"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005"/>
        <w:gridCol w:w="1020"/>
      </w:tblGrid>
      <w:tr w:rsidR="006708DD" w:rsidRPr="000905FE" w:rsidTr="001D19E2">
        <w:trPr>
          <w:trHeight w:val="515"/>
          <w:jc w:val="center"/>
        </w:trPr>
        <w:tc>
          <w:tcPr>
            <w:tcW w:w="8955"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Return on capital employed (ROCE)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Earnings before interest and tax (EBIT)</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699</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Asset</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2,511</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3,046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Capital employed</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7,225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7,041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ROCE= EBIT/ Capital employed</w:t>
            </w:r>
          </w:p>
        </w:tc>
        <w:tc>
          <w:tcPr>
            <w:tcW w:w="1005"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11.1419</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9.92757</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3: ROCE of Sweet plc for 2021 and 2020</w:t>
      </w:r>
    </w:p>
    <w:p w:rsidR="001D19E2" w:rsidRPr="000905FE" w:rsidRDefault="001D19E2"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2. ROE</w:t>
      </w:r>
    </w:p>
    <w:tbl>
      <w:tblPr>
        <w:tblStyle w:val="a2"/>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708DD" w:rsidRPr="000905FE" w:rsidTr="001D19E2">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Return on equity (ROE)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income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Shareholders’ equity</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ROE= Net income/Shareholders equity</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1.436667</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1.22</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4: ROE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 xml:space="preserve">3. </w:t>
      </w:r>
      <w:r w:rsidR="001D19E2" w:rsidRPr="000905FE">
        <w:rPr>
          <w:rFonts w:ascii="Times New Roman" w:eastAsia="Times New Roman" w:hAnsi="Times New Roman" w:cs="Times New Roman"/>
          <w:b/>
          <w:sz w:val="24"/>
          <w:szCs w:val="24"/>
          <w:lang w:val="en-GB"/>
        </w:rPr>
        <w:t>Earnings</w:t>
      </w:r>
      <w:r w:rsidRPr="000905FE">
        <w:rPr>
          <w:rFonts w:ascii="Times New Roman" w:eastAsia="Times New Roman" w:hAnsi="Times New Roman" w:cs="Times New Roman"/>
          <w:b/>
          <w:sz w:val="24"/>
          <w:szCs w:val="24"/>
          <w:lang w:val="en-GB"/>
        </w:rPr>
        <w:t xml:space="preserve"> per share</w:t>
      </w:r>
    </w:p>
    <w:tbl>
      <w:tblPr>
        <w:tblStyle w:val="a3"/>
        <w:tblW w:w="879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720"/>
      </w:tblGrid>
      <w:tr w:rsidR="006708DD" w:rsidRPr="000905FE" w:rsidTr="001D19E2">
        <w:trPr>
          <w:trHeight w:val="515"/>
          <w:jc w:val="center"/>
        </w:trPr>
        <w:tc>
          <w:tcPr>
            <w:tcW w:w="87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Earnings per share</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income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Average 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300</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150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EPS= Net income/ Average outstanding shares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1.436667</w:t>
            </w:r>
          </w:p>
        </w:tc>
        <w:tc>
          <w:tcPr>
            <w:tcW w:w="7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2.44</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5: Earning per share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4. Net profit margin</w:t>
      </w:r>
    </w:p>
    <w:tbl>
      <w:tblPr>
        <w:tblStyle w:val="a4"/>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708DD" w:rsidRPr="000905FE" w:rsidTr="001D19E2">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 margin</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431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366</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Net profit margin= (net profit /revenue)*100</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6.396557</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5.682347</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6: Net profit margin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5. Asset turnover</w:t>
      </w:r>
    </w:p>
    <w:tbl>
      <w:tblPr>
        <w:tblStyle w:val="a5"/>
        <w:tblW w:w="9210" w:type="dxa"/>
        <w:jc w:val="center"/>
        <w:tblBorders>
          <w:top w:val="nil"/>
          <w:left w:val="nil"/>
          <w:bottom w:val="nil"/>
          <w:right w:val="nil"/>
          <w:insideH w:val="nil"/>
          <w:insideV w:val="nil"/>
        </w:tblBorders>
        <w:tblLayout w:type="fixed"/>
        <w:tblLook w:val="0600" w:firstRow="0" w:lastRow="0" w:firstColumn="0" w:lastColumn="0" w:noHBand="1" w:noVBand="1"/>
      </w:tblPr>
      <w:tblGrid>
        <w:gridCol w:w="6930"/>
        <w:gridCol w:w="1140"/>
        <w:gridCol w:w="1140"/>
      </w:tblGrid>
      <w:tr w:rsidR="006708DD" w:rsidRPr="000905FE" w:rsidTr="001D19E2">
        <w:trPr>
          <w:trHeight w:val="515"/>
          <w:jc w:val="center"/>
        </w:trPr>
        <w:tc>
          <w:tcPr>
            <w:tcW w:w="921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Asset turnover</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revenue</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Average 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9911.5</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5043.5</w:t>
            </w:r>
          </w:p>
        </w:tc>
      </w:tr>
      <w:tr w:rsidR="006708DD" w:rsidRPr="000905FE" w:rsidTr="001D19E2">
        <w:trPr>
          <w:trHeight w:val="515"/>
          <w:jc w:val="center"/>
        </w:trPr>
        <w:tc>
          <w:tcPr>
            <w:tcW w:w="693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Asset turnover= Revenue/average total asset</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0.679816</w:t>
            </w:r>
          </w:p>
        </w:tc>
        <w:tc>
          <w:tcPr>
            <w:tcW w:w="114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1.277089</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7: Asset turnover ratio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6. Stock holding days</w:t>
      </w:r>
    </w:p>
    <w:tbl>
      <w:tblPr>
        <w:tblStyle w:val="a6"/>
        <w:tblW w:w="9285" w:type="dxa"/>
        <w:jc w:val="center"/>
        <w:tblBorders>
          <w:top w:val="nil"/>
          <w:left w:val="nil"/>
          <w:bottom w:val="nil"/>
          <w:right w:val="nil"/>
          <w:insideH w:val="nil"/>
          <w:insideV w:val="nil"/>
        </w:tblBorders>
        <w:tblLayout w:type="fixed"/>
        <w:tblLook w:val="0600" w:firstRow="0" w:lastRow="0" w:firstColumn="0" w:lastColumn="0" w:noHBand="1" w:noVBand="1"/>
      </w:tblPr>
      <w:tblGrid>
        <w:gridCol w:w="6885"/>
        <w:gridCol w:w="1020"/>
        <w:gridCol w:w="1380"/>
      </w:tblGrid>
      <w:tr w:rsidR="006708DD" w:rsidRPr="000905FE" w:rsidTr="001D19E2">
        <w:trPr>
          <w:trHeight w:val="755"/>
          <w:jc w:val="center"/>
        </w:trPr>
        <w:tc>
          <w:tcPr>
            <w:tcW w:w="9285"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 holding days</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Closing stock</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708</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659</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Cost of goods sold</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3235</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3096</w:t>
            </w:r>
          </w:p>
        </w:tc>
      </w:tr>
      <w:tr w:rsidR="006708DD" w:rsidRPr="000905FE" w:rsidTr="001D19E2">
        <w:trPr>
          <w:trHeight w:val="755"/>
          <w:jc w:val="center"/>
        </w:trPr>
        <w:tc>
          <w:tcPr>
            <w:tcW w:w="6885"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Stock holding days= (Closing stock/cost of goods sold) x 365</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79.8825</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77.6921835</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8: Stock holding days for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7. Debtors collection period</w:t>
      </w:r>
    </w:p>
    <w:tbl>
      <w:tblPr>
        <w:tblStyle w:val="a7"/>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7052"/>
        <w:gridCol w:w="934"/>
        <w:gridCol w:w="1374"/>
      </w:tblGrid>
      <w:tr w:rsidR="006708DD" w:rsidRPr="000905FE" w:rsidTr="001D19E2">
        <w:trPr>
          <w:trHeight w:val="560"/>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debtors collection period</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Amount owed by Debtors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1,249</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1,287</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credit sales</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6,738</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6,441</w:t>
            </w:r>
          </w:p>
        </w:tc>
      </w:tr>
      <w:tr w:rsidR="006708DD" w:rsidRPr="000905FE" w:rsidTr="001D19E2">
        <w:trPr>
          <w:trHeight w:val="560"/>
          <w:jc w:val="center"/>
        </w:trPr>
        <w:tc>
          <w:tcPr>
            <w:tcW w:w="705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Debtors collection period= (Amount owed by debtor/annual credit sales)*365</w:t>
            </w:r>
          </w:p>
        </w:tc>
        <w:tc>
          <w:tcPr>
            <w:tcW w:w="93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67.6588</w:t>
            </w:r>
          </w:p>
        </w:tc>
        <w:tc>
          <w:tcPr>
            <w:tcW w:w="1374"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72.93199814</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9: Debtors collection period fo</w:t>
      </w:r>
      <w:r w:rsidR="001D19E2" w:rsidRPr="000905FE">
        <w:rPr>
          <w:rFonts w:ascii="Times New Roman" w:eastAsia="Times New Roman" w:hAnsi="Times New Roman" w:cs="Times New Roman"/>
          <w:b/>
          <w:sz w:val="24"/>
          <w:szCs w:val="24"/>
          <w:lang w:val="en-GB"/>
        </w:rPr>
        <w:t>r</w:t>
      </w:r>
      <w:r w:rsidRPr="000905FE">
        <w:rPr>
          <w:rFonts w:ascii="Times New Roman" w:eastAsia="Times New Roman" w:hAnsi="Times New Roman" w:cs="Times New Roman"/>
          <w:b/>
          <w:sz w:val="24"/>
          <w:szCs w:val="24"/>
          <w:lang w:val="en-GB"/>
        </w:rPr>
        <w:t xml:space="preserve"> Sweet plc for 2021 and 2020</w:t>
      </w:r>
    </w:p>
    <w:p w:rsidR="001D19E2" w:rsidRPr="000905FE" w:rsidRDefault="001D19E2"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8. Current ratio</w:t>
      </w:r>
    </w:p>
    <w:tbl>
      <w:tblPr>
        <w:tblStyle w:val="a8"/>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6911"/>
        <w:gridCol w:w="997"/>
        <w:gridCol w:w="1452"/>
      </w:tblGrid>
      <w:tr w:rsidR="006708DD" w:rsidRPr="000905FE" w:rsidTr="001D19E2">
        <w:trPr>
          <w:trHeight w:val="1025"/>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current ratio</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asset</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9,736</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10,087</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liabilities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2,511</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3,046</w:t>
            </w:r>
          </w:p>
        </w:tc>
      </w:tr>
      <w:tr w:rsidR="006708DD" w:rsidRPr="000905FE" w:rsidTr="001D19E2">
        <w:trPr>
          <w:trHeight w:val="1025"/>
          <w:jc w:val="center"/>
        </w:trPr>
        <w:tc>
          <w:tcPr>
            <w:tcW w:w="690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Current ratio= current asset/ current liabilities</w:t>
            </w:r>
          </w:p>
        </w:tc>
        <w:tc>
          <w:tcPr>
            <w:tcW w:w="997"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3.87734</w:t>
            </w:r>
          </w:p>
        </w:tc>
        <w:tc>
          <w:tcPr>
            <w:tcW w:w="1452"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3.311556139</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10: Current ratio of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9. Gearing ratio</w:t>
      </w:r>
    </w:p>
    <w:tbl>
      <w:tblPr>
        <w:tblStyle w:val="a9"/>
        <w:tblW w:w="9090" w:type="dxa"/>
        <w:jc w:val="center"/>
        <w:tblBorders>
          <w:top w:val="nil"/>
          <w:left w:val="nil"/>
          <w:bottom w:val="nil"/>
          <w:right w:val="nil"/>
          <w:insideH w:val="nil"/>
          <w:insideV w:val="nil"/>
        </w:tblBorders>
        <w:tblLayout w:type="fixed"/>
        <w:tblLook w:val="0600" w:firstRow="0" w:lastRow="0" w:firstColumn="0" w:lastColumn="0" w:noHBand="1" w:noVBand="1"/>
      </w:tblPr>
      <w:tblGrid>
        <w:gridCol w:w="6690"/>
        <w:gridCol w:w="1020"/>
        <w:gridCol w:w="1380"/>
      </w:tblGrid>
      <w:tr w:rsidR="006708DD" w:rsidRPr="000905FE" w:rsidTr="001D19E2">
        <w:trPr>
          <w:trHeight w:val="665"/>
          <w:jc w:val="center"/>
        </w:trPr>
        <w:tc>
          <w:tcPr>
            <w:tcW w:w="9090"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Calculation or gearing ratio</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Particulars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2021</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2020</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Loans and borrowings</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4137</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4129</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Shareholder equity</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3,088</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2,912</w:t>
            </w:r>
          </w:p>
        </w:tc>
      </w:tr>
      <w:tr w:rsidR="006708DD" w:rsidRPr="000905FE" w:rsidTr="001D19E2">
        <w:trPr>
          <w:trHeight w:val="665"/>
          <w:jc w:val="center"/>
        </w:trPr>
        <w:tc>
          <w:tcPr>
            <w:tcW w:w="6690"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Gearing ratio= loans and borrowings/shareholder equity</w:t>
            </w:r>
          </w:p>
        </w:tc>
        <w:tc>
          <w:tcPr>
            <w:tcW w:w="102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1.42067</w:t>
            </w:r>
          </w:p>
        </w:tc>
        <w:tc>
          <w:tcPr>
            <w:tcW w:w="1380"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vAlign w:val="bottom"/>
          </w:tcPr>
          <w:p w:rsidR="006708DD" w:rsidRPr="000905FE" w:rsidRDefault="00E72386" w:rsidP="000905FE">
            <w:pPr>
              <w:spacing w:before="240" w:line="360" w:lineRule="auto"/>
              <w:jc w:val="right"/>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1.41792582</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11: Calculation of gearing ratio</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b/>
          <w:sz w:val="24"/>
          <w:szCs w:val="24"/>
          <w:lang w:val="en-GB"/>
        </w:rPr>
        <w:t>10. Interest cover</w:t>
      </w:r>
    </w:p>
    <w:tbl>
      <w:tblPr>
        <w:tblStyle w:val="aa"/>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6771"/>
        <w:gridCol w:w="1118"/>
        <w:gridCol w:w="1471"/>
      </w:tblGrid>
      <w:tr w:rsidR="006708DD" w:rsidRPr="000905FE" w:rsidTr="001D19E2">
        <w:trPr>
          <w:trHeight w:val="800"/>
          <w:jc w:val="center"/>
        </w:trPr>
        <w:tc>
          <w:tcPr>
            <w:tcW w:w="9358" w:type="dxa"/>
            <w:gridSpan w:val="3"/>
            <w:tcBorders>
              <w:top w:val="single" w:sz="8" w:space="0" w:color="000000"/>
              <w:left w:val="single" w:sz="8" w:space="0" w:color="000000"/>
              <w:bottom w:val="single" w:sz="8" w:space="0" w:color="000000"/>
              <w:right w:val="single" w:sz="8" w:space="0" w:color="000000"/>
            </w:tcBorders>
            <w:shd w:val="clear" w:color="auto" w:fill="31869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Calculation of interest cover</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Particulars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2021</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2020</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Earnings before interest and taxes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805</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699</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Interest expenses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226</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181</w:t>
            </w:r>
          </w:p>
        </w:tc>
      </w:tr>
      <w:tr w:rsidR="006708DD" w:rsidRPr="000905FE" w:rsidTr="001D19E2">
        <w:trPr>
          <w:trHeight w:val="800"/>
          <w:jc w:val="center"/>
        </w:trPr>
        <w:tc>
          <w:tcPr>
            <w:tcW w:w="6769" w:type="dxa"/>
            <w:tcBorders>
              <w:top w:val="nil"/>
              <w:left w:val="single" w:sz="8" w:space="0" w:color="000000"/>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Interest cover= EBIT/Interest expenses</w:t>
            </w:r>
          </w:p>
        </w:tc>
        <w:tc>
          <w:tcPr>
            <w:tcW w:w="1118"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3.561947</w:t>
            </w:r>
          </w:p>
        </w:tc>
        <w:tc>
          <w:tcPr>
            <w:tcW w:w="1471" w:type="dxa"/>
            <w:tcBorders>
              <w:top w:val="nil"/>
              <w:left w:val="nil"/>
              <w:bottom w:val="single" w:sz="8" w:space="0" w:color="000000"/>
              <w:right w:val="single" w:sz="8" w:space="0" w:color="000000"/>
            </w:tcBorders>
            <w:shd w:val="clear" w:color="auto" w:fill="F2DCDB"/>
            <w:tcMar>
              <w:top w:w="100" w:type="dxa"/>
              <w:left w:w="100" w:type="dxa"/>
              <w:bottom w:w="100" w:type="dxa"/>
              <w:right w:w="100" w:type="dxa"/>
            </w:tcMar>
          </w:tcPr>
          <w:p w:rsidR="006708DD" w:rsidRPr="000905FE" w:rsidRDefault="00E72386" w:rsidP="000905FE">
            <w:pPr>
              <w:spacing w:before="240"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3.861878453</w:t>
            </w:r>
          </w:p>
        </w:tc>
      </w:tr>
    </w:tbl>
    <w:p w:rsidR="006708DD" w:rsidRPr="000905FE" w:rsidRDefault="00E72386" w:rsidP="000905FE">
      <w:pPr>
        <w:spacing w:line="360" w:lineRule="auto"/>
        <w:jc w:val="center"/>
        <w:rPr>
          <w:rFonts w:ascii="Times New Roman" w:eastAsia="Times New Roman" w:hAnsi="Times New Roman" w:cs="Times New Roman"/>
          <w:b/>
          <w:sz w:val="24"/>
          <w:szCs w:val="24"/>
          <w:lang w:val="en-GB"/>
        </w:rPr>
      </w:pPr>
      <w:r w:rsidRPr="000905FE">
        <w:rPr>
          <w:rFonts w:ascii="Times New Roman" w:eastAsia="Times New Roman" w:hAnsi="Times New Roman" w:cs="Times New Roman"/>
          <w:b/>
          <w:sz w:val="24"/>
          <w:szCs w:val="24"/>
          <w:lang w:val="en-GB"/>
        </w:rPr>
        <w:t>Table 12: Interest cover by Sweet plc for 2021 and 2020</w:t>
      </w:r>
    </w:p>
    <w:p w:rsidR="006708DD" w:rsidRPr="000905FE" w:rsidRDefault="00E72386" w:rsidP="000905FE">
      <w:pPr>
        <w:spacing w:line="360" w:lineRule="auto"/>
        <w:jc w:val="center"/>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“(Source: Created by author)”</w:t>
      </w:r>
    </w:p>
    <w:p w:rsidR="006708DD" w:rsidRPr="000905FE" w:rsidRDefault="00E72386" w:rsidP="000905FE">
      <w:pPr>
        <w:pStyle w:val="Titlu2"/>
        <w:rPr>
          <w:lang w:val="en-GB"/>
        </w:rPr>
      </w:pPr>
      <w:bookmarkStart w:id="7" w:name="_Toc111131434"/>
      <w:r w:rsidRPr="000905FE">
        <w:rPr>
          <w:lang w:val="en-GB"/>
        </w:rPr>
        <w:t>b) Comment on financial performance and position of Sweet plc</w:t>
      </w:r>
      <w:bookmarkEnd w:id="7"/>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All the ratios calculated of the sweet plc is clearly showing the financial performance of Sweet plc for the year 2021 and 2020. Calculation of their financial ratios has been showing the performance of the sweet plc properly. The performance ratios of a business entity help to understand the performance of a business entity properly and the “net profit margin” is one of the most important ratios that help to identify the performance of a business entity. The “net profit margin” of sweet plc for the year “2020 was 5.68” and that increased to 6.39 in 2021. </w:t>
      </w:r>
      <w:r w:rsidR="001D19E2" w:rsidRPr="000905FE">
        <w:rPr>
          <w:rFonts w:ascii="Times New Roman" w:eastAsia="Times New Roman" w:hAnsi="Times New Roman" w:cs="Times New Roman"/>
          <w:sz w:val="24"/>
          <w:szCs w:val="24"/>
          <w:lang w:val="en-GB"/>
        </w:rPr>
        <w:t>However,</w:t>
      </w:r>
      <w:r w:rsidRPr="000905FE">
        <w:rPr>
          <w:rFonts w:ascii="Times New Roman" w:eastAsia="Times New Roman" w:hAnsi="Times New Roman" w:cs="Times New Roman"/>
          <w:sz w:val="24"/>
          <w:szCs w:val="24"/>
          <w:lang w:val="en-GB"/>
        </w:rPr>
        <w:t xml:space="preserve"> the margin of the business entity increases in 2021 but the performance of the company is not that effective and the ratio is very low.</w:t>
      </w:r>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The “asset turnover ratio” of sweet plc for the year 2020 was 1.27 and that decreased to 0.67 in 2021. Such a decrease is very negative for a business entity and it clearly shows that the efficiency of the business entity decreases from the previous year. Another most important ratio is the “current ratio” This “ratio helps to determine” the liquidity position of a business entity. This ratio is also indicating that their liquidity position of them became weak as it decreases in 2021 from 2020. Other ratios are also indicating that Sweet plc needs to think about their financial issues properly and they need to improve its performance. To improve their </w:t>
      </w:r>
      <w:r w:rsidR="00B65B50" w:rsidRPr="000905FE">
        <w:rPr>
          <w:rFonts w:ascii="Times New Roman" w:eastAsia="Times New Roman" w:hAnsi="Times New Roman" w:cs="Times New Roman"/>
          <w:sz w:val="24"/>
          <w:szCs w:val="24"/>
          <w:lang w:val="en-GB"/>
        </w:rPr>
        <w:t>performance,</w:t>
      </w:r>
      <w:r w:rsidRPr="000905FE">
        <w:rPr>
          <w:rFonts w:ascii="Times New Roman" w:eastAsia="Times New Roman" w:hAnsi="Times New Roman" w:cs="Times New Roman"/>
          <w:sz w:val="24"/>
          <w:szCs w:val="24"/>
          <w:lang w:val="en-GB"/>
        </w:rPr>
        <w:t xml:space="preserve"> they can take appropriate strategy or step which will help them to eliminate this situation and “will improve their performance”. So the management of Wales plc needs to think about it properly. </w:t>
      </w:r>
    </w:p>
    <w:p w:rsidR="006708DD" w:rsidRPr="000905FE" w:rsidRDefault="00E72386" w:rsidP="000905FE">
      <w:pPr>
        <w:pStyle w:val="Titlu1"/>
        <w:rPr>
          <w:lang w:val="en-GB"/>
        </w:rPr>
      </w:pPr>
      <w:bookmarkStart w:id="8" w:name="_Toc111131435"/>
      <w:r w:rsidRPr="000905FE">
        <w:rPr>
          <w:lang w:val="en-GB"/>
        </w:rPr>
        <w:t>Conclusion</w:t>
      </w:r>
      <w:bookmarkEnd w:id="8"/>
    </w:p>
    <w:p w:rsidR="006708DD" w:rsidRPr="000905FE" w:rsidRDefault="00E72386" w:rsidP="000905FE">
      <w:pPr>
        <w:spacing w:line="360" w:lineRule="auto"/>
        <w:jc w:val="both"/>
        <w:rPr>
          <w:rFonts w:ascii="Times New Roman" w:eastAsia="Times New Roman" w:hAnsi="Times New Roman" w:cs="Times New Roman"/>
          <w:sz w:val="24"/>
          <w:szCs w:val="24"/>
          <w:lang w:val="en-GB"/>
        </w:rPr>
      </w:pPr>
      <w:r w:rsidRPr="000905FE">
        <w:rPr>
          <w:rFonts w:ascii="Times New Roman" w:eastAsia="Times New Roman" w:hAnsi="Times New Roman" w:cs="Times New Roman"/>
          <w:sz w:val="24"/>
          <w:szCs w:val="24"/>
          <w:lang w:val="en-GB"/>
        </w:rPr>
        <w:t xml:space="preserve">In summary it can be stated that the analysis of this paper clearly shows the performance of two different companies properly and the analysis of the whole paper is showing the importance of creating financial statements and ratios properly. Analysis and discussion of financial performance clearly show that Sweet plc needs to improve its financial performance and the implementation of an appropriate strategy will be very beneficial for improving their performance and increasing </w:t>
      </w:r>
      <w:r w:rsidR="00B65B50" w:rsidRPr="000905FE">
        <w:rPr>
          <w:rFonts w:ascii="Times New Roman" w:eastAsia="Times New Roman" w:hAnsi="Times New Roman" w:cs="Times New Roman"/>
          <w:sz w:val="24"/>
          <w:szCs w:val="24"/>
          <w:lang w:val="en-GB"/>
        </w:rPr>
        <w:t>the business</w:t>
      </w:r>
      <w:r w:rsidRPr="000905FE">
        <w:rPr>
          <w:rFonts w:ascii="Times New Roman" w:eastAsia="Times New Roman" w:hAnsi="Times New Roman" w:cs="Times New Roman"/>
          <w:sz w:val="24"/>
          <w:szCs w:val="24"/>
          <w:lang w:val="en-GB"/>
        </w:rPr>
        <w:t xml:space="preserve"> operation of Sweet plc. Moreover, the financial statement of wales plc will help the business entity to understand their current performance and they can tally or compare their performance with previous performance and the performance of other business entities. By understanding their </w:t>
      </w:r>
      <w:r w:rsidR="00B65B50" w:rsidRPr="000905FE">
        <w:rPr>
          <w:rFonts w:ascii="Times New Roman" w:eastAsia="Times New Roman" w:hAnsi="Times New Roman" w:cs="Times New Roman"/>
          <w:sz w:val="24"/>
          <w:szCs w:val="24"/>
          <w:lang w:val="en-GB"/>
        </w:rPr>
        <w:t>performance,</w:t>
      </w:r>
      <w:r w:rsidRPr="000905FE">
        <w:rPr>
          <w:rFonts w:ascii="Times New Roman" w:eastAsia="Times New Roman" w:hAnsi="Times New Roman" w:cs="Times New Roman"/>
          <w:sz w:val="24"/>
          <w:szCs w:val="24"/>
          <w:lang w:val="en-GB"/>
        </w:rPr>
        <w:t xml:space="preserve"> they can improve their business operation. </w:t>
      </w:r>
    </w:p>
    <w:p w:rsidR="00871020" w:rsidRDefault="0087102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871020" w:rsidRPr="001D19E2" w:rsidRDefault="00871020" w:rsidP="000905FE">
      <w:pPr>
        <w:pStyle w:val="Titlu1"/>
        <w:rPr>
          <w:lang w:val="en-GB"/>
        </w:rPr>
      </w:pPr>
      <w:bookmarkStart w:id="9" w:name="_Toc111131436"/>
      <w:r>
        <w:rPr>
          <w:lang w:val="en-GB"/>
        </w:rPr>
        <w:t>References</w:t>
      </w:r>
      <w:bookmarkEnd w:id="9"/>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Čavlin</w:t>
      </w:r>
      <w:proofErr w:type="spellEnd"/>
      <w:r>
        <w:rPr>
          <w:color w:val="222222"/>
          <w:shd w:val="clear" w:color="auto" w:fill="FFFFFF"/>
        </w:rPr>
        <w:t xml:space="preserve">, M., &amp; </w:t>
      </w:r>
      <w:proofErr w:type="spellStart"/>
      <w:r>
        <w:rPr>
          <w:color w:val="222222"/>
          <w:shd w:val="clear" w:color="auto" w:fill="FFFFFF"/>
        </w:rPr>
        <w:t>Tepavac</w:t>
      </w:r>
      <w:proofErr w:type="spellEnd"/>
      <w:r>
        <w:rPr>
          <w:color w:val="222222"/>
          <w:shd w:val="clear" w:color="auto" w:fill="FFFFFF"/>
        </w:rPr>
        <w:t xml:space="preserve">, R. (2020, September). POSSIBILITY OF APPLICATION OF CLASSICAL BALANCE SHEET MODELS FOR PREDICTING SOLVENCY-THE CASE OF SMEs IN RURAL AREAS OF THE REPUBLIC OF SERBIA. In </w:t>
      </w:r>
      <w:r>
        <w:rPr>
          <w:i/>
          <w:iCs/>
          <w:color w:val="222222"/>
          <w:shd w:val="clear" w:color="auto" w:fill="FFFFFF"/>
        </w:rPr>
        <w:t xml:space="preserve">Tourism International Scientific Conference </w:t>
      </w:r>
      <w:proofErr w:type="spellStart"/>
      <w:r>
        <w:rPr>
          <w:i/>
          <w:iCs/>
          <w:color w:val="222222"/>
          <w:shd w:val="clear" w:color="auto" w:fill="FFFFFF"/>
        </w:rPr>
        <w:t>Vrnjačka</w:t>
      </w:r>
      <w:proofErr w:type="spellEnd"/>
      <w:r>
        <w:rPr>
          <w:i/>
          <w:iCs/>
          <w:color w:val="222222"/>
          <w:shd w:val="clear" w:color="auto" w:fill="FFFFFF"/>
        </w:rPr>
        <w:t xml:space="preserve"> </w:t>
      </w:r>
      <w:proofErr w:type="spellStart"/>
      <w:r>
        <w:rPr>
          <w:i/>
          <w:iCs/>
          <w:color w:val="222222"/>
          <w:shd w:val="clear" w:color="auto" w:fill="FFFFFF"/>
        </w:rPr>
        <w:t>Banja</w:t>
      </w:r>
      <w:proofErr w:type="spellEnd"/>
      <w:r>
        <w:rPr>
          <w:i/>
          <w:iCs/>
          <w:color w:val="222222"/>
          <w:shd w:val="clear" w:color="auto" w:fill="FFFFFF"/>
        </w:rPr>
        <w:t>-TISC</w:t>
      </w:r>
      <w:r>
        <w:rPr>
          <w:color w:val="222222"/>
          <w:shd w:val="clear" w:color="auto" w:fill="FFFFFF"/>
        </w:rPr>
        <w:t xml:space="preserve"> (Vol. 5, No. 2, pp. 506-523). http://www.tisc.rs/proceedings/index.php/hitmc/article/download/387/381 </w:t>
      </w:r>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Gardi</w:t>
      </w:r>
      <w:proofErr w:type="spellEnd"/>
      <w:r>
        <w:rPr>
          <w:color w:val="222222"/>
          <w:shd w:val="clear" w:color="auto" w:fill="FFFFFF"/>
        </w:rPr>
        <w:t xml:space="preserve">, B., </w:t>
      </w:r>
      <w:proofErr w:type="spellStart"/>
      <w:r>
        <w:rPr>
          <w:color w:val="222222"/>
          <w:shd w:val="clear" w:color="auto" w:fill="FFFFFF"/>
        </w:rPr>
        <w:t>Abdalla</w:t>
      </w:r>
      <w:proofErr w:type="spellEnd"/>
      <w:r>
        <w:rPr>
          <w:color w:val="222222"/>
          <w:shd w:val="clear" w:color="auto" w:fill="FFFFFF"/>
        </w:rPr>
        <w:t xml:space="preserve"> </w:t>
      </w:r>
      <w:proofErr w:type="spellStart"/>
      <w:r>
        <w:rPr>
          <w:color w:val="222222"/>
          <w:shd w:val="clear" w:color="auto" w:fill="FFFFFF"/>
        </w:rPr>
        <w:t>Hamza</w:t>
      </w:r>
      <w:proofErr w:type="spellEnd"/>
      <w:r>
        <w:rPr>
          <w:color w:val="222222"/>
          <w:shd w:val="clear" w:color="auto" w:fill="FFFFFF"/>
        </w:rPr>
        <w:t xml:space="preserve">, P., Sabir, B. Y., Mahmood Aziz, H., </w:t>
      </w:r>
      <w:proofErr w:type="spellStart"/>
      <w:r>
        <w:rPr>
          <w:color w:val="222222"/>
          <w:shd w:val="clear" w:color="auto" w:fill="FFFFFF"/>
        </w:rPr>
        <w:t>Sorguli</w:t>
      </w:r>
      <w:proofErr w:type="spellEnd"/>
      <w:r>
        <w:rPr>
          <w:color w:val="222222"/>
          <w:shd w:val="clear" w:color="auto" w:fill="FFFFFF"/>
        </w:rPr>
        <w:t>, S., Abdullah, N. N., &amp; Al-</w:t>
      </w:r>
      <w:proofErr w:type="spellStart"/>
      <w:r>
        <w:rPr>
          <w:color w:val="222222"/>
          <w:shd w:val="clear" w:color="auto" w:fill="FFFFFF"/>
        </w:rPr>
        <w:t>Kake</w:t>
      </w:r>
      <w:proofErr w:type="spellEnd"/>
      <w:r>
        <w:rPr>
          <w:color w:val="222222"/>
          <w:shd w:val="clear" w:color="auto" w:fill="FFFFFF"/>
        </w:rPr>
        <w:t xml:space="preserve">, F. (2021). Investigating the effects of financial accounting reports on managerial decision making in small and medium-sized enterprises. </w:t>
      </w:r>
      <w:proofErr w:type="spellStart"/>
      <w:r>
        <w:rPr>
          <w:i/>
          <w:iCs/>
          <w:color w:val="222222"/>
          <w:shd w:val="clear" w:color="auto" w:fill="FFFFFF"/>
        </w:rPr>
        <w:t>Bawan</w:t>
      </w:r>
      <w:proofErr w:type="spellEnd"/>
      <w:r>
        <w:rPr>
          <w:i/>
          <w:iCs/>
          <w:color w:val="222222"/>
          <w:shd w:val="clear" w:color="auto" w:fill="FFFFFF"/>
        </w:rPr>
        <w:t xml:space="preserve"> </w:t>
      </w:r>
      <w:proofErr w:type="spellStart"/>
      <w:r>
        <w:rPr>
          <w:i/>
          <w:iCs/>
          <w:color w:val="222222"/>
          <w:shd w:val="clear" w:color="auto" w:fill="FFFFFF"/>
        </w:rPr>
        <w:t>Yassin</w:t>
      </w:r>
      <w:proofErr w:type="spellEnd"/>
      <w:r>
        <w:rPr>
          <w:i/>
          <w:iCs/>
          <w:color w:val="222222"/>
          <w:shd w:val="clear" w:color="auto" w:fill="FFFFFF"/>
        </w:rPr>
        <w:t xml:space="preserve"> and </w:t>
      </w:r>
      <w:proofErr w:type="spellStart"/>
      <w:r>
        <w:rPr>
          <w:i/>
          <w:iCs/>
          <w:color w:val="222222"/>
          <w:shd w:val="clear" w:color="auto" w:fill="FFFFFF"/>
        </w:rPr>
        <w:t>Mahmood</w:t>
      </w:r>
      <w:proofErr w:type="spellEnd"/>
      <w:r>
        <w:rPr>
          <w:i/>
          <w:iCs/>
          <w:color w:val="222222"/>
          <w:shd w:val="clear" w:color="auto" w:fill="FFFFFF"/>
        </w:rPr>
        <w:t xml:space="preserve"> Aziz, Hassan and </w:t>
      </w:r>
      <w:proofErr w:type="spellStart"/>
      <w:r>
        <w:rPr>
          <w:i/>
          <w:iCs/>
          <w:color w:val="222222"/>
          <w:shd w:val="clear" w:color="auto" w:fill="FFFFFF"/>
        </w:rPr>
        <w:t>Sorguli</w:t>
      </w:r>
      <w:proofErr w:type="spellEnd"/>
      <w:r>
        <w:rPr>
          <w:i/>
          <w:iCs/>
          <w:color w:val="222222"/>
          <w:shd w:val="clear" w:color="auto" w:fill="FFFFFF"/>
        </w:rPr>
        <w:t xml:space="preserve">, </w:t>
      </w:r>
      <w:proofErr w:type="spellStart"/>
      <w:r>
        <w:rPr>
          <w:i/>
          <w:iCs/>
          <w:color w:val="222222"/>
          <w:shd w:val="clear" w:color="auto" w:fill="FFFFFF"/>
        </w:rPr>
        <w:t>Sarhang</w:t>
      </w:r>
      <w:proofErr w:type="spellEnd"/>
      <w:r>
        <w:rPr>
          <w:i/>
          <w:iCs/>
          <w:color w:val="222222"/>
          <w:shd w:val="clear" w:color="auto" w:fill="FFFFFF"/>
        </w:rPr>
        <w:t xml:space="preserve"> and Abdullah, </w:t>
      </w:r>
      <w:proofErr w:type="spellStart"/>
      <w:r>
        <w:rPr>
          <w:i/>
          <w:iCs/>
          <w:color w:val="222222"/>
          <w:shd w:val="clear" w:color="auto" w:fill="FFFFFF"/>
        </w:rPr>
        <w:t>Nabaz</w:t>
      </w:r>
      <w:proofErr w:type="spellEnd"/>
      <w:r>
        <w:rPr>
          <w:i/>
          <w:iCs/>
          <w:color w:val="222222"/>
          <w:shd w:val="clear" w:color="auto" w:fill="FFFFFF"/>
        </w:rPr>
        <w:t xml:space="preserve"> </w:t>
      </w:r>
      <w:proofErr w:type="spellStart"/>
      <w:r>
        <w:rPr>
          <w:i/>
          <w:iCs/>
          <w:color w:val="222222"/>
          <w:shd w:val="clear" w:color="auto" w:fill="FFFFFF"/>
        </w:rPr>
        <w:t>Nawzad</w:t>
      </w:r>
      <w:proofErr w:type="spellEnd"/>
      <w:r>
        <w:rPr>
          <w:i/>
          <w:iCs/>
          <w:color w:val="222222"/>
          <w:shd w:val="clear" w:color="auto" w:fill="FFFFFF"/>
        </w:rPr>
        <w:t xml:space="preserve"> and Al-</w:t>
      </w:r>
      <w:proofErr w:type="spellStart"/>
      <w:r>
        <w:rPr>
          <w:i/>
          <w:iCs/>
          <w:color w:val="222222"/>
          <w:shd w:val="clear" w:color="auto" w:fill="FFFFFF"/>
        </w:rPr>
        <w:t>Kake</w:t>
      </w:r>
      <w:proofErr w:type="spellEnd"/>
      <w:r>
        <w:rPr>
          <w:i/>
          <w:iCs/>
          <w:color w:val="222222"/>
          <w:shd w:val="clear" w:color="auto" w:fill="FFFFFF"/>
        </w:rPr>
        <w:t xml:space="preserve">, </w:t>
      </w:r>
      <w:proofErr w:type="spellStart"/>
      <w:r>
        <w:rPr>
          <w:i/>
          <w:iCs/>
          <w:color w:val="222222"/>
          <w:shd w:val="clear" w:color="auto" w:fill="FFFFFF"/>
        </w:rPr>
        <w:t>farhad</w:t>
      </w:r>
      <w:proofErr w:type="spellEnd"/>
      <w:r>
        <w:rPr>
          <w:i/>
          <w:iCs/>
          <w:color w:val="222222"/>
          <w:shd w:val="clear" w:color="auto" w:fill="FFFFFF"/>
        </w:rPr>
        <w:t>, Investigating the Effects of Financial Accounting Reports on Managerial Decision Making in Small and Medium-sized Enterprises (April 28, 2021)</w:t>
      </w:r>
      <w:r>
        <w:rPr>
          <w:color w:val="222222"/>
          <w:shd w:val="clear" w:color="auto" w:fill="FFFFFF"/>
        </w:rPr>
        <w:t xml:space="preserve">. </w:t>
      </w:r>
      <w:hyperlink r:id="rId8" w:history="1">
        <w:r>
          <w:rPr>
            <w:rStyle w:val="Hyperlink"/>
            <w:color w:val="1155CC"/>
            <w:shd w:val="clear" w:color="auto" w:fill="FFFFFF"/>
          </w:rPr>
          <w:t>https://www.turcomat.org/index.php/turkbilmat/article/download/4733/3964</w:t>
        </w:r>
      </w:hyperlink>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Magli</w:t>
      </w:r>
      <w:proofErr w:type="spellEnd"/>
      <w:r>
        <w:rPr>
          <w:color w:val="222222"/>
          <w:shd w:val="clear" w:color="auto" w:fill="FFFFFF"/>
        </w:rPr>
        <w:t xml:space="preserve">, F., </w:t>
      </w:r>
      <w:proofErr w:type="spellStart"/>
      <w:r>
        <w:rPr>
          <w:color w:val="222222"/>
          <w:shd w:val="clear" w:color="auto" w:fill="FFFFFF"/>
        </w:rPr>
        <w:t>Nobolo</w:t>
      </w:r>
      <w:proofErr w:type="spellEnd"/>
      <w:r>
        <w:rPr>
          <w:color w:val="222222"/>
          <w:shd w:val="clear" w:color="auto" w:fill="FFFFFF"/>
        </w:rPr>
        <w:t xml:space="preserve">, A., &amp; </w:t>
      </w:r>
      <w:proofErr w:type="spellStart"/>
      <w:r>
        <w:rPr>
          <w:color w:val="222222"/>
          <w:shd w:val="clear" w:color="auto" w:fill="FFFFFF"/>
        </w:rPr>
        <w:t>Ogliari</w:t>
      </w:r>
      <w:proofErr w:type="spellEnd"/>
      <w:r>
        <w:rPr>
          <w:color w:val="222222"/>
          <w:shd w:val="clear" w:color="auto" w:fill="FFFFFF"/>
        </w:rPr>
        <w:t xml:space="preserve">, M. (2018). The effects on financial leverage and performance: The IFRS 16. </w:t>
      </w:r>
      <w:r>
        <w:rPr>
          <w:i/>
          <w:iCs/>
          <w:color w:val="222222"/>
          <w:shd w:val="clear" w:color="auto" w:fill="FFFFFF"/>
        </w:rPr>
        <w:t>International Business Research</w:t>
      </w:r>
      <w:r>
        <w:rPr>
          <w:color w:val="222222"/>
          <w:shd w:val="clear" w:color="auto" w:fill="FFFFFF"/>
        </w:rPr>
        <w:t xml:space="preserve">, </w:t>
      </w:r>
      <w:r>
        <w:rPr>
          <w:i/>
          <w:iCs/>
          <w:color w:val="222222"/>
          <w:shd w:val="clear" w:color="auto" w:fill="FFFFFF"/>
        </w:rPr>
        <w:t>11</w:t>
      </w:r>
      <w:r>
        <w:rPr>
          <w:color w:val="222222"/>
          <w:shd w:val="clear" w:color="auto" w:fill="FFFFFF"/>
        </w:rPr>
        <w:t>(8), 76-89. https://boa.unimib.it/bitstream/10281/201861/2/IBR%20The%20Effects%20on%20Financial%20Leverage%20and%20Performance_The%20IFRS%2016.pdf </w:t>
      </w:r>
    </w:p>
    <w:p w:rsidR="00871020" w:rsidRDefault="00871020" w:rsidP="00871020">
      <w:pPr>
        <w:pStyle w:val="NormalWeb"/>
        <w:spacing w:before="0" w:beforeAutospacing="0" w:after="0" w:afterAutospacing="0" w:line="360" w:lineRule="auto"/>
        <w:jc w:val="both"/>
      </w:pPr>
      <w:r>
        <w:rPr>
          <w:color w:val="222222"/>
          <w:shd w:val="clear" w:color="auto" w:fill="FFFFFF"/>
        </w:rPr>
        <w:t xml:space="preserve">Napier, C. J., &amp; </w:t>
      </w:r>
      <w:proofErr w:type="spellStart"/>
      <w:r>
        <w:rPr>
          <w:color w:val="222222"/>
          <w:shd w:val="clear" w:color="auto" w:fill="FFFFFF"/>
        </w:rPr>
        <w:t>Stadler</w:t>
      </w:r>
      <w:proofErr w:type="spellEnd"/>
      <w:r>
        <w:rPr>
          <w:color w:val="222222"/>
          <w:shd w:val="clear" w:color="auto" w:fill="FFFFFF"/>
        </w:rPr>
        <w:t xml:space="preserve">, C. (2020). The real effects of a new accounting standard: the case of IFRS 15 Revenue from Contracts with Customers. </w:t>
      </w:r>
      <w:r>
        <w:rPr>
          <w:i/>
          <w:iCs/>
          <w:color w:val="222222"/>
          <w:shd w:val="clear" w:color="auto" w:fill="FFFFFF"/>
        </w:rPr>
        <w:t>Accounting and Business Research</w:t>
      </w:r>
      <w:r>
        <w:rPr>
          <w:color w:val="222222"/>
          <w:shd w:val="clear" w:color="auto" w:fill="FFFFFF"/>
        </w:rPr>
        <w:t xml:space="preserve">, </w:t>
      </w:r>
      <w:r>
        <w:rPr>
          <w:i/>
          <w:iCs/>
          <w:color w:val="222222"/>
          <w:shd w:val="clear" w:color="auto" w:fill="FFFFFF"/>
        </w:rPr>
        <w:t>50</w:t>
      </w:r>
      <w:r>
        <w:rPr>
          <w:color w:val="222222"/>
          <w:shd w:val="clear" w:color="auto" w:fill="FFFFFF"/>
        </w:rPr>
        <w:t>(5), 474-503. https://www.tandfonline.com/doi/pdf/10.1080/00014788.2020.1770933 </w:t>
      </w:r>
    </w:p>
    <w:p w:rsidR="00871020" w:rsidRDefault="00871020" w:rsidP="00871020">
      <w:pPr>
        <w:pStyle w:val="NormalWeb"/>
        <w:spacing w:before="0" w:beforeAutospacing="0" w:after="0" w:afterAutospacing="0" w:line="360" w:lineRule="auto"/>
        <w:jc w:val="both"/>
      </w:pPr>
      <w:r>
        <w:rPr>
          <w:color w:val="222222"/>
          <w:shd w:val="clear" w:color="auto" w:fill="FFFFFF"/>
        </w:rPr>
        <w:t xml:space="preserve">Robinson, T. R. (2020). </w:t>
      </w:r>
      <w:r>
        <w:rPr>
          <w:i/>
          <w:iCs/>
          <w:color w:val="222222"/>
          <w:shd w:val="clear" w:color="auto" w:fill="FFFFFF"/>
        </w:rPr>
        <w:t>International financial statement analysis</w:t>
      </w:r>
      <w:r>
        <w:rPr>
          <w:color w:val="222222"/>
          <w:shd w:val="clear" w:color="auto" w:fill="FFFFFF"/>
        </w:rPr>
        <w:t>. John Wiley &amp; Sons. http://196.190.117.157:8080/xmlui/bitstream/handle/123456789/845/67.pdf.pdf?sequence=1&amp;isAllowed=y </w:t>
      </w:r>
    </w:p>
    <w:p w:rsidR="00871020" w:rsidRDefault="00871020" w:rsidP="00871020">
      <w:pPr>
        <w:pStyle w:val="NormalWeb"/>
        <w:spacing w:before="0" w:beforeAutospacing="0" w:after="0" w:afterAutospacing="0" w:line="360" w:lineRule="auto"/>
        <w:jc w:val="both"/>
      </w:pPr>
      <w:proofErr w:type="spellStart"/>
      <w:r>
        <w:rPr>
          <w:color w:val="222222"/>
          <w:shd w:val="clear" w:color="auto" w:fill="FFFFFF"/>
        </w:rPr>
        <w:t>Svabova</w:t>
      </w:r>
      <w:proofErr w:type="spellEnd"/>
      <w:r>
        <w:rPr>
          <w:color w:val="222222"/>
          <w:shd w:val="clear" w:color="auto" w:fill="FFFFFF"/>
        </w:rPr>
        <w:t xml:space="preserve">, L., </w:t>
      </w:r>
      <w:proofErr w:type="spellStart"/>
      <w:r>
        <w:rPr>
          <w:color w:val="222222"/>
          <w:shd w:val="clear" w:color="auto" w:fill="FFFFFF"/>
        </w:rPr>
        <w:t>Kramarova</w:t>
      </w:r>
      <w:proofErr w:type="spellEnd"/>
      <w:r>
        <w:rPr>
          <w:color w:val="222222"/>
          <w:shd w:val="clear" w:color="auto" w:fill="FFFFFF"/>
        </w:rPr>
        <w:t xml:space="preserve">, K., </w:t>
      </w:r>
      <w:proofErr w:type="spellStart"/>
      <w:r>
        <w:rPr>
          <w:color w:val="222222"/>
          <w:shd w:val="clear" w:color="auto" w:fill="FFFFFF"/>
        </w:rPr>
        <w:t>Chutka</w:t>
      </w:r>
      <w:proofErr w:type="spellEnd"/>
      <w:r>
        <w:rPr>
          <w:color w:val="222222"/>
          <w:shd w:val="clear" w:color="auto" w:fill="FFFFFF"/>
        </w:rPr>
        <w:t xml:space="preserve">, J., &amp; </w:t>
      </w:r>
      <w:proofErr w:type="spellStart"/>
      <w:r>
        <w:rPr>
          <w:color w:val="222222"/>
          <w:shd w:val="clear" w:color="auto" w:fill="FFFFFF"/>
        </w:rPr>
        <w:t>Strakova</w:t>
      </w:r>
      <w:proofErr w:type="spellEnd"/>
      <w:r>
        <w:rPr>
          <w:color w:val="222222"/>
          <w:shd w:val="clear" w:color="auto" w:fill="FFFFFF"/>
        </w:rPr>
        <w:t xml:space="preserve">, L. (2020). Detecting earnings manipulation and fraudulent financial reporting in Slovakia. </w:t>
      </w:r>
      <w:proofErr w:type="spellStart"/>
      <w:r>
        <w:rPr>
          <w:i/>
          <w:iCs/>
          <w:color w:val="222222"/>
          <w:shd w:val="clear" w:color="auto" w:fill="FFFFFF"/>
        </w:rPr>
        <w:t>Oeconomia</w:t>
      </w:r>
      <w:proofErr w:type="spellEnd"/>
      <w:r>
        <w:rPr>
          <w:i/>
          <w:iCs/>
          <w:color w:val="222222"/>
          <w:shd w:val="clear" w:color="auto" w:fill="FFFFFF"/>
        </w:rPr>
        <w:t xml:space="preserve"> </w:t>
      </w:r>
      <w:proofErr w:type="spellStart"/>
      <w:r>
        <w:rPr>
          <w:i/>
          <w:iCs/>
          <w:color w:val="222222"/>
          <w:shd w:val="clear" w:color="auto" w:fill="FFFFFF"/>
        </w:rPr>
        <w:t>Copernicana</w:t>
      </w:r>
      <w:proofErr w:type="spellEnd"/>
      <w:r>
        <w:rPr>
          <w:color w:val="222222"/>
          <w:shd w:val="clear" w:color="auto" w:fill="FFFFFF"/>
        </w:rPr>
        <w:t xml:space="preserve">, </w:t>
      </w:r>
      <w:r>
        <w:rPr>
          <w:i/>
          <w:iCs/>
          <w:color w:val="222222"/>
          <w:shd w:val="clear" w:color="auto" w:fill="FFFFFF"/>
        </w:rPr>
        <w:t>11</w:t>
      </w:r>
      <w:r>
        <w:rPr>
          <w:color w:val="222222"/>
          <w:shd w:val="clear" w:color="auto" w:fill="FFFFFF"/>
        </w:rPr>
        <w:t>(3), 485-508. http://economic-research.pl/Journals/index.php/oc/article/download/1816/1707 </w:t>
      </w:r>
    </w:p>
    <w:sectPr w:rsidR="00871020" w:rsidSect="000905FE">
      <w:headerReference w:type="default" r:id="rId9"/>
      <w:footerReference w:type="default" r:id="rId10"/>
      <w:headerReference w:type="first" r:id="rId11"/>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3218" w:rsidRDefault="00543218" w:rsidP="000905FE">
      <w:pPr>
        <w:spacing w:line="240" w:lineRule="auto"/>
      </w:pPr>
      <w:r>
        <w:separator/>
      </w:r>
    </w:p>
  </w:endnote>
  <w:endnote w:type="continuationSeparator" w:id="0">
    <w:p w:rsidR="00543218" w:rsidRDefault="00543218" w:rsidP="000905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EE"/>
    <w:family w:val="swiss"/>
    <w:pitch w:val="variable"/>
    <w:sig w:usb0="E0002AFF" w:usb1="C0007843" w:usb2="00000009" w:usb3="00000000" w:csb0="000001FF" w:csb1="00000000"/>
  </w:font>
  <w:font w:name="Times New Roman">
    <w:panose1 w:val="02020603050405020304"/>
    <w:charset w:val="EE"/>
    <w:family w:val="roman"/>
    <w:pitch w:val="variable"/>
    <w:sig w:usb0="E0002AFF" w:usb1="C0007841"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79034245"/>
      <w:docPartObj>
        <w:docPartGallery w:val="Page Numbers (Bottom of Page)"/>
        <w:docPartUnique/>
      </w:docPartObj>
    </w:sdtPr>
    <w:sdtEndPr>
      <w:rPr>
        <w:noProof/>
      </w:rPr>
    </w:sdtEndPr>
    <w:sdtContent>
      <w:p w:rsidR="000905FE" w:rsidRDefault="000905FE">
        <w:pPr>
          <w:pStyle w:val="Subsol"/>
          <w:jc w:val="right"/>
        </w:pPr>
        <w:r>
          <w:fldChar w:fldCharType="begin"/>
        </w:r>
        <w:r>
          <w:instrText xml:space="preserve"> PAGE   \* MERGEFORMAT </w:instrText>
        </w:r>
        <w:r>
          <w:fldChar w:fldCharType="separate"/>
        </w:r>
        <w:r w:rsidR="00130CDC">
          <w:rPr>
            <w:noProof/>
          </w:rPr>
          <w:t>14</w:t>
        </w:r>
        <w:r>
          <w:rPr>
            <w:noProof/>
          </w:rPr>
          <w:fldChar w:fldCharType="end"/>
        </w:r>
      </w:p>
    </w:sdtContent>
  </w:sdt>
  <w:p w:rsidR="000905FE" w:rsidRDefault="000905FE">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3218" w:rsidRDefault="00543218" w:rsidP="000905FE">
      <w:pPr>
        <w:spacing w:line="240" w:lineRule="auto"/>
      </w:pPr>
      <w:r>
        <w:separator/>
      </w:r>
    </w:p>
  </w:footnote>
  <w:footnote w:type="continuationSeparator" w:id="0">
    <w:p w:rsidR="00543218" w:rsidRDefault="00543218" w:rsidP="000905F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C6339" w:rsidRPr="00EC6339" w:rsidRDefault="00EC6339">
    <w:pPr>
      <w:pStyle w:val="Antet"/>
    </w:pPr>
    <w:r>
      <w:t>2113196</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C6339" w:rsidRDefault="00EC6339">
    <w:pPr>
      <w:pStyle w:val="Antet"/>
    </w:pPr>
    <w:smartTag w:uri="urn:schemas-microsoft-com:office:smarttags" w:element="phone">
      <w:smartTagPr>
        <w:attr w:uri="urn:schemas-microsoft-com:office:office" w:name="ls" w:val="trans"/>
      </w:smartTagPr>
      <w:r>
        <w:t>2113196</w:t>
      </w:r>
    </w:smartTag>
  </w:p>
  <w:p w:rsidR="00EC6339" w:rsidRDefault="00EC6339">
    <w:pPr>
      <w:pStyle w:val="Antet"/>
    </w:pPr>
  </w:p>
  <w:p w:rsidR="00EC6339" w:rsidRDefault="00EC6339">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08DD"/>
    <w:rsid w:val="000905FE"/>
    <w:rsid w:val="00130CDC"/>
    <w:rsid w:val="001C34B5"/>
    <w:rsid w:val="001D19E2"/>
    <w:rsid w:val="00325EA2"/>
    <w:rsid w:val="00543218"/>
    <w:rsid w:val="006708DD"/>
    <w:rsid w:val="00871020"/>
    <w:rsid w:val="00B65B50"/>
    <w:rsid w:val="00E72386"/>
    <w:rsid w:val="00EC6339"/>
    <w:rsid w:val="00F56B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hon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0905F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0905FE"/>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Ind w:w="0" w:type="dxa"/>
      <w:tblCellMar>
        <w:top w:w="100" w:type="dxa"/>
        <w:left w:w="100" w:type="dxa"/>
        <w:bottom w:w="100" w:type="dxa"/>
        <w:right w:w="100" w:type="dxa"/>
      </w:tblCellMar>
    </w:tblPr>
  </w:style>
  <w:style w:type="table" w:customStyle="1" w:styleId="a0">
    <w:basedOn w:val="TabelNormal"/>
    <w:tblPr>
      <w:tblStyleRowBandSize w:val="1"/>
      <w:tblStyleColBandSize w:val="1"/>
      <w:tblInd w:w="0" w:type="dxa"/>
      <w:tblCellMar>
        <w:top w:w="100" w:type="dxa"/>
        <w:left w:w="100" w:type="dxa"/>
        <w:bottom w:w="100" w:type="dxa"/>
        <w:right w:w="100" w:type="dxa"/>
      </w:tblCellMar>
    </w:tblPr>
  </w:style>
  <w:style w:type="table" w:customStyle="1" w:styleId="a1">
    <w:basedOn w:val="TabelNormal"/>
    <w:tblPr>
      <w:tblStyleRowBandSize w:val="1"/>
      <w:tblStyleColBandSize w:val="1"/>
      <w:tblInd w:w="0" w:type="dxa"/>
      <w:tblCellMar>
        <w:top w:w="100" w:type="dxa"/>
        <w:left w:w="100" w:type="dxa"/>
        <w:bottom w:w="100" w:type="dxa"/>
        <w:right w:w="100" w:type="dxa"/>
      </w:tblCellMar>
    </w:tblPr>
  </w:style>
  <w:style w:type="table" w:customStyle="1" w:styleId="a2">
    <w:basedOn w:val="TabelNormal"/>
    <w:tblPr>
      <w:tblStyleRowBandSize w:val="1"/>
      <w:tblStyleColBandSize w:val="1"/>
      <w:tblInd w:w="0" w:type="dxa"/>
      <w:tblCellMar>
        <w:top w:w="100" w:type="dxa"/>
        <w:left w:w="100" w:type="dxa"/>
        <w:bottom w:w="100" w:type="dxa"/>
        <w:right w:w="100" w:type="dxa"/>
      </w:tblCellMar>
    </w:tblPr>
  </w:style>
  <w:style w:type="table" w:customStyle="1" w:styleId="a3">
    <w:basedOn w:val="TabelNormal"/>
    <w:tblPr>
      <w:tblStyleRowBandSize w:val="1"/>
      <w:tblStyleColBandSize w:val="1"/>
      <w:tblInd w:w="0" w:type="dxa"/>
      <w:tblCellMar>
        <w:top w:w="100" w:type="dxa"/>
        <w:left w:w="100" w:type="dxa"/>
        <w:bottom w:w="100" w:type="dxa"/>
        <w:right w:w="100" w:type="dxa"/>
      </w:tblCellMar>
    </w:tblPr>
  </w:style>
  <w:style w:type="table" w:customStyle="1" w:styleId="a4">
    <w:basedOn w:val="TabelNormal"/>
    <w:tblPr>
      <w:tblStyleRowBandSize w:val="1"/>
      <w:tblStyleColBandSize w:val="1"/>
      <w:tblInd w:w="0" w:type="dxa"/>
      <w:tblCellMar>
        <w:top w:w="100" w:type="dxa"/>
        <w:left w:w="100" w:type="dxa"/>
        <w:bottom w:w="100" w:type="dxa"/>
        <w:right w:w="100" w:type="dxa"/>
      </w:tblCellMar>
    </w:tblPr>
  </w:style>
  <w:style w:type="table" w:customStyle="1" w:styleId="a5">
    <w:basedOn w:val="TabelNormal"/>
    <w:tblPr>
      <w:tblStyleRowBandSize w:val="1"/>
      <w:tblStyleColBandSize w:val="1"/>
      <w:tblInd w:w="0" w:type="dxa"/>
      <w:tblCellMar>
        <w:top w:w="100" w:type="dxa"/>
        <w:left w:w="100" w:type="dxa"/>
        <w:bottom w:w="100" w:type="dxa"/>
        <w:right w:w="100" w:type="dxa"/>
      </w:tblCellMar>
    </w:tblPr>
  </w:style>
  <w:style w:type="table" w:customStyle="1" w:styleId="a6">
    <w:basedOn w:val="TabelNormal"/>
    <w:tblPr>
      <w:tblStyleRowBandSize w:val="1"/>
      <w:tblStyleColBandSize w:val="1"/>
      <w:tblInd w:w="0" w:type="dxa"/>
      <w:tblCellMar>
        <w:top w:w="100" w:type="dxa"/>
        <w:left w:w="100" w:type="dxa"/>
        <w:bottom w:w="100" w:type="dxa"/>
        <w:right w:w="100" w:type="dxa"/>
      </w:tblCellMar>
    </w:tblPr>
  </w:style>
  <w:style w:type="table" w:customStyle="1" w:styleId="a7">
    <w:basedOn w:val="TabelNormal"/>
    <w:tblPr>
      <w:tblStyleRowBandSize w:val="1"/>
      <w:tblStyleColBandSize w:val="1"/>
      <w:tblInd w:w="0" w:type="dxa"/>
      <w:tblCellMar>
        <w:top w:w="100" w:type="dxa"/>
        <w:left w:w="100" w:type="dxa"/>
        <w:bottom w:w="100" w:type="dxa"/>
        <w:right w:w="100" w:type="dxa"/>
      </w:tblCellMar>
    </w:tblPr>
  </w:style>
  <w:style w:type="table" w:customStyle="1" w:styleId="a8">
    <w:basedOn w:val="TabelNormal"/>
    <w:tblPr>
      <w:tblStyleRowBandSize w:val="1"/>
      <w:tblStyleColBandSize w:val="1"/>
      <w:tblInd w:w="0" w:type="dxa"/>
      <w:tblCellMar>
        <w:top w:w="100" w:type="dxa"/>
        <w:left w:w="100" w:type="dxa"/>
        <w:bottom w:w="100" w:type="dxa"/>
        <w:right w:w="100" w:type="dxa"/>
      </w:tblCellMar>
    </w:tblPr>
  </w:style>
  <w:style w:type="table" w:customStyle="1" w:styleId="a9">
    <w:basedOn w:val="TabelNormal"/>
    <w:tblPr>
      <w:tblStyleRowBandSize w:val="1"/>
      <w:tblStyleColBandSize w:val="1"/>
      <w:tblInd w:w="0" w:type="dxa"/>
      <w:tblCellMar>
        <w:top w:w="100" w:type="dxa"/>
        <w:left w:w="100" w:type="dxa"/>
        <w:bottom w:w="100" w:type="dxa"/>
        <w:right w:w="100" w:type="dxa"/>
      </w:tblCellMar>
    </w:tblPr>
  </w:style>
  <w:style w:type="table" w:customStyle="1" w:styleId="aa">
    <w:basedOn w:val="Tabel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71020"/>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Fontdeparagrafimplicit"/>
    <w:uiPriority w:val="99"/>
    <w:unhideWhenUsed/>
    <w:rsid w:val="00871020"/>
    <w:rPr>
      <w:color w:val="0000FF"/>
      <w:u w:val="single"/>
    </w:rPr>
  </w:style>
  <w:style w:type="paragraph" w:styleId="Antet">
    <w:name w:val="header"/>
    <w:basedOn w:val="Normal"/>
    <w:link w:val="AntetCaracter"/>
    <w:uiPriority w:val="99"/>
    <w:unhideWhenUsed/>
    <w:rsid w:val="000905FE"/>
    <w:pPr>
      <w:tabs>
        <w:tab w:val="center" w:pos="4513"/>
        <w:tab w:val="right" w:pos="9026"/>
      </w:tabs>
      <w:spacing w:line="240" w:lineRule="auto"/>
    </w:pPr>
  </w:style>
  <w:style w:type="character" w:customStyle="1" w:styleId="AntetCaracter">
    <w:name w:val="Antet Caracter"/>
    <w:basedOn w:val="Fontdeparagrafimplicit"/>
    <w:link w:val="Antet"/>
    <w:uiPriority w:val="99"/>
    <w:rsid w:val="000905FE"/>
  </w:style>
  <w:style w:type="paragraph" w:styleId="Subsol">
    <w:name w:val="footer"/>
    <w:basedOn w:val="Normal"/>
    <w:link w:val="SubsolCaracter"/>
    <w:uiPriority w:val="99"/>
    <w:unhideWhenUsed/>
    <w:rsid w:val="000905F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905FE"/>
  </w:style>
  <w:style w:type="paragraph" w:styleId="Titlucuprins">
    <w:name w:val="TOC Heading"/>
    <w:basedOn w:val="Titlu1"/>
    <w:next w:val="Normal"/>
    <w:uiPriority w:val="39"/>
    <w:unhideWhenUsed/>
    <w:qFormat/>
    <w:rsid w:val="00325E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25EA2"/>
    <w:pPr>
      <w:spacing w:after="100"/>
    </w:pPr>
  </w:style>
  <w:style w:type="paragraph" w:styleId="Cuprins2">
    <w:name w:val="toc 2"/>
    <w:basedOn w:val="Normal"/>
    <w:next w:val="Normal"/>
    <w:autoRedefine/>
    <w:uiPriority w:val="39"/>
    <w:unhideWhenUsed/>
    <w:rsid w:val="00325EA2"/>
    <w:pPr>
      <w:spacing w:after="100"/>
      <w:ind w:left="220"/>
    </w:pPr>
  </w:style>
  <w:style w:type="paragraph" w:styleId="TextnBalon">
    <w:name w:val="Balloon Text"/>
    <w:basedOn w:val="Normal"/>
    <w:link w:val="TextnBalonCaracter"/>
    <w:uiPriority w:val="99"/>
    <w:semiHidden/>
    <w:unhideWhenUsed/>
    <w:rsid w:val="00EC633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633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ro-RO"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Titlu1">
    <w:name w:val="heading 1"/>
    <w:basedOn w:val="Normal"/>
    <w:next w:val="Normal"/>
    <w:rsid w:val="000905FE"/>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0905FE"/>
    <w:pPr>
      <w:keepNext/>
      <w:keepLines/>
      <w:spacing w:before="360" w:after="120" w:line="360" w:lineRule="auto"/>
      <w:jc w:val="both"/>
      <w:outlineLvl w:val="1"/>
    </w:pPr>
    <w:rPr>
      <w:rFonts w:ascii="Times New Roman" w:hAnsi="Times New Roman"/>
      <w:b/>
      <w:sz w:val="24"/>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Ind w:w="0" w:type="dxa"/>
      <w:tblCellMar>
        <w:top w:w="100" w:type="dxa"/>
        <w:left w:w="100" w:type="dxa"/>
        <w:bottom w:w="100" w:type="dxa"/>
        <w:right w:w="100" w:type="dxa"/>
      </w:tblCellMar>
    </w:tblPr>
  </w:style>
  <w:style w:type="table" w:customStyle="1" w:styleId="a0">
    <w:basedOn w:val="TabelNormal"/>
    <w:tblPr>
      <w:tblStyleRowBandSize w:val="1"/>
      <w:tblStyleColBandSize w:val="1"/>
      <w:tblInd w:w="0" w:type="dxa"/>
      <w:tblCellMar>
        <w:top w:w="100" w:type="dxa"/>
        <w:left w:w="100" w:type="dxa"/>
        <w:bottom w:w="100" w:type="dxa"/>
        <w:right w:w="100" w:type="dxa"/>
      </w:tblCellMar>
    </w:tblPr>
  </w:style>
  <w:style w:type="table" w:customStyle="1" w:styleId="a1">
    <w:basedOn w:val="TabelNormal"/>
    <w:tblPr>
      <w:tblStyleRowBandSize w:val="1"/>
      <w:tblStyleColBandSize w:val="1"/>
      <w:tblInd w:w="0" w:type="dxa"/>
      <w:tblCellMar>
        <w:top w:w="100" w:type="dxa"/>
        <w:left w:w="100" w:type="dxa"/>
        <w:bottom w:w="100" w:type="dxa"/>
        <w:right w:w="100" w:type="dxa"/>
      </w:tblCellMar>
    </w:tblPr>
  </w:style>
  <w:style w:type="table" w:customStyle="1" w:styleId="a2">
    <w:basedOn w:val="TabelNormal"/>
    <w:tblPr>
      <w:tblStyleRowBandSize w:val="1"/>
      <w:tblStyleColBandSize w:val="1"/>
      <w:tblInd w:w="0" w:type="dxa"/>
      <w:tblCellMar>
        <w:top w:w="100" w:type="dxa"/>
        <w:left w:w="100" w:type="dxa"/>
        <w:bottom w:w="100" w:type="dxa"/>
        <w:right w:w="100" w:type="dxa"/>
      </w:tblCellMar>
    </w:tblPr>
  </w:style>
  <w:style w:type="table" w:customStyle="1" w:styleId="a3">
    <w:basedOn w:val="TabelNormal"/>
    <w:tblPr>
      <w:tblStyleRowBandSize w:val="1"/>
      <w:tblStyleColBandSize w:val="1"/>
      <w:tblInd w:w="0" w:type="dxa"/>
      <w:tblCellMar>
        <w:top w:w="100" w:type="dxa"/>
        <w:left w:w="100" w:type="dxa"/>
        <w:bottom w:w="100" w:type="dxa"/>
        <w:right w:w="100" w:type="dxa"/>
      </w:tblCellMar>
    </w:tblPr>
  </w:style>
  <w:style w:type="table" w:customStyle="1" w:styleId="a4">
    <w:basedOn w:val="TabelNormal"/>
    <w:tblPr>
      <w:tblStyleRowBandSize w:val="1"/>
      <w:tblStyleColBandSize w:val="1"/>
      <w:tblInd w:w="0" w:type="dxa"/>
      <w:tblCellMar>
        <w:top w:w="100" w:type="dxa"/>
        <w:left w:w="100" w:type="dxa"/>
        <w:bottom w:w="100" w:type="dxa"/>
        <w:right w:w="100" w:type="dxa"/>
      </w:tblCellMar>
    </w:tblPr>
  </w:style>
  <w:style w:type="table" w:customStyle="1" w:styleId="a5">
    <w:basedOn w:val="TabelNormal"/>
    <w:tblPr>
      <w:tblStyleRowBandSize w:val="1"/>
      <w:tblStyleColBandSize w:val="1"/>
      <w:tblInd w:w="0" w:type="dxa"/>
      <w:tblCellMar>
        <w:top w:w="100" w:type="dxa"/>
        <w:left w:w="100" w:type="dxa"/>
        <w:bottom w:w="100" w:type="dxa"/>
        <w:right w:w="100" w:type="dxa"/>
      </w:tblCellMar>
    </w:tblPr>
  </w:style>
  <w:style w:type="table" w:customStyle="1" w:styleId="a6">
    <w:basedOn w:val="TabelNormal"/>
    <w:tblPr>
      <w:tblStyleRowBandSize w:val="1"/>
      <w:tblStyleColBandSize w:val="1"/>
      <w:tblInd w:w="0" w:type="dxa"/>
      <w:tblCellMar>
        <w:top w:w="100" w:type="dxa"/>
        <w:left w:w="100" w:type="dxa"/>
        <w:bottom w:w="100" w:type="dxa"/>
        <w:right w:w="100" w:type="dxa"/>
      </w:tblCellMar>
    </w:tblPr>
  </w:style>
  <w:style w:type="table" w:customStyle="1" w:styleId="a7">
    <w:basedOn w:val="TabelNormal"/>
    <w:tblPr>
      <w:tblStyleRowBandSize w:val="1"/>
      <w:tblStyleColBandSize w:val="1"/>
      <w:tblInd w:w="0" w:type="dxa"/>
      <w:tblCellMar>
        <w:top w:w="100" w:type="dxa"/>
        <w:left w:w="100" w:type="dxa"/>
        <w:bottom w:w="100" w:type="dxa"/>
        <w:right w:w="100" w:type="dxa"/>
      </w:tblCellMar>
    </w:tblPr>
  </w:style>
  <w:style w:type="table" w:customStyle="1" w:styleId="a8">
    <w:basedOn w:val="TabelNormal"/>
    <w:tblPr>
      <w:tblStyleRowBandSize w:val="1"/>
      <w:tblStyleColBandSize w:val="1"/>
      <w:tblInd w:w="0" w:type="dxa"/>
      <w:tblCellMar>
        <w:top w:w="100" w:type="dxa"/>
        <w:left w:w="100" w:type="dxa"/>
        <w:bottom w:w="100" w:type="dxa"/>
        <w:right w:w="100" w:type="dxa"/>
      </w:tblCellMar>
    </w:tblPr>
  </w:style>
  <w:style w:type="table" w:customStyle="1" w:styleId="a9">
    <w:basedOn w:val="TabelNormal"/>
    <w:tblPr>
      <w:tblStyleRowBandSize w:val="1"/>
      <w:tblStyleColBandSize w:val="1"/>
      <w:tblInd w:w="0" w:type="dxa"/>
      <w:tblCellMar>
        <w:top w:w="100" w:type="dxa"/>
        <w:left w:w="100" w:type="dxa"/>
        <w:bottom w:w="100" w:type="dxa"/>
        <w:right w:w="100" w:type="dxa"/>
      </w:tblCellMar>
    </w:tblPr>
  </w:style>
  <w:style w:type="table" w:customStyle="1" w:styleId="aa">
    <w:basedOn w:val="Tabel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semiHidden/>
    <w:unhideWhenUsed/>
    <w:rsid w:val="00871020"/>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Fontdeparagrafimplicit"/>
    <w:uiPriority w:val="99"/>
    <w:unhideWhenUsed/>
    <w:rsid w:val="00871020"/>
    <w:rPr>
      <w:color w:val="0000FF"/>
      <w:u w:val="single"/>
    </w:rPr>
  </w:style>
  <w:style w:type="paragraph" w:styleId="Antet">
    <w:name w:val="header"/>
    <w:basedOn w:val="Normal"/>
    <w:link w:val="AntetCaracter"/>
    <w:uiPriority w:val="99"/>
    <w:unhideWhenUsed/>
    <w:rsid w:val="000905FE"/>
    <w:pPr>
      <w:tabs>
        <w:tab w:val="center" w:pos="4513"/>
        <w:tab w:val="right" w:pos="9026"/>
      </w:tabs>
      <w:spacing w:line="240" w:lineRule="auto"/>
    </w:pPr>
  </w:style>
  <w:style w:type="character" w:customStyle="1" w:styleId="AntetCaracter">
    <w:name w:val="Antet Caracter"/>
    <w:basedOn w:val="Fontdeparagrafimplicit"/>
    <w:link w:val="Antet"/>
    <w:uiPriority w:val="99"/>
    <w:rsid w:val="000905FE"/>
  </w:style>
  <w:style w:type="paragraph" w:styleId="Subsol">
    <w:name w:val="footer"/>
    <w:basedOn w:val="Normal"/>
    <w:link w:val="SubsolCaracter"/>
    <w:uiPriority w:val="99"/>
    <w:unhideWhenUsed/>
    <w:rsid w:val="000905FE"/>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905FE"/>
  </w:style>
  <w:style w:type="paragraph" w:styleId="Titlucuprins">
    <w:name w:val="TOC Heading"/>
    <w:basedOn w:val="Titlu1"/>
    <w:next w:val="Normal"/>
    <w:uiPriority w:val="39"/>
    <w:unhideWhenUsed/>
    <w:qFormat/>
    <w:rsid w:val="00325EA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325EA2"/>
    <w:pPr>
      <w:spacing w:after="100"/>
    </w:pPr>
  </w:style>
  <w:style w:type="paragraph" w:styleId="Cuprins2">
    <w:name w:val="toc 2"/>
    <w:basedOn w:val="Normal"/>
    <w:next w:val="Normal"/>
    <w:autoRedefine/>
    <w:uiPriority w:val="39"/>
    <w:unhideWhenUsed/>
    <w:rsid w:val="00325EA2"/>
    <w:pPr>
      <w:spacing w:after="100"/>
      <w:ind w:left="220"/>
    </w:pPr>
  </w:style>
  <w:style w:type="paragraph" w:styleId="TextnBalon">
    <w:name w:val="Balloon Text"/>
    <w:basedOn w:val="Normal"/>
    <w:link w:val="TextnBalonCaracter"/>
    <w:uiPriority w:val="99"/>
    <w:semiHidden/>
    <w:unhideWhenUsed/>
    <w:rsid w:val="00EC6339"/>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EC63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76512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turcomat.org/index.php/turkbilmat/article/download/4733/3964" TargetMode="External"/><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0112C-8610-4198-9C28-3D87D29B1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2300</Words>
  <Characters>13344</Characters>
  <Application>Microsoft Office Word</Application>
  <DocSecurity>0</DocSecurity>
  <Lines>111</Lines>
  <Paragraphs>31</Paragraphs>
  <ScaleCrop>false</ScaleCrop>
  <HeadingPairs>
    <vt:vector size="6" baseType="variant">
      <vt:variant>
        <vt:lpstr>Titlu</vt:lpstr>
      </vt:variant>
      <vt:variant>
        <vt:i4>1</vt:i4>
      </vt:variant>
      <vt:variant>
        <vt:lpstr>Titluri</vt:lpstr>
      </vt:variant>
      <vt:variant>
        <vt:i4>9</vt:i4>
      </vt:variant>
      <vt:variant>
        <vt:lpstr>Title</vt:lpstr>
      </vt:variant>
      <vt:variant>
        <vt:i4>1</vt:i4>
      </vt:variant>
    </vt:vector>
  </HeadingPairs>
  <TitlesOfParts>
    <vt:vector size="11" baseType="lpstr">
      <vt:lpstr/>
      <vt:lpstr>Introduction</vt:lpstr>
      <vt:lpstr>Question 1</vt:lpstr>
      <vt:lpstr>    a) Preparation of income statement and statement of financial position of Wales </vt:lpstr>
      <vt:lpstr>    b) Why statement of financial position balance</vt:lpstr>
      <vt:lpstr>Question 2 </vt:lpstr>
      <vt:lpstr>    a) Calculation of various ratios</vt:lpstr>
      <vt:lpstr>    b) Comment on financial performance and position of Sweet plc</vt:lpstr>
      <vt:lpstr>Conclusion</vt:lpstr>
      <vt:lpstr>References</vt:lpstr>
      <vt:lpstr/>
    </vt:vector>
  </TitlesOfParts>
  <Company/>
  <LinksUpToDate>false</LinksUpToDate>
  <CharactersWithSpaces>15613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Alexandru Cretu</dc:creator>
  <cp:lastModifiedBy>Alex</cp:lastModifiedBy>
  <cp:revision>2</cp:revision>
  <dcterms:created xsi:type="dcterms:W3CDTF">2022-08-29T13:45:00Z</dcterms:created>
  <dcterms:modified xsi:type="dcterms:W3CDTF">2022-08-29T13:45:00Z</dcterms:modified>
</cp:coreProperties>
</file>