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0649E" w14:textId="77777777" w:rsidR="000B41E3" w:rsidRPr="00270EEB" w:rsidRDefault="000B41E3" w:rsidP="000B41E3">
      <w:pPr>
        <w:ind w:right="237"/>
        <w:rPr>
          <w:sz w:val="24"/>
          <w:szCs w:val="24"/>
        </w:rPr>
      </w:pPr>
      <w:r>
        <w:rPr>
          <w:noProof/>
        </w:rPr>
        <w:drawing>
          <wp:anchor distT="0" distB="0" distL="114300" distR="114300" simplePos="0" relativeHeight="251659264" behindDoc="1" locked="0" layoutInCell="1" allowOverlap="1" wp14:anchorId="357664C7" wp14:editId="1A0500CF">
            <wp:simplePos x="0" y="0"/>
            <wp:positionH relativeFrom="margin">
              <wp:align>center</wp:align>
            </wp:positionH>
            <wp:positionV relativeFrom="margin">
              <wp:posOffset>-635</wp:posOffset>
            </wp:positionV>
            <wp:extent cx="5859780" cy="2045335"/>
            <wp:effectExtent l="0" t="0" r="7620" b="0"/>
            <wp:wrapSquare wrapText="bothSides"/>
            <wp:docPr id="17" name="Picture 17"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lack text on a white background&#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859780" cy="2045335"/>
                    </a:xfrm>
                    <a:prstGeom prst="rect">
                      <a:avLst/>
                    </a:prstGeom>
                  </pic:spPr>
                </pic:pic>
              </a:graphicData>
            </a:graphic>
            <wp14:sizeRelH relativeFrom="margin">
              <wp14:pctWidth>0</wp14:pctWidth>
            </wp14:sizeRelH>
            <wp14:sizeRelV relativeFrom="margin">
              <wp14:pctHeight>0</wp14:pctHeight>
            </wp14:sizeRelV>
          </wp:anchor>
        </w:drawing>
      </w:r>
    </w:p>
    <w:p w14:paraId="5380FAB5" w14:textId="77777777" w:rsidR="000B41E3" w:rsidRPr="00270EEB" w:rsidRDefault="000B41E3" w:rsidP="000B41E3">
      <w:pPr>
        <w:ind w:right="237"/>
        <w:rPr>
          <w:sz w:val="24"/>
          <w:szCs w:val="24"/>
        </w:rPr>
      </w:pPr>
    </w:p>
    <w:p w14:paraId="161ECE98" w14:textId="77777777" w:rsidR="000B41E3" w:rsidRPr="00270EEB" w:rsidRDefault="000B41E3" w:rsidP="000B41E3">
      <w:pPr>
        <w:ind w:right="237"/>
        <w:rPr>
          <w:sz w:val="24"/>
          <w:szCs w:val="24"/>
        </w:rPr>
      </w:pPr>
    </w:p>
    <w:p w14:paraId="36E852B8" w14:textId="77777777" w:rsidR="000B41E3" w:rsidRDefault="000B41E3" w:rsidP="000B41E3">
      <w:pPr>
        <w:ind w:right="237"/>
        <w:rPr>
          <w:sz w:val="24"/>
          <w:szCs w:val="24"/>
        </w:rPr>
      </w:pPr>
    </w:p>
    <w:p w14:paraId="09BA2AD9" w14:textId="77777777" w:rsidR="000B41E3" w:rsidRPr="00270EEB" w:rsidRDefault="000B41E3" w:rsidP="000B41E3">
      <w:pPr>
        <w:ind w:right="237"/>
        <w:rPr>
          <w:sz w:val="24"/>
          <w:szCs w:val="24"/>
        </w:rPr>
      </w:pPr>
    </w:p>
    <w:p w14:paraId="460A7DAE" w14:textId="77777777" w:rsidR="000B41E3" w:rsidRPr="007B491F" w:rsidRDefault="000B41E3" w:rsidP="000B41E3">
      <w:pPr>
        <w:ind w:right="237"/>
        <w:jc w:val="center"/>
        <w:rPr>
          <w:b/>
          <w:sz w:val="36"/>
          <w:szCs w:val="40"/>
        </w:rPr>
      </w:pPr>
      <w:r w:rsidRPr="007B491F">
        <w:rPr>
          <w:b/>
          <w:sz w:val="36"/>
          <w:szCs w:val="40"/>
        </w:rPr>
        <w:t>BSc (Hons) Professional Police Practice</w:t>
      </w:r>
    </w:p>
    <w:p w14:paraId="1B84548E" w14:textId="77777777" w:rsidR="000B41E3" w:rsidRPr="007B491F" w:rsidRDefault="000B41E3" w:rsidP="000B41E3">
      <w:pPr>
        <w:overflowPunct/>
        <w:autoSpaceDE/>
        <w:autoSpaceDN/>
        <w:adjustRightInd/>
        <w:ind w:right="237"/>
        <w:textAlignment w:val="auto"/>
        <w:rPr>
          <w:b/>
          <w:color w:val="auto"/>
          <w:sz w:val="44"/>
        </w:rPr>
      </w:pPr>
    </w:p>
    <w:p w14:paraId="3EAC84FB" w14:textId="77777777" w:rsidR="000B41E3" w:rsidRDefault="000B41E3" w:rsidP="000B41E3">
      <w:pPr>
        <w:overflowPunct/>
        <w:autoSpaceDE/>
        <w:autoSpaceDN/>
        <w:adjustRightInd/>
        <w:ind w:right="237"/>
        <w:textAlignment w:val="auto"/>
        <w:rPr>
          <w:b/>
          <w:bCs/>
          <w:color w:val="auto"/>
          <w:sz w:val="44"/>
          <w:szCs w:val="44"/>
        </w:rPr>
      </w:pPr>
    </w:p>
    <w:p w14:paraId="7B767044" w14:textId="3540FD35" w:rsidR="000B41E3" w:rsidRDefault="000B41E3" w:rsidP="000B41E3">
      <w:pPr>
        <w:overflowPunct/>
        <w:autoSpaceDE/>
        <w:autoSpaceDN/>
        <w:adjustRightInd/>
        <w:ind w:right="237"/>
        <w:jc w:val="center"/>
        <w:textAlignment w:val="auto"/>
        <w:rPr>
          <w:b/>
          <w:bCs/>
          <w:color w:val="auto"/>
          <w:sz w:val="40"/>
          <w:szCs w:val="40"/>
        </w:rPr>
      </w:pPr>
      <w:r>
        <w:rPr>
          <w:b/>
          <w:bCs/>
          <w:color w:val="auto"/>
          <w:sz w:val="40"/>
          <w:szCs w:val="40"/>
        </w:rPr>
        <w:t>Dissertation title</w:t>
      </w:r>
      <w:r w:rsidRPr="33EFDF59">
        <w:rPr>
          <w:b/>
          <w:bCs/>
          <w:color w:val="auto"/>
          <w:sz w:val="40"/>
          <w:szCs w:val="40"/>
        </w:rPr>
        <w:t xml:space="preserve">: </w:t>
      </w:r>
      <w:r w:rsidR="00F57D38" w:rsidRPr="00F57D38">
        <w:rPr>
          <w:color w:val="auto"/>
          <w:sz w:val="40"/>
          <w:szCs w:val="40"/>
        </w:rPr>
        <w:t>Should All Police Officers in the United Kingdom Carry Firearms?</w:t>
      </w:r>
    </w:p>
    <w:p w14:paraId="09BDCDCD" w14:textId="77777777" w:rsidR="000B41E3" w:rsidRDefault="000B41E3" w:rsidP="000B41E3">
      <w:pPr>
        <w:overflowPunct/>
        <w:autoSpaceDE/>
        <w:autoSpaceDN/>
        <w:adjustRightInd/>
        <w:ind w:right="237"/>
        <w:jc w:val="center"/>
        <w:textAlignment w:val="auto"/>
        <w:rPr>
          <w:b/>
          <w:bCs/>
          <w:color w:val="auto"/>
          <w:sz w:val="40"/>
          <w:szCs w:val="40"/>
        </w:rPr>
      </w:pPr>
    </w:p>
    <w:p w14:paraId="518CF6EE" w14:textId="77777777" w:rsidR="000B41E3" w:rsidRDefault="000B41E3" w:rsidP="000B41E3">
      <w:pPr>
        <w:overflowPunct/>
        <w:autoSpaceDE/>
        <w:autoSpaceDN/>
        <w:adjustRightInd/>
        <w:ind w:right="237"/>
        <w:jc w:val="center"/>
        <w:textAlignment w:val="auto"/>
        <w:rPr>
          <w:b/>
          <w:bCs/>
          <w:color w:val="auto"/>
          <w:sz w:val="40"/>
          <w:szCs w:val="40"/>
        </w:rPr>
      </w:pPr>
    </w:p>
    <w:p w14:paraId="27E9F0EA" w14:textId="0A8619D1" w:rsidR="000B41E3" w:rsidRDefault="000B41E3" w:rsidP="000B41E3">
      <w:pPr>
        <w:overflowPunct/>
        <w:autoSpaceDE/>
        <w:autoSpaceDN/>
        <w:adjustRightInd/>
        <w:ind w:right="237"/>
        <w:jc w:val="center"/>
        <w:textAlignment w:val="auto"/>
        <w:rPr>
          <w:b/>
          <w:bCs/>
          <w:color w:val="auto"/>
          <w:sz w:val="40"/>
          <w:szCs w:val="40"/>
        </w:rPr>
      </w:pPr>
      <w:r>
        <w:rPr>
          <w:b/>
          <w:bCs/>
          <w:color w:val="auto"/>
          <w:sz w:val="40"/>
          <w:szCs w:val="40"/>
        </w:rPr>
        <w:t xml:space="preserve">Learner name: </w:t>
      </w:r>
      <w:r w:rsidR="00F57D38">
        <w:rPr>
          <w:color w:val="auto"/>
          <w:sz w:val="40"/>
          <w:szCs w:val="40"/>
        </w:rPr>
        <w:t>Miles Olding</w:t>
      </w:r>
    </w:p>
    <w:p w14:paraId="54CBFC6D" w14:textId="6AA1D213" w:rsidR="000B41E3" w:rsidRDefault="000B41E3" w:rsidP="000B41E3">
      <w:pPr>
        <w:overflowPunct/>
        <w:autoSpaceDE/>
        <w:autoSpaceDN/>
        <w:adjustRightInd/>
        <w:ind w:right="237"/>
        <w:jc w:val="center"/>
        <w:textAlignment w:val="auto"/>
        <w:rPr>
          <w:b/>
          <w:bCs/>
          <w:color w:val="auto"/>
          <w:sz w:val="40"/>
          <w:szCs w:val="40"/>
        </w:rPr>
      </w:pPr>
      <w:r>
        <w:rPr>
          <w:b/>
          <w:bCs/>
          <w:color w:val="auto"/>
          <w:sz w:val="40"/>
          <w:szCs w:val="40"/>
        </w:rPr>
        <w:t>Learner’s ID:</w:t>
      </w:r>
      <w:r w:rsidRPr="00EC4999">
        <w:rPr>
          <w:color w:val="auto"/>
          <w:sz w:val="40"/>
          <w:szCs w:val="40"/>
        </w:rPr>
        <w:t xml:space="preserve"> </w:t>
      </w:r>
      <w:r w:rsidR="00F57D38">
        <w:rPr>
          <w:color w:val="auto"/>
          <w:sz w:val="40"/>
          <w:szCs w:val="40"/>
        </w:rPr>
        <w:t>2236899</w:t>
      </w:r>
    </w:p>
    <w:p w14:paraId="309FBD03" w14:textId="77777777" w:rsidR="000B41E3" w:rsidRDefault="000B41E3" w:rsidP="000B41E3">
      <w:pPr>
        <w:overflowPunct/>
        <w:autoSpaceDE/>
        <w:autoSpaceDN/>
        <w:adjustRightInd/>
        <w:ind w:right="237"/>
        <w:jc w:val="center"/>
        <w:textAlignment w:val="auto"/>
        <w:rPr>
          <w:color w:val="auto"/>
          <w:sz w:val="40"/>
          <w:szCs w:val="40"/>
        </w:rPr>
      </w:pPr>
    </w:p>
    <w:p w14:paraId="7B22E6A4" w14:textId="77777777" w:rsidR="000B41E3" w:rsidRDefault="000B41E3" w:rsidP="000B41E3">
      <w:pPr>
        <w:overflowPunct/>
        <w:autoSpaceDE/>
        <w:autoSpaceDN/>
        <w:adjustRightInd/>
        <w:ind w:right="237"/>
        <w:jc w:val="center"/>
        <w:textAlignment w:val="auto"/>
        <w:rPr>
          <w:color w:val="auto"/>
          <w:sz w:val="40"/>
          <w:szCs w:val="40"/>
        </w:rPr>
      </w:pPr>
    </w:p>
    <w:p w14:paraId="04F71785" w14:textId="77777777" w:rsidR="000B41E3" w:rsidRDefault="000B41E3" w:rsidP="000B41E3">
      <w:pPr>
        <w:overflowPunct/>
        <w:autoSpaceDE/>
        <w:autoSpaceDN/>
        <w:adjustRightInd/>
        <w:ind w:right="237"/>
        <w:jc w:val="center"/>
        <w:textAlignment w:val="auto"/>
        <w:rPr>
          <w:color w:val="auto"/>
          <w:sz w:val="40"/>
          <w:szCs w:val="40"/>
        </w:rPr>
      </w:pPr>
    </w:p>
    <w:p w14:paraId="78063390" w14:textId="77B736E7" w:rsidR="001B26CB" w:rsidRDefault="001B26CB" w:rsidP="000B41E3">
      <w:pPr>
        <w:overflowPunct/>
        <w:autoSpaceDE/>
        <w:autoSpaceDN/>
        <w:adjustRightInd/>
        <w:ind w:right="237"/>
        <w:jc w:val="center"/>
        <w:textAlignment w:val="auto"/>
        <w:rPr>
          <w:color w:val="auto"/>
          <w:sz w:val="40"/>
          <w:szCs w:val="40"/>
        </w:rPr>
      </w:pPr>
    </w:p>
    <w:p w14:paraId="1A18D0F6" w14:textId="77777777" w:rsidR="001B26CB" w:rsidRDefault="001B26CB" w:rsidP="000B41E3">
      <w:pPr>
        <w:overflowPunct/>
        <w:autoSpaceDE/>
        <w:autoSpaceDN/>
        <w:adjustRightInd/>
        <w:ind w:right="237"/>
        <w:jc w:val="center"/>
        <w:textAlignment w:val="auto"/>
        <w:rPr>
          <w:color w:val="auto"/>
          <w:sz w:val="40"/>
          <w:szCs w:val="40"/>
        </w:rPr>
      </w:pPr>
    </w:p>
    <w:p w14:paraId="56ED2C64" w14:textId="77777777" w:rsidR="001B26CB" w:rsidRDefault="001B26CB" w:rsidP="000B41E3">
      <w:pPr>
        <w:overflowPunct/>
        <w:autoSpaceDE/>
        <w:autoSpaceDN/>
        <w:adjustRightInd/>
        <w:ind w:right="237"/>
        <w:jc w:val="center"/>
        <w:textAlignment w:val="auto"/>
        <w:rPr>
          <w:color w:val="auto"/>
          <w:sz w:val="40"/>
          <w:szCs w:val="40"/>
        </w:rPr>
      </w:pPr>
    </w:p>
    <w:p w14:paraId="42ECB5B3" w14:textId="77777777" w:rsidR="001B26CB" w:rsidRDefault="001B26CB" w:rsidP="000B41E3">
      <w:pPr>
        <w:overflowPunct/>
        <w:autoSpaceDE/>
        <w:autoSpaceDN/>
        <w:adjustRightInd/>
        <w:ind w:right="237"/>
        <w:jc w:val="center"/>
        <w:textAlignment w:val="auto"/>
        <w:rPr>
          <w:color w:val="auto"/>
          <w:sz w:val="40"/>
          <w:szCs w:val="40"/>
        </w:rPr>
      </w:pPr>
    </w:p>
    <w:p w14:paraId="346F9143" w14:textId="77777777" w:rsidR="001B26CB" w:rsidRDefault="001B26CB" w:rsidP="000B41E3">
      <w:pPr>
        <w:overflowPunct/>
        <w:autoSpaceDE/>
        <w:autoSpaceDN/>
        <w:adjustRightInd/>
        <w:ind w:right="237"/>
        <w:jc w:val="center"/>
        <w:textAlignment w:val="auto"/>
        <w:rPr>
          <w:color w:val="auto"/>
          <w:sz w:val="40"/>
          <w:szCs w:val="40"/>
        </w:rPr>
      </w:pPr>
    </w:p>
    <w:p w14:paraId="0234FFB2" w14:textId="77777777" w:rsidR="000B41E3" w:rsidRDefault="000B41E3" w:rsidP="000B41E3">
      <w:pPr>
        <w:overflowPunct/>
        <w:autoSpaceDE/>
        <w:autoSpaceDN/>
        <w:adjustRightInd/>
        <w:ind w:right="237"/>
        <w:jc w:val="center"/>
        <w:textAlignment w:val="auto"/>
        <w:rPr>
          <w:color w:val="auto"/>
          <w:sz w:val="40"/>
          <w:szCs w:val="40"/>
        </w:rPr>
      </w:pPr>
    </w:p>
    <w:p w14:paraId="4642004B" w14:textId="79094B36" w:rsidR="000B41E3" w:rsidRDefault="000B41E3" w:rsidP="000B41E3">
      <w:pPr>
        <w:overflowPunct/>
        <w:autoSpaceDE/>
        <w:autoSpaceDN/>
        <w:adjustRightInd/>
        <w:ind w:right="237"/>
        <w:jc w:val="center"/>
        <w:textAlignment w:val="auto"/>
        <w:rPr>
          <w:color w:val="auto"/>
          <w:sz w:val="40"/>
          <w:szCs w:val="40"/>
        </w:rPr>
      </w:pPr>
      <w:r>
        <w:rPr>
          <w:color w:val="auto"/>
          <w:sz w:val="40"/>
          <w:szCs w:val="40"/>
        </w:rPr>
        <w:t xml:space="preserve">Word Count = </w:t>
      </w:r>
      <w:r w:rsidR="00C91395">
        <w:rPr>
          <w:color w:val="auto"/>
          <w:sz w:val="40"/>
          <w:szCs w:val="40"/>
        </w:rPr>
        <w:t>8</w:t>
      </w:r>
      <w:r w:rsidR="0025528B">
        <w:rPr>
          <w:color w:val="auto"/>
          <w:sz w:val="40"/>
          <w:szCs w:val="40"/>
        </w:rPr>
        <w:t>1</w:t>
      </w:r>
      <w:r w:rsidR="008A37FC">
        <w:rPr>
          <w:color w:val="auto"/>
          <w:sz w:val="40"/>
          <w:szCs w:val="40"/>
        </w:rPr>
        <w:t>58</w:t>
      </w:r>
    </w:p>
    <w:p w14:paraId="6D1212AA" w14:textId="77777777" w:rsidR="000B41E3" w:rsidRDefault="000B41E3" w:rsidP="000B41E3">
      <w:pPr>
        <w:pStyle w:val="Heading1"/>
        <w:jc w:val="center"/>
        <w:rPr>
          <w:rFonts w:ascii="Calibri" w:hAnsi="Calibri" w:cs="Calibri"/>
          <w:b/>
          <w:bCs/>
          <w:color w:val="auto"/>
          <w:sz w:val="24"/>
          <w:szCs w:val="24"/>
          <w:u w:val="single"/>
        </w:rPr>
      </w:pPr>
      <w:bookmarkStart w:id="0" w:name="_Declaration"/>
      <w:bookmarkStart w:id="1" w:name="_Toc209826936"/>
      <w:bookmarkEnd w:id="0"/>
      <w:r w:rsidRPr="00D34E47">
        <w:rPr>
          <w:rFonts w:ascii="Calibri" w:hAnsi="Calibri" w:cs="Calibri"/>
          <w:b/>
          <w:bCs/>
          <w:color w:val="auto"/>
          <w:sz w:val="24"/>
          <w:szCs w:val="24"/>
          <w:u w:val="single"/>
        </w:rPr>
        <w:lastRenderedPageBreak/>
        <w:t>Declaration</w:t>
      </w:r>
      <w:bookmarkEnd w:id="1"/>
    </w:p>
    <w:p w14:paraId="79EFE21A" w14:textId="77777777" w:rsidR="00D34E47" w:rsidRPr="00D34E47" w:rsidRDefault="00D34E47" w:rsidP="00D34E47"/>
    <w:p w14:paraId="6962F74C"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This work has not previously been accepted in substance for any degree and is not being concurrently submitted in candidature for any degree.</w:t>
      </w:r>
    </w:p>
    <w:p w14:paraId="14B5FBE6" w14:textId="593E5AF3"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 xml:space="preserve">Signed: </w:t>
      </w:r>
      <w:r w:rsidR="00F57D38" w:rsidRPr="00D34E47">
        <w:rPr>
          <w:rFonts w:ascii="Calibri" w:hAnsi="Calibri" w:cs="Calibri"/>
          <w:color w:val="auto"/>
          <w:sz w:val="24"/>
          <w:szCs w:val="24"/>
        </w:rPr>
        <w:t>M.Olding</w:t>
      </w:r>
    </w:p>
    <w:p w14:paraId="248D5F81" w14:textId="21695154"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 xml:space="preserve">Date: </w:t>
      </w:r>
      <w:r w:rsidR="00F57D38" w:rsidRPr="00D34E47">
        <w:rPr>
          <w:rFonts w:ascii="Calibri" w:hAnsi="Calibri" w:cs="Calibri"/>
          <w:color w:val="auto"/>
          <w:sz w:val="24"/>
          <w:szCs w:val="24"/>
        </w:rPr>
        <w:t>26/09</w:t>
      </w:r>
      <w:r w:rsidRPr="00D34E47">
        <w:rPr>
          <w:rFonts w:ascii="Calibri" w:hAnsi="Calibri" w:cs="Calibri"/>
          <w:color w:val="auto"/>
          <w:sz w:val="24"/>
          <w:szCs w:val="24"/>
        </w:rPr>
        <w:t>/2025</w:t>
      </w:r>
    </w:p>
    <w:p w14:paraId="5E958D23"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2A54572D" w14:textId="77777777" w:rsidR="000B41E3" w:rsidRPr="00D34E47" w:rsidRDefault="000B41E3" w:rsidP="000B41E3">
      <w:pPr>
        <w:overflowPunct/>
        <w:autoSpaceDE/>
        <w:autoSpaceDN/>
        <w:adjustRightInd/>
        <w:ind w:right="237"/>
        <w:textAlignment w:val="auto"/>
        <w:rPr>
          <w:rFonts w:ascii="Calibri" w:hAnsi="Calibri" w:cs="Calibri"/>
          <w:b/>
          <w:bCs/>
          <w:color w:val="auto"/>
          <w:sz w:val="24"/>
          <w:szCs w:val="24"/>
        </w:rPr>
      </w:pPr>
      <w:r w:rsidRPr="00D34E47">
        <w:rPr>
          <w:rFonts w:ascii="Calibri" w:hAnsi="Calibri" w:cs="Calibri"/>
          <w:b/>
          <w:bCs/>
          <w:color w:val="auto"/>
          <w:sz w:val="24"/>
          <w:szCs w:val="24"/>
        </w:rPr>
        <w:t xml:space="preserve">STATEMENT 1 </w:t>
      </w:r>
    </w:p>
    <w:p w14:paraId="04461D2B" w14:textId="0C4AE207" w:rsidR="001B26CB"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This dissertation is being submitted in partial fulfilment of the requirements for the degree of</w:t>
      </w:r>
      <w:r w:rsidR="001B26CB">
        <w:rPr>
          <w:rFonts w:ascii="Calibri" w:hAnsi="Calibri" w:cs="Calibri"/>
          <w:color w:val="auto"/>
          <w:sz w:val="24"/>
          <w:szCs w:val="24"/>
        </w:rPr>
        <w:t xml:space="preserve"> BSc (Hons) Professional Police Practice</w:t>
      </w:r>
    </w:p>
    <w:p w14:paraId="4FC98A88"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Signed: M.Olding</w:t>
      </w:r>
    </w:p>
    <w:p w14:paraId="01D4595A"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Date: 26/09/2025</w:t>
      </w:r>
    </w:p>
    <w:p w14:paraId="55DA29C4"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2D8123AA" w14:textId="77777777" w:rsidR="000B41E3" w:rsidRPr="00D34E47" w:rsidRDefault="000B41E3" w:rsidP="000B41E3">
      <w:pPr>
        <w:overflowPunct/>
        <w:autoSpaceDE/>
        <w:autoSpaceDN/>
        <w:adjustRightInd/>
        <w:ind w:right="237"/>
        <w:textAlignment w:val="auto"/>
        <w:rPr>
          <w:rFonts w:ascii="Calibri" w:hAnsi="Calibri" w:cs="Calibri"/>
          <w:b/>
          <w:bCs/>
          <w:color w:val="auto"/>
          <w:sz w:val="24"/>
          <w:szCs w:val="24"/>
        </w:rPr>
      </w:pPr>
      <w:r w:rsidRPr="00D34E47">
        <w:rPr>
          <w:rFonts w:ascii="Calibri" w:hAnsi="Calibri" w:cs="Calibri"/>
          <w:b/>
          <w:bCs/>
          <w:color w:val="auto"/>
          <w:sz w:val="24"/>
          <w:szCs w:val="24"/>
        </w:rPr>
        <w:t>STATEMENT 2</w:t>
      </w:r>
    </w:p>
    <w:p w14:paraId="4E41F3F8"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This dissertation is the result of my own independent work/investigation, except where otherwise stated.</w:t>
      </w:r>
    </w:p>
    <w:p w14:paraId="5339484F" w14:textId="42692548"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Other sources are acknowledged by footnotes giving explicit references.</w:t>
      </w:r>
      <w:r w:rsidR="00F57D38" w:rsidRPr="00D34E47">
        <w:rPr>
          <w:rFonts w:ascii="Calibri" w:hAnsi="Calibri" w:cs="Calibri"/>
          <w:color w:val="auto"/>
          <w:sz w:val="24"/>
          <w:szCs w:val="24"/>
        </w:rPr>
        <w:t xml:space="preserve"> </w:t>
      </w:r>
      <w:r w:rsidRPr="00D34E47">
        <w:rPr>
          <w:rFonts w:ascii="Calibri" w:hAnsi="Calibri" w:cs="Calibri"/>
          <w:color w:val="auto"/>
          <w:sz w:val="24"/>
          <w:szCs w:val="24"/>
        </w:rPr>
        <w:t>A bibliography is appended.</w:t>
      </w:r>
    </w:p>
    <w:p w14:paraId="4A749248"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Signed: M.Olding</w:t>
      </w:r>
    </w:p>
    <w:p w14:paraId="751CC406"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Date: 26/09/2025</w:t>
      </w:r>
    </w:p>
    <w:p w14:paraId="3C64732C"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74A332FA"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33E7926A" w14:textId="77777777" w:rsidR="000B41E3" w:rsidRPr="00D34E47" w:rsidRDefault="000B41E3" w:rsidP="000B41E3">
      <w:pPr>
        <w:overflowPunct/>
        <w:autoSpaceDE/>
        <w:autoSpaceDN/>
        <w:adjustRightInd/>
        <w:ind w:right="237"/>
        <w:textAlignment w:val="auto"/>
        <w:rPr>
          <w:rFonts w:ascii="Calibri" w:hAnsi="Calibri" w:cs="Calibri"/>
          <w:b/>
          <w:bCs/>
          <w:color w:val="auto"/>
          <w:sz w:val="24"/>
          <w:szCs w:val="24"/>
        </w:rPr>
      </w:pPr>
      <w:r w:rsidRPr="00D34E47">
        <w:rPr>
          <w:rFonts w:ascii="Calibri" w:hAnsi="Calibri" w:cs="Calibri"/>
          <w:b/>
          <w:bCs/>
          <w:color w:val="auto"/>
          <w:sz w:val="24"/>
          <w:szCs w:val="24"/>
        </w:rPr>
        <w:t>STATEMENT 3</w:t>
      </w:r>
    </w:p>
    <w:p w14:paraId="55E8AE12"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I hereby give consent for my dissertation, if accepted, to be available for photocopying and for interlibrary loan, and for the title and summary to be made available to outside organisations.</w:t>
      </w:r>
    </w:p>
    <w:p w14:paraId="6B99124A"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Signed: M.Olding</w:t>
      </w:r>
    </w:p>
    <w:p w14:paraId="6A5F8150"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Date: 26/09/2025</w:t>
      </w:r>
    </w:p>
    <w:p w14:paraId="597421A4"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573B78CD" w14:textId="77777777" w:rsidR="000B41E3" w:rsidRPr="00D34E47" w:rsidRDefault="000B41E3" w:rsidP="000B41E3">
      <w:pPr>
        <w:overflowPunct/>
        <w:autoSpaceDE/>
        <w:autoSpaceDN/>
        <w:adjustRightInd/>
        <w:ind w:right="237"/>
        <w:textAlignment w:val="auto"/>
        <w:rPr>
          <w:rFonts w:ascii="Calibri" w:hAnsi="Calibri" w:cs="Calibri"/>
          <w:b/>
          <w:bCs/>
          <w:color w:val="auto"/>
          <w:sz w:val="24"/>
          <w:szCs w:val="24"/>
        </w:rPr>
      </w:pPr>
      <w:r w:rsidRPr="00D34E47">
        <w:rPr>
          <w:rFonts w:ascii="Calibri" w:hAnsi="Calibri" w:cs="Calibri"/>
          <w:b/>
          <w:bCs/>
          <w:color w:val="auto"/>
          <w:sz w:val="24"/>
          <w:szCs w:val="24"/>
        </w:rPr>
        <w:t>STATEMENT 4</w:t>
      </w:r>
    </w:p>
    <w:p w14:paraId="1F9643B7"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I hereby give consent for my dissertation, if accepted, to be available on the university’s IT system to those who have consent to use the system.</w:t>
      </w:r>
    </w:p>
    <w:p w14:paraId="6CF0D192"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Signed: M.Olding</w:t>
      </w:r>
    </w:p>
    <w:p w14:paraId="6DA4C360" w14:textId="77777777" w:rsidR="00F57D38" w:rsidRPr="00D34E47" w:rsidRDefault="00F57D38" w:rsidP="00F57D38">
      <w:pPr>
        <w:overflowPunct/>
        <w:autoSpaceDE/>
        <w:autoSpaceDN/>
        <w:adjustRightInd/>
        <w:ind w:right="237"/>
        <w:textAlignment w:val="auto"/>
        <w:rPr>
          <w:rFonts w:ascii="Calibri" w:hAnsi="Calibri" w:cs="Calibri"/>
          <w:color w:val="auto"/>
          <w:sz w:val="24"/>
          <w:szCs w:val="24"/>
        </w:rPr>
      </w:pPr>
      <w:r w:rsidRPr="00D34E47">
        <w:rPr>
          <w:rFonts w:ascii="Calibri" w:hAnsi="Calibri" w:cs="Calibri"/>
          <w:color w:val="auto"/>
          <w:sz w:val="24"/>
          <w:szCs w:val="24"/>
        </w:rPr>
        <w:t>Date: 26/09/2025</w:t>
      </w:r>
    </w:p>
    <w:p w14:paraId="4328C3E7"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0DF03C1A"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543E7A5A"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7BE89E6A" w14:textId="77777777" w:rsidR="000B41E3" w:rsidRPr="00D34E47" w:rsidRDefault="000B41E3" w:rsidP="000B41E3">
      <w:pPr>
        <w:overflowPunct/>
        <w:autoSpaceDE/>
        <w:autoSpaceDN/>
        <w:adjustRightInd/>
        <w:ind w:right="237"/>
        <w:textAlignment w:val="auto"/>
        <w:rPr>
          <w:rFonts w:ascii="Calibri" w:hAnsi="Calibri" w:cs="Calibri"/>
          <w:color w:val="auto"/>
          <w:sz w:val="24"/>
          <w:szCs w:val="24"/>
        </w:rPr>
      </w:pPr>
    </w:p>
    <w:p w14:paraId="261252E7" w14:textId="77777777" w:rsidR="000B41E3" w:rsidRPr="00D34E47" w:rsidRDefault="000B41E3" w:rsidP="000B41E3">
      <w:pPr>
        <w:overflowPunct/>
        <w:autoSpaceDE/>
        <w:autoSpaceDN/>
        <w:adjustRightInd/>
        <w:ind w:right="237"/>
        <w:jc w:val="center"/>
        <w:textAlignment w:val="auto"/>
        <w:rPr>
          <w:rFonts w:ascii="Calibri" w:hAnsi="Calibri" w:cs="Calibri"/>
          <w:color w:val="auto"/>
          <w:sz w:val="24"/>
          <w:szCs w:val="24"/>
        </w:rPr>
      </w:pPr>
    </w:p>
    <w:p w14:paraId="28032E47" w14:textId="77777777" w:rsidR="000B41E3" w:rsidRPr="00D34E47" w:rsidRDefault="000B41E3" w:rsidP="000B41E3">
      <w:pPr>
        <w:overflowPunct/>
        <w:autoSpaceDE/>
        <w:autoSpaceDN/>
        <w:adjustRightInd/>
        <w:ind w:right="237"/>
        <w:jc w:val="center"/>
        <w:textAlignment w:val="auto"/>
        <w:rPr>
          <w:rFonts w:ascii="Calibri" w:hAnsi="Calibri" w:cs="Calibri"/>
          <w:color w:val="auto"/>
          <w:sz w:val="24"/>
          <w:szCs w:val="24"/>
        </w:rPr>
      </w:pPr>
    </w:p>
    <w:p w14:paraId="1D1322C7" w14:textId="77777777" w:rsidR="000B41E3" w:rsidRPr="00D34E47" w:rsidRDefault="000B41E3" w:rsidP="000B41E3">
      <w:pPr>
        <w:overflowPunct/>
        <w:autoSpaceDE/>
        <w:autoSpaceDN/>
        <w:adjustRightInd/>
        <w:ind w:right="237"/>
        <w:jc w:val="center"/>
        <w:textAlignment w:val="auto"/>
        <w:rPr>
          <w:rFonts w:ascii="Calibri" w:hAnsi="Calibri" w:cs="Calibri"/>
          <w:color w:val="auto"/>
          <w:sz w:val="24"/>
          <w:szCs w:val="24"/>
        </w:rPr>
      </w:pPr>
    </w:p>
    <w:p w14:paraId="0229DCA0" w14:textId="77777777" w:rsidR="000B41E3" w:rsidRPr="00D34E47" w:rsidRDefault="000B41E3" w:rsidP="000B41E3">
      <w:pPr>
        <w:overflowPunct/>
        <w:autoSpaceDE/>
        <w:autoSpaceDN/>
        <w:adjustRightInd/>
        <w:ind w:right="237"/>
        <w:jc w:val="center"/>
        <w:textAlignment w:val="auto"/>
        <w:rPr>
          <w:rFonts w:ascii="Calibri" w:hAnsi="Calibri" w:cs="Calibri"/>
          <w:color w:val="auto"/>
          <w:sz w:val="24"/>
          <w:szCs w:val="24"/>
        </w:rPr>
      </w:pPr>
    </w:p>
    <w:p w14:paraId="1B019FAC" w14:textId="77777777" w:rsidR="000B41E3" w:rsidRPr="00D34E47" w:rsidRDefault="000B41E3" w:rsidP="000B41E3">
      <w:pPr>
        <w:overflowPunct/>
        <w:autoSpaceDE/>
        <w:autoSpaceDN/>
        <w:adjustRightInd/>
        <w:ind w:right="237"/>
        <w:jc w:val="center"/>
        <w:textAlignment w:val="auto"/>
        <w:rPr>
          <w:rFonts w:ascii="Calibri" w:hAnsi="Calibri" w:cs="Calibri"/>
          <w:color w:val="auto"/>
          <w:sz w:val="24"/>
          <w:szCs w:val="24"/>
        </w:rPr>
      </w:pPr>
    </w:p>
    <w:p w14:paraId="28575025" w14:textId="77777777" w:rsidR="000B41E3" w:rsidRPr="00D34E47" w:rsidRDefault="000B41E3" w:rsidP="000B41E3">
      <w:pPr>
        <w:pStyle w:val="Heading1"/>
        <w:jc w:val="center"/>
        <w:rPr>
          <w:rFonts w:ascii="Calibri" w:hAnsi="Calibri" w:cs="Calibri"/>
          <w:b/>
          <w:bCs/>
          <w:color w:val="auto"/>
          <w:sz w:val="24"/>
          <w:szCs w:val="24"/>
          <w:u w:val="single"/>
        </w:rPr>
      </w:pPr>
      <w:bookmarkStart w:id="2" w:name="_Acknowledgements"/>
      <w:bookmarkStart w:id="3" w:name="_Toc209826937"/>
      <w:bookmarkEnd w:id="2"/>
      <w:r w:rsidRPr="00D34E47">
        <w:rPr>
          <w:rFonts w:ascii="Calibri" w:hAnsi="Calibri" w:cs="Calibri"/>
          <w:b/>
          <w:bCs/>
          <w:color w:val="auto"/>
          <w:sz w:val="24"/>
          <w:szCs w:val="24"/>
          <w:u w:val="single"/>
        </w:rPr>
        <w:lastRenderedPageBreak/>
        <w:t>Acknowledgements</w:t>
      </w:r>
      <w:bookmarkEnd w:id="3"/>
    </w:p>
    <w:p w14:paraId="6D8B59DE" w14:textId="77777777" w:rsidR="00F57D38" w:rsidRPr="00D34E47" w:rsidRDefault="00F57D38" w:rsidP="00F57D38">
      <w:pPr>
        <w:pStyle w:val="Heading1"/>
        <w:rPr>
          <w:rFonts w:ascii="Calibri" w:hAnsi="Calibri" w:cs="Calibri"/>
          <w:color w:val="auto"/>
          <w:sz w:val="24"/>
          <w:szCs w:val="24"/>
        </w:rPr>
      </w:pPr>
      <w:bookmarkStart w:id="4" w:name="_Toc209810339"/>
      <w:bookmarkStart w:id="5" w:name="_Toc209826938"/>
      <w:r w:rsidRPr="00D34E47">
        <w:rPr>
          <w:rFonts w:ascii="Calibri" w:hAnsi="Calibri" w:cs="Calibri"/>
          <w:color w:val="auto"/>
          <w:sz w:val="24"/>
          <w:szCs w:val="24"/>
        </w:rPr>
        <w:t>I am grateful to the twelve serving officers who completed my survey and generously shared their experiences. I also wish to thank my supervisor, Jane Davies, for her guidance on research design, and my classmates for their constructive feedback on draft chapters.</w:t>
      </w:r>
      <w:bookmarkEnd w:id="4"/>
      <w:bookmarkEnd w:id="5"/>
    </w:p>
    <w:p w14:paraId="160391FC" w14:textId="77777777" w:rsidR="00F57D38" w:rsidRPr="00D34E47" w:rsidRDefault="00F57D38" w:rsidP="00F57D38">
      <w:pPr>
        <w:pStyle w:val="Heading1"/>
        <w:rPr>
          <w:rFonts w:ascii="Calibri" w:hAnsi="Calibri" w:cs="Calibri"/>
          <w:color w:val="auto"/>
          <w:sz w:val="24"/>
          <w:szCs w:val="24"/>
        </w:rPr>
      </w:pPr>
      <w:bookmarkStart w:id="6" w:name="_Toc209810340"/>
      <w:bookmarkStart w:id="7" w:name="_Toc209826939"/>
      <w:r w:rsidRPr="00D34E47">
        <w:rPr>
          <w:rFonts w:ascii="Calibri" w:hAnsi="Calibri" w:cs="Calibri"/>
          <w:color w:val="auto"/>
          <w:sz w:val="24"/>
          <w:szCs w:val="24"/>
        </w:rPr>
        <w:t>I owe particular thanks to my parents, whose encouragement and example have continually inspired me throughout my studies. I am also deeply appreciative of my girlfriend, whose support and understanding have been invaluable during the course of this project.</w:t>
      </w:r>
      <w:bookmarkEnd w:id="6"/>
      <w:bookmarkEnd w:id="7"/>
    </w:p>
    <w:p w14:paraId="22043F73" w14:textId="77777777" w:rsidR="00F57D38" w:rsidRPr="00D34E47" w:rsidRDefault="00F57D38" w:rsidP="00F57D38">
      <w:pPr>
        <w:pStyle w:val="Heading1"/>
        <w:rPr>
          <w:rFonts w:ascii="Calibri" w:hAnsi="Calibri" w:cs="Calibri"/>
          <w:color w:val="auto"/>
          <w:sz w:val="24"/>
          <w:szCs w:val="24"/>
        </w:rPr>
      </w:pPr>
      <w:bookmarkStart w:id="8" w:name="_Toc209810341"/>
      <w:bookmarkStart w:id="9" w:name="_Toc209826940"/>
      <w:r w:rsidRPr="00D34E47">
        <w:rPr>
          <w:rFonts w:ascii="Calibri" w:hAnsi="Calibri" w:cs="Calibri"/>
          <w:color w:val="auto"/>
          <w:sz w:val="24"/>
          <w:szCs w:val="24"/>
        </w:rPr>
        <w:t>Finally, I extend my gratitude to my wider family for their consistent encouragement and belief in my work.</w:t>
      </w:r>
      <w:bookmarkEnd w:id="8"/>
      <w:bookmarkEnd w:id="9"/>
    </w:p>
    <w:p w14:paraId="165E57BA" w14:textId="77777777" w:rsidR="00BC35FC" w:rsidRPr="00D34E47" w:rsidRDefault="00BC35FC" w:rsidP="000B41E3">
      <w:pPr>
        <w:rPr>
          <w:rFonts w:ascii="Calibri" w:hAnsi="Calibri" w:cs="Calibri"/>
          <w:sz w:val="24"/>
          <w:szCs w:val="24"/>
        </w:rPr>
      </w:pPr>
    </w:p>
    <w:sdt>
      <w:sdtPr>
        <w:rPr>
          <w:rFonts w:asciiTheme="minorHAnsi" w:eastAsia="Times New Roman" w:hAnsiTheme="minorHAnsi" w:cs="Arial"/>
          <w:i/>
          <w:iCs/>
          <w:color w:val="000000"/>
          <w:sz w:val="24"/>
          <w:szCs w:val="24"/>
          <w:lang w:val="en-GB" w:eastAsia="en-GB"/>
        </w:rPr>
        <w:id w:val="-1993322714"/>
        <w:docPartObj>
          <w:docPartGallery w:val="Table of Contents"/>
          <w:docPartUnique/>
        </w:docPartObj>
      </w:sdtPr>
      <w:sdtEndPr>
        <w:rPr>
          <w:b w:val="0"/>
          <w:bCs w:val="0"/>
          <w:noProof/>
        </w:rPr>
      </w:sdtEndPr>
      <w:sdtContent>
        <w:p w14:paraId="15CD9C4D" w14:textId="674B08AB" w:rsidR="00AD5037" w:rsidRDefault="00AD5037">
          <w:pPr>
            <w:pStyle w:val="TOCHeading"/>
          </w:pPr>
          <w:r>
            <w:t>Table of Contents</w:t>
          </w:r>
        </w:p>
        <w:p w14:paraId="268212C3" w14:textId="12A31CA6" w:rsidR="00612DF0" w:rsidRDefault="00AD5037">
          <w:pPr>
            <w:pStyle w:val="TOC1"/>
            <w:tabs>
              <w:tab w:val="right" w:leader="dot" w:pos="9016"/>
            </w:tabs>
            <w:rPr>
              <w:rFonts w:eastAsiaTheme="minorEastAsia" w:cstheme="minorBidi"/>
              <w:b w:val="0"/>
              <w:bCs w:val="0"/>
              <w:i w:val="0"/>
              <w:iCs w:val="0"/>
              <w:noProof/>
              <w:color w:val="auto"/>
              <w:kern w:val="2"/>
              <w14:ligatures w14:val="standardContextual"/>
            </w:rPr>
          </w:pPr>
          <w:r>
            <w:rPr>
              <w:b w:val="0"/>
              <w:bCs w:val="0"/>
            </w:rPr>
            <w:fldChar w:fldCharType="begin"/>
          </w:r>
          <w:r>
            <w:instrText xml:space="preserve"> TOC \o "1-3" \h \z \u </w:instrText>
          </w:r>
          <w:r>
            <w:rPr>
              <w:b w:val="0"/>
              <w:bCs w:val="0"/>
            </w:rPr>
            <w:fldChar w:fldCharType="separate"/>
          </w:r>
          <w:hyperlink w:anchor="_Toc209826936" w:history="1">
            <w:r w:rsidR="00612DF0" w:rsidRPr="003069B0">
              <w:rPr>
                <w:rStyle w:val="Hyperlink"/>
                <w:rFonts w:ascii="Calibri" w:hAnsi="Calibri" w:cs="Calibri"/>
                <w:noProof/>
              </w:rPr>
              <w:t>Declaration</w:t>
            </w:r>
            <w:r w:rsidR="00612DF0">
              <w:rPr>
                <w:noProof/>
                <w:webHidden/>
              </w:rPr>
              <w:tab/>
            </w:r>
            <w:r w:rsidR="00612DF0">
              <w:rPr>
                <w:noProof/>
                <w:webHidden/>
              </w:rPr>
              <w:fldChar w:fldCharType="begin"/>
            </w:r>
            <w:r w:rsidR="00612DF0">
              <w:rPr>
                <w:noProof/>
                <w:webHidden/>
              </w:rPr>
              <w:instrText xml:space="preserve"> PAGEREF _Toc209826936 \h </w:instrText>
            </w:r>
            <w:r w:rsidR="00612DF0">
              <w:rPr>
                <w:noProof/>
                <w:webHidden/>
              </w:rPr>
            </w:r>
            <w:r w:rsidR="00612DF0">
              <w:rPr>
                <w:noProof/>
                <w:webHidden/>
              </w:rPr>
              <w:fldChar w:fldCharType="separate"/>
            </w:r>
            <w:r w:rsidR="00612DF0">
              <w:rPr>
                <w:noProof/>
                <w:webHidden/>
              </w:rPr>
              <w:t>2</w:t>
            </w:r>
            <w:r w:rsidR="00612DF0">
              <w:rPr>
                <w:noProof/>
                <w:webHidden/>
              </w:rPr>
              <w:fldChar w:fldCharType="end"/>
            </w:r>
          </w:hyperlink>
        </w:p>
        <w:p w14:paraId="67168513" w14:textId="22E48B3C"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37" w:history="1">
            <w:r w:rsidRPr="003069B0">
              <w:rPr>
                <w:rStyle w:val="Hyperlink"/>
                <w:rFonts w:ascii="Calibri" w:hAnsi="Calibri" w:cs="Calibri"/>
                <w:noProof/>
              </w:rPr>
              <w:t>Acknowledgements</w:t>
            </w:r>
            <w:r>
              <w:rPr>
                <w:noProof/>
                <w:webHidden/>
              </w:rPr>
              <w:tab/>
            </w:r>
            <w:r>
              <w:rPr>
                <w:noProof/>
                <w:webHidden/>
              </w:rPr>
              <w:fldChar w:fldCharType="begin"/>
            </w:r>
            <w:r>
              <w:rPr>
                <w:noProof/>
                <w:webHidden/>
              </w:rPr>
              <w:instrText xml:space="preserve"> PAGEREF _Toc209826937 \h </w:instrText>
            </w:r>
            <w:r>
              <w:rPr>
                <w:noProof/>
                <w:webHidden/>
              </w:rPr>
            </w:r>
            <w:r>
              <w:rPr>
                <w:noProof/>
                <w:webHidden/>
              </w:rPr>
              <w:fldChar w:fldCharType="separate"/>
            </w:r>
            <w:r>
              <w:rPr>
                <w:noProof/>
                <w:webHidden/>
              </w:rPr>
              <w:t>3</w:t>
            </w:r>
            <w:r>
              <w:rPr>
                <w:noProof/>
                <w:webHidden/>
              </w:rPr>
              <w:fldChar w:fldCharType="end"/>
            </w:r>
          </w:hyperlink>
        </w:p>
        <w:p w14:paraId="77AB3984" w14:textId="6201215D"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41" w:history="1">
            <w:r w:rsidRPr="003069B0">
              <w:rPr>
                <w:rStyle w:val="Hyperlink"/>
                <w:noProof/>
              </w:rPr>
              <w:t>Chapter 1: Introduction</w:t>
            </w:r>
            <w:r>
              <w:rPr>
                <w:noProof/>
                <w:webHidden/>
              </w:rPr>
              <w:tab/>
            </w:r>
            <w:r>
              <w:rPr>
                <w:noProof/>
                <w:webHidden/>
              </w:rPr>
              <w:fldChar w:fldCharType="begin"/>
            </w:r>
            <w:r>
              <w:rPr>
                <w:noProof/>
                <w:webHidden/>
              </w:rPr>
              <w:instrText xml:space="preserve"> PAGEREF _Toc209826941 \h </w:instrText>
            </w:r>
            <w:r>
              <w:rPr>
                <w:noProof/>
                <w:webHidden/>
              </w:rPr>
            </w:r>
            <w:r>
              <w:rPr>
                <w:noProof/>
                <w:webHidden/>
              </w:rPr>
              <w:fldChar w:fldCharType="separate"/>
            </w:r>
            <w:r>
              <w:rPr>
                <w:noProof/>
                <w:webHidden/>
              </w:rPr>
              <w:t>7</w:t>
            </w:r>
            <w:r>
              <w:rPr>
                <w:noProof/>
                <w:webHidden/>
              </w:rPr>
              <w:fldChar w:fldCharType="end"/>
            </w:r>
          </w:hyperlink>
        </w:p>
        <w:p w14:paraId="7ECA768F" w14:textId="674B2637"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2" w:history="1">
            <w:r w:rsidRPr="003069B0">
              <w:rPr>
                <w:rStyle w:val="Hyperlink"/>
                <w:noProof/>
              </w:rPr>
              <w:t>1.1 Background and Context</w:t>
            </w:r>
            <w:r>
              <w:rPr>
                <w:noProof/>
                <w:webHidden/>
              </w:rPr>
              <w:tab/>
            </w:r>
            <w:r>
              <w:rPr>
                <w:noProof/>
                <w:webHidden/>
              </w:rPr>
              <w:fldChar w:fldCharType="begin"/>
            </w:r>
            <w:r>
              <w:rPr>
                <w:noProof/>
                <w:webHidden/>
              </w:rPr>
              <w:instrText xml:space="preserve"> PAGEREF _Toc209826942 \h </w:instrText>
            </w:r>
            <w:r>
              <w:rPr>
                <w:noProof/>
                <w:webHidden/>
              </w:rPr>
            </w:r>
            <w:r>
              <w:rPr>
                <w:noProof/>
                <w:webHidden/>
              </w:rPr>
              <w:fldChar w:fldCharType="separate"/>
            </w:r>
            <w:r>
              <w:rPr>
                <w:noProof/>
                <w:webHidden/>
              </w:rPr>
              <w:t>7</w:t>
            </w:r>
            <w:r>
              <w:rPr>
                <w:noProof/>
                <w:webHidden/>
              </w:rPr>
              <w:fldChar w:fldCharType="end"/>
            </w:r>
          </w:hyperlink>
        </w:p>
        <w:p w14:paraId="383344A9" w14:textId="77AE303C"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3" w:history="1">
            <w:r w:rsidRPr="003069B0">
              <w:rPr>
                <w:rStyle w:val="Hyperlink"/>
                <w:noProof/>
              </w:rPr>
              <w:t>1.2 Rationale for the Study</w:t>
            </w:r>
            <w:r>
              <w:rPr>
                <w:noProof/>
                <w:webHidden/>
              </w:rPr>
              <w:tab/>
            </w:r>
            <w:r>
              <w:rPr>
                <w:noProof/>
                <w:webHidden/>
              </w:rPr>
              <w:fldChar w:fldCharType="begin"/>
            </w:r>
            <w:r>
              <w:rPr>
                <w:noProof/>
                <w:webHidden/>
              </w:rPr>
              <w:instrText xml:space="preserve"> PAGEREF _Toc209826943 \h </w:instrText>
            </w:r>
            <w:r>
              <w:rPr>
                <w:noProof/>
                <w:webHidden/>
              </w:rPr>
            </w:r>
            <w:r>
              <w:rPr>
                <w:noProof/>
                <w:webHidden/>
              </w:rPr>
              <w:fldChar w:fldCharType="separate"/>
            </w:r>
            <w:r>
              <w:rPr>
                <w:noProof/>
                <w:webHidden/>
              </w:rPr>
              <w:t>8</w:t>
            </w:r>
            <w:r>
              <w:rPr>
                <w:noProof/>
                <w:webHidden/>
              </w:rPr>
              <w:fldChar w:fldCharType="end"/>
            </w:r>
          </w:hyperlink>
        </w:p>
        <w:p w14:paraId="21DDD2D9" w14:textId="48BF3B3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4" w:history="1">
            <w:r w:rsidRPr="003069B0">
              <w:rPr>
                <w:rStyle w:val="Hyperlink"/>
                <w:noProof/>
              </w:rPr>
              <w:t>1.3 Aim and Objectives</w:t>
            </w:r>
            <w:r>
              <w:rPr>
                <w:noProof/>
                <w:webHidden/>
              </w:rPr>
              <w:tab/>
            </w:r>
            <w:r>
              <w:rPr>
                <w:noProof/>
                <w:webHidden/>
              </w:rPr>
              <w:fldChar w:fldCharType="begin"/>
            </w:r>
            <w:r>
              <w:rPr>
                <w:noProof/>
                <w:webHidden/>
              </w:rPr>
              <w:instrText xml:space="preserve"> PAGEREF _Toc209826944 \h </w:instrText>
            </w:r>
            <w:r>
              <w:rPr>
                <w:noProof/>
                <w:webHidden/>
              </w:rPr>
            </w:r>
            <w:r>
              <w:rPr>
                <w:noProof/>
                <w:webHidden/>
              </w:rPr>
              <w:fldChar w:fldCharType="separate"/>
            </w:r>
            <w:r>
              <w:rPr>
                <w:noProof/>
                <w:webHidden/>
              </w:rPr>
              <w:t>8</w:t>
            </w:r>
            <w:r>
              <w:rPr>
                <w:noProof/>
                <w:webHidden/>
              </w:rPr>
              <w:fldChar w:fldCharType="end"/>
            </w:r>
          </w:hyperlink>
        </w:p>
        <w:p w14:paraId="55EEA54C" w14:textId="752B9E3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5" w:history="1">
            <w:r w:rsidRPr="003069B0">
              <w:rPr>
                <w:rStyle w:val="Hyperlink"/>
                <w:noProof/>
              </w:rPr>
              <w:t>1.4 Research Question</w:t>
            </w:r>
            <w:r>
              <w:rPr>
                <w:noProof/>
                <w:webHidden/>
              </w:rPr>
              <w:tab/>
            </w:r>
            <w:r>
              <w:rPr>
                <w:noProof/>
                <w:webHidden/>
              </w:rPr>
              <w:fldChar w:fldCharType="begin"/>
            </w:r>
            <w:r>
              <w:rPr>
                <w:noProof/>
                <w:webHidden/>
              </w:rPr>
              <w:instrText xml:space="preserve"> PAGEREF _Toc209826945 \h </w:instrText>
            </w:r>
            <w:r>
              <w:rPr>
                <w:noProof/>
                <w:webHidden/>
              </w:rPr>
            </w:r>
            <w:r>
              <w:rPr>
                <w:noProof/>
                <w:webHidden/>
              </w:rPr>
              <w:fldChar w:fldCharType="separate"/>
            </w:r>
            <w:r>
              <w:rPr>
                <w:noProof/>
                <w:webHidden/>
              </w:rPr>
              <w:t>8</w:t>
            </w:r>
            <w:r>
              <w:rPr>
                <w:noProof/>
                <w:webHidden/>
              </w:rPr>
              <w:fldChar w:fldCharType="end"/>
            </w:r>
          </w:hyperlink>
        </w:p>
        <w:p w14:paraId="3F4845FA" w14:textId="3E7F2907"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6" w:history="1">
            <w:r w:rsidRPr="003069B0">
              <w:rPr>
                <w:rStyle w:val="Hyperlink"/>
                <w:noProof/>
              </w:rPr>
              <w:t>1.5 Scope and Limitations</w:t>
            </w:r>
            <w:r>
              <w:rPr>
                <w:noProof/>
                <w:webHidden/>
              </w:rPr>
              <w:tab/>
            </w:r>
            <w:r>
              <w:rPr>
                <w:noProof/>
                <w:webHidden/>
              </w:rPr>
              <w:fldChar w:fldCharType="begin"/>
            </w:r>
            <w:r>
              <w:rPr>
                <w:noProof/>
                <w:webHidden/>
              </w:rPr>
              <w:instrText xml:space="preserve"> PAGEREF _Toc209826946 \h </w:instrText>
            </w:r>
            <w:r>
              <w:rPr>
                <w:noProof/>
                <w:webHidden/>
              </w:rPr>
            </w:r>
            <w:r>
              <w:rPr>
                <w:noProof/>
                <w:webHidden/>
              </w:rPr>
              <w:fldChar w:fldCharType="separate"/>
            </w:r>
            <w:r>
              <w:rPr>
                <w:noProof/>
                <w:webHidden/>
              </w:rPr>
              <w:t>9</w:t>
            </w:r>
            <w:r>
              <w:rPr>
                <w:noProof/>
                <w:webHidden/>
              </w:rPr>
              <w:fldChar w:fldCharType="end"/>
            </w:r>
          </w:hyperlink>
        </w:p>
        <w:p w14:paraId="52B15AD7" w14:textId="36A95A52"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7" w:history="1">
            <w:r w:rsidRPr="003069B0">
              <w:rPr>
                <w:rStyle w:val="Hyperlink"/>
                <w:noProof/>
              </w:rPr>
              <w:t>1.6 Structure of the Dissertation</w:t>
            </w:r>
            <w:r>
              <w:rPr>
                <w:noProof/>
                <w:webHidden/>
              </w:rPr>
              <w:tab/>
            </w:r>
            <w:r>
              <w:rPr>
                <w:noProof/>
                <w:webHidden/>
              </w:rPr>
              <w:fldChar w:fldCharType="begin"/>
            </w:r>
            <w:r>
              <w:rPr>
                <w:noProof/>
                <w:webHidden/>
              </w:rPr>
              <w:instrText xml:space="preserve"> PAGEREF _Toc209826947 \h </w:instrText>
            </w:r>
            <w:r>
              <w:rPr>
                <w:noProof/>
                <w:webHidden/>
              </w:rPr>
            </w:r>
            <w:r>
              <w:rPr>
                <w:noProof/>
                <w:webHidden/>
              </w:rPr>
              <w:fldChar w:fldCharType="separate"/>
            </w:r>
            <w:r>
              <w:rPr>
                <w:noProof/>
                <w:webHidden/>
              </w:rPr>
              <w:t>9</w:t>
            </w:r>
            <w:r>
              <w:rPr>
                <w:noProof/>
                <w:webHidden/>
              </w:rPr>
              <w:fldChar w:fldCharType="end"/>
            </w:r>
          </w:hyperlink>
        </w:p>
        <w:p w14:paraId="78F6CDD5" w14:textId="42F8D9BA"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48" w:history="1">
            <w:r w:rsidRPr="003069B0">
              <w:rPr>
                <w:rStyle w:val="Hyperlink"/>
                <w:noProof/>
              </w:rPr>
              <w:t>1.7 Summary</w:t>
            </w:r>
            <w:r>
              <w:rPr>
                <w:noProof/>
                <w:webHidden/>
              </w:rPr>
              <w:tab/>
            </w:r>
            <w:r>
              <w:rPr>
                <w:noProof/>
                <w:webHidden/>
              </w:rPr>
              <w:fldChar w:fldCharType="begin"/>
            </w:r>
            <w:r>
              <w:rPr>
                <w:noProof/>
                <w:webHidden/>
              </w:rPr>
              <w:instrText xml:space="preserve"> PAGEREF _Toc209826948 \h </w:instrText>
            </w:r>
            <w:r>
              <w:rPr>
                <w:noProof/>
                <w:webHidden/>
              </w:rPr>
            </w:r>
            <w:r>
              <w:rPr>
                <w:noProof/>
                <w:webHidden/>
              </w:rPr>
              <w:fldChar w:fldCharType="separate"/>
            </w:r>
            <w:r>
              <w:rPr>
                <w:noProof/>
                <w:webHidden/>
              </w:rPr>
              <w:t>9</w:t>
            </w:r>
            <w:r>
              <w:rPr>
                <w:noProof/>
                <w:webHidden/>
              </w:rPr>
              <w:fldChar w:fldCharType="end"/>
            </w:r>
          </w:hyperlink>
        </w:p>
        <w:p w14:paraId="2F435B84" w14:textId="1E0FA387"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49" w:history="1">
            <w:r w:rsidRPr="003069B0">
              <w:rPr>
                <w:rStyle w:val="Hyperlink"/>
                <w:noProof/>
              </w:rPr>
              <w:t>Chapter 2: Literature Review</w:t>
            </w:r>
            <w:r>
              <w:rPr>
                <w:noProof/>
                <w:webHidden/>
              </w:rPr>
              <w:tab/>
            </w:r>
            <w:r>
              <w:rPr>
                <w:noProof/>
                <w:webHidden/>
              </w:rPr>
              <w:fldChar w:fldCharType="begin"/>
            </w:r>
            <w:r>
              <w:rPr>
                <w:noProof/>
                <w:webHidden/>
              </w:rPr>
              <w:instrText xml:space="preserve"> PAGEREF _Toc209826949 \h </w:instrText>
            </w:r>
            <w:r>
              <w:rPr>
                <w:noProof/>
                <w:webHidden/>
              </w:rPr>
            </w:r>
            <w:r>
              <w:rPr>
                <w:noProof/>
                <w:webHidden/>
              </w:rPr>
              <w:fldChar w:fldCharType="separate"/>
            </w:r>
            <w:r>
              <w:rPr>
                <w:noProof/>
                <w:webHidden/>
              </w:rPr>
              <w:t>10</w:t>
            </w:r>
            <w:r>
              <w:rPr>
                <w:noProof/>
                <w:webHidden/>
              </w:rPr>
              <w:fldChar w:fldCharType="end"/>
            </w:r>
          </w:hyperlink>
        </w:p>
        <w:p w14:paraId="461AA973" w14:textId="32B5345D"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0" w:history="1">
            <w:r w:rsidRPr="003069B0">
              <w:rPr>
                <w:rStyle w:val="Hyperlink"/>
                <w:noProof/>
              </w:rPr>
              <w:t>2.1 Introduction</w:t>
            </w:r>
            <w:r>
              <w:rPr>
                <w:noProof/>
                <w:webHidden/>
              </w:rPr>
              <w:tab/>
            </w:r>
            <w:r>
              <w:rPr>
                <w:noProof/>
                <w:webHidden/>
              </w:rPr>
              <w:fldChar w:fldCharType="begin"/>
            </w:r>
            <w:r>
              <w:rPr>
                <w:noProof/>
                <w:webHidden/>
              </w:rPr>
              <w:instrText xml:space="preserve"> PAGEREF _Toc209826950 \h </w:instrText>
            </w:r>
            <w:r>
              <w:rPr>
                <w:noProof/>
                <w:webHidden/>
              </w:rPr>
            </w:r>
            <w:r>
              <w:rPr>
                <w:noProof/>
                <w:webHidden/>
              </w:rPr>
              <w:fldChar w:fldCharType="separate"/>
            </w:r>
            <w:r>
              <w:rPr>
                <w:noProof/>
                <w:webHidden/>
              </w:rPr>
              <w:t>10</w:t>
            </w:r>
            <w:r>
              <w:rPr>
                <w:noProof/>
                <w:webHidden/>
              </w:rPr>
              <w:fldChar w:fldCharType="end"/>
            </w:r>
          </w:hyperlink>
        </w:p>
        <w:p w14:paraId="07E37A18" w14:textId="1C8CC7A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1" w:history="1">
            <w:r w:rsidRPr="003069B0">
              <w:rPr>
                <w:rStyle w:val="Hyperlink"/>
                <w:noProof/>
              </w:rPr>
              <w:t>2.2 Historical and Contextual Foundations of UK Policing</w:t>
            </w:r>
            <w:r>
              <w:rPr>
                <w:noProof/>
                <w:webHidden/>
              </w:rPr>
              <w:tab/>
            </w:r>
            <w:r>
              <w:rPr>
                <w:noProof/>
                <w:webHidden/>
              </w:rPr>
              <w:fldChar w:fldCharType="begin"/>
            </w:r>
            <w:r>
              <w:rPr>
                <w:noProof/>
                <w:webHidden/>
              </w:rPr>
              <w:instrText xml:space="preserve"> PAGEREF _Toc209826951 \h </w:instrText>
            </w:r>
            <w:r>
              <w:rPr>
                <w:noProof/>
                <w:webHidden/>
              </w:rPr>
            </w:r>
            <w:r>
              <w:rPr>
                <w:noProof/>
                <w:webHidden/>
              </w:rPr>
              <w:fldChar w:fldCharType="separate"/>
            </w:r>
            <w:r>
              <w:rPr>
                <w:noProof/>
                <w:webHidden/>
              </w:rPr>
              <w:t>10</w:t>
            </w:r>
            <w:r>
              <w:rPr>
                <w:noProof/>
                <w:webHidden/>
              </w:rPr>
              <w:fldChar w:fldCharType="end"/>
            </w:r>
          </w:hyperlink>
        </w:p>
        <w:p w14:paraId="3CCFB1FA" w14:textId="22CD83FA"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2" w:history="1">
            <w:r w:rsidRPr="003069B0">
              <w:rPr>
                <w:rStyle w:val="Hyperlink"/>
                <w:noProof/>
              </w:rPr>
              <w:t>2.3 Empirical Insights on Police Use of Force</w:t>
            </w:r>
            <w:r>
              <w:rPr>
                <w:noProof/>
                <w:webHidden/>
              </w:rPr>
              <w:tab/>
            </w:r>
            <w:r>
              <w:rPr>
                <w:noProof/>
                <w:webHidden/>
              </w:rPr>
              <w:fldChar w:fldCharType="begin"/>
            </w:r>
            <w:r>
              <w:rPr>
                <w:noProof/>
                <w:webHidden/>
              </w:rPr>
              <w:instrText xml:space="preserve"> PAGEREF _Toc209826952 \h </w:instrText>
            </w:r>
            <w:r>
              <w:rPr>
                <w:noProof/>
                <w:webHidden/>
              </w:rPr>
            </w:r>
            <w:r>
              <w:rPr>
                <w:noProof/>
                <w:webHidden/>
              </w:rPr>
              <w:fldChar w:fldCharType="separate"/>
            </w:r>
            <w:r>
              <w:rPr>
                <w:noProof/>
                <w:webHidden/>
              </w:rPr>
              <w:t>11</w:t>
            </w:r>
            <w:r>
              <w:rPr>
                <w:noProof/>
                <w:webHidden/>
              </w:rPr>
              <w:fldChar w:fldCharType="end"/>
            </w:r>
          </w:hyperlink>
        </w:p>
        <w:p w14:paraId="06EB93B3" w14:textId="0C481BF9"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3" w:history="1">
            <w:r w:rsidRPr="003069B0">
              <w:rPr>
                <w:rStyle w:val="Hyperlink"/>
                <w:noProof/>
              </w:rPr>
              <w:t>2.4 Police Militarisation and Its Implications</w:t>
            </w:r>
            <w:r>
              <w:rPr>
                <w:noProof/>
                <w:webHidden/>
              </w:rPr>
              <w:tab/>
            </w:r>
            <w:r>
              <w:rPr>
                <w:noProof/>
                <w:webHidden/>
              </w:rPr>
              <w:fldChar w:fldCharType="begin"/>
            </w:r>
            <w:r>
              <w:rPr>
                <w:noProof/>
                <w:webHidden/>
              </w:rPr>
              <w:instrText xml:space="preserve"> PAGEREF _Toc209826953 \h </w:instrText>
            </w:r>
            <w:r>
              <w:rPr>
                <w:noProof/>
                <w:webHidden/>
              </w:rPr>
            </w:r>
            <w:r>
              <w:rPr>
                <w:noProof/>
                <w:webHidden/>
              </w:rPr>
              <w:fldChar w:fldCharType="separate"/>
            </w:r>
            <w:r>
              <w:rPr>
                <w:noProof/>
                <w:webHidden/>
              </w:rPr>
              <w:t>11</w:t>
            </w:r>
            <w:r>
              <w:rPr>
                <w:noProof/>
                <w:webHidden/>
              </w:rPr>
              <w:fldChar w:fldCharType="end"/>
            </w:r>
          </w:hyperlink>
        </w:p>
        <w:p w14:paraId="168DDF45" w14:textId="70C2C884"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4" w:history="1">
            <w:r w:rsidRPr="003069B0">
              <w:rPr>
                <w:rStyle w:val="Hyperlink"/>
                <w:noProof/>
              </w:rPr>
              <w:t>2.5 Armed Response Units and Public Perceptions</w:t>
            </w:r>
            <w:r>
              <w:rPr>
                <w:noProof/>
                <w:webHidden/>
              </w:rPr>
              <w:tab/>
            </w:r>
            <w:r>
              <w:rPr>
                <w:noProof/>
                <w:webHidden/>
              </w:rPr>
              <w:fldChar w:fldCharType="begin"/>
            </w:r>
            <w:r>
              <w:rPr>
                <w:noProof/>
                <w:webHidden/>
              </w:rPr>
              <w:instrText xml:space="preserve"> PAGEREF _Toc209826954 \h </w:instrText>
            </w:r>
            <w:r>
              <w:rPr>
                <w:noProof/>
                <w:webHidden/>
              </w:rPr>
            </w:r>
            <w:r>
              <w:rPr>
                <w:noProof/>
                <w:webHidden/>
              </w:rPr>
              <w:fldChar w:fldCharType="separate"/>
            </w:r>
            <w:r>
              <w:rPr>
                <w:noProof/>
                <w:webHidden/>
              </w:rPr>
              <w:t>12</w:t>
            </w:r>
            <w:r>
              <w:rPr>
                <w:noProof/>
                <w:webHidden/>
              </w:rPr>
              <w:fldChar w:fldCharType="end"/>
            </w:r>
          </w:hyperlink>
        </w:p>
        <w:p w14:paraId="5BBB181B" w14:textId="4BA72E1A"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5" w:history="1">
            <w:r w:rsidRPr="003069B0">
              <w:rPr>
                <w:rStyle w:val="Hyperlink"/>
                <w:noProof/>
              </w:rPr>
              <w:t>2.6 The National Decision Model (NDM)</w:t>
            </w:r>
            <w:r>
              <w:rPr>
                <w:noProof/>
                <w:webHidden/>
              </w:rPr>
              <w:tab/>
            </w:r>
            <w:r>
              <w:rPr>
                <w:noProof/>
                <w:webHidden/>
              </w:rPr>
              <w:fldChar w:fldCharType="begin"/>
            </w:r>
            <w:r>
              <w:rPr>
                <w:noProof/>
                <w:webHidden/>
              </w:rPr>
              <w:instrText xml:space="preserve"> PAGEREF _Toc209826955 \h </w:instrText>
            </w:r>
            <w:r>
              <w:rPr>
                <w:noProof/>
                <w:webHidden/>
              </w:rPr>
            </w:r>
            <w:r>
              <w:rPr>
                <w:noProof/>
                <w:webHidden/>
              </w:rPr>
              <w:fldChar w:fldCharType="separate"/>
            </w:r>
            <w:r>
              <w:rPr>
                <w:noProof/>
                <w:webHidden/>
              </w:rPr>
              <w:t>13</w:t>
            </w:r>
            <w:r>
              <w:rPr>
                <w:noProof/>
                <w:webHidden/>
              </w:rPr>
              <w:fldChar w:fldCharType="end"/>
            </w:r>
          </w:hyperlink>
        </w:p>
        <w:p w14:paraId="3398ACEF" w14:textId="4EB3F45E"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6" w:history="1">
            <w:r w:rsidRPr="003069B0">
              <w:rPr>
                <w:rStyle w:val="Hyperlink"/>
                <w:noProof/>
              </w:rPr>
              <w:t>2.7 Theoretical Frameworks and Ethical Considerations</w:t>
            </w:r>
            <w:r>
              <w:rPr>
                <w:noProof/>
                <w:webHidden/>
              </w:rPr>
              <w:tab/>
            </w:r>
            <w:r>
              <w:rPr>
                <w:noProof/>
                <w:webHidden/>
              </w:rPr>
              <w:fldChar w:fldCharType="begin"/>
            </w:r>
            <w:r>
              <w:rPr>
                <w:noProof/>
                <w:webHidden/>
              </w:rPr>
              <w:instrText xml:space="preserve"> PAGEREF _Toc209826956 \h </w:instrText>
            </w:r>
            <w:r>
              <w:rPr>
                <w:noProof/>
                <w:webHidden/>
              </w:rPr>
            </w:r>
            <w:r>
              <w:rPr>
                <w:noProof/>
                <w:webHidden/>
              </w:rPr>
              <w:fldChar w:fldCharType="separate"/>
            </w:r>
            <w:r>
              <w:rPr>
                <w:noProof/>
                <w:webHidden/>
              </w:rPr>
              <w:t>13</w:t>
            </w:r>
            <w:r>
              <w:rPr>
                <w:noProof/>
                <w:webHidden/>
              </w:rPr>
              <w:fldChar w:fldCharType="end"/>
            </w:r>
          </w:hyperlink>
        </w:p>
        <w:p w14:paraId="032F2099" w14:textId="7CC4BF55"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7" w:history="1">
            <w:r w:rsidRPr="003069B0">
              <w:rPr>
                <w:rStyle w:val="Hyperlink"/>
                <w:noProof/>
              </w:rPr>
              <w:t>2.8 Gaps in the Literature and Future Directions</w:t>
            </w:r>
            <w:r>
              <w:rPr>
                <w:noProof/>
                <w:webHidden/>
              </w:rPr>
              <w:tab/>
            </w:r>
            <w:r>
              <w:rPr>
                <w:noProof/>
                <w:webHidden/>
              </w:rPr>
              <w:fldChar w:fldCharType="begin"/>
            </w:r>
            <w:r>
              <w:rPr>
                <w:noProof/>
                <w:webHidden/>
              </w:rPr>
              <w:instrText xml:space="preserve"> PAGEREF _Toc209826957 \h </w:instrText>
            </w:r>
            <w:r>
              <w:rPr>
                <w:noProof/>
                <w:webHidden/>
              </w:rPr>
            </w:r>
            <w:r>
              <w:rPr>
                <w:noProof/>
                <w:webHidden/>
              </w:rPr>
              <w:fldChar w:fldCharType="separate"/>
            </w:r>
            <w:r>
              <w:rPr>
                <w:noProof/>
                <w:webHidden/>
              </w:rPr>
              <w:t>14</w:t>
            </w:r>
            <w:r>
              <w:rPr>
                <w:noProof/>
                <w:webHidden/>
              </w:rPr>
              <w:fldChar w:fldCharType="end"/>
            </w:r>
          </w:hyperlink>
        </w:p>
        <w:p w14:paraId="420243E8" w14:textId="1D717062"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58" w:history="1">
            <w:r w:rsidRPr="003069B0">
              <w:rPr>
                <w:rStyle w:val="Hyperlink"/>
                <w:noProof/>
              </w:rPr>
              <w:t>2.9 Conclusion</w:t>
            </w:r>
            <w:r>
              <w:rPr>
                <w:noProof/>
                <w:webHidden/>
              </w:rPr>
              <w:tab/>
            </w:r>
            <w:r>
              <w:rPr>
                <w:noProof/>
                <w:webHidden/>
              </w:rPr>
              <w:fldChar w:fldCharType="begin"/>
            </w:r>
            <w:r>
              <w:rPr>
                <w:noProof/>
                <w:webHidden/>
              </w:rPr>
              <w:instrText xml:space="preserve"> PAGEREF _Toc209826958 \h </w:instrText>
            </w:r>
            <w:r>
              <w:rPr>
                <w:noProof/>
                <w:webHidden/>
              </w:rPr>
            </w:r>
            <w:r>
              <w:rPr>
                <w:noProof/>
                <w:webHidden/>
              </w:rPr>
              <w:fldChar w:fldCharType="separate"/>
            </w:r>
            <w:r>
              <w:rPr>
                <w:noProof/>
                <w:webHidden/>
              </w:rPr>
              <w:t>15</w:t>
            </w:r>
            <w:r>
              <w:rPr>
                <w:noProof/>
                <w:webHidden/>
              </w:rPr>
              <w:fldChar w:fldCharType="end"/>
            </w:r>
          </w:hyperlink>
        </w:p>
        <w:p w14:paraId="6BF3E935" w14:textId="1EE1289E"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59" w:history="1">
            <w:r w:rsidRPr="003069B0">
              <w:rPr>
                <w:rStyle w:val="Hyperlink"/>
                <w:noProof/>
              </w:rPr>
              <w:t>Chapter 3: Methodology</w:t>
            </w:r>
            <w:r>
              <w:rPr>
                <w:noProof/>
                <w:webHidden/>
              </w:rPr>
              <w:tab/>
            </w:r>
            <w:r>
              <w:rPr>
                <w:noProof/>
                <w:webHidden/>
              </w:rPr>
              <w:fldChar w:fldCharType="begin"/>
            </w:r>
            <w:r>
              <w:rPr>
                <w:noProof/>
                <w:webHidden/>
              </w:rPr>
              <w:instrText xml:space="preserve"> PAGEREF _Toc209826959 \h </w:instrText>
            </w:r>
            <w:r>
              <w:rPr>
                <w:noProof/>
                <w:webHidden/>
              </w:rPr>
            </w:r>
            <w:r>
              <w:rPr>
                <w:noProof/>
                <w:webHidden/>
              </w:rPr>
              <w:fldChar w:fldCharType="separate"/>
            </w:r>
            <w:r>
              <w:rPr>
                <w:noProof/>
                <w:webHidden/>
              </w:rPr>
              <w:t>16</w:t>
            </w:r>
            <w:r>
              <w:rPr>
                <w:noProof/>
                <w:webHidden/>
              </w:rPr>
              <w:fldChar w:fldCharType="end"/>
            </w:r>
          </w:hyperlink>
        </w:p>
        <w:p w14:paraId="07468381" w14:textId="0B4E9AC4"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0" w:history="1">
            <w:r w:rsidRPr="003069B0">
              <w:rPr>
                <w:rStyle w:val="Hyperlink"/>
                <w:noProof/>
              </w:rPr>
              <w:t>3.1 Introduction</w:t>
            </w:r>
            <w:r>
              <w:rPr>
                <w:noProof/>
                <w:webHidden/>
              </w:rPr>
              <w:tab/>
            </w:r>
            <w:r>
              <w:rPr>
                <w:noProof/>
                <w:webHidden/>
              </w:rPr>
              <w:fldChar w:fldCharType="begin"/>
            </w:r>
            <w:r>
              <w:rPr>
                <w:noProof/>
                <w:webHidden/>
              </w:rPr>
              <w:instrText xml:space="preserve"> PAGEREF _Toc209826960 \h </w:instrText>
            </w:r>
            <w:r>
              <w:rPr>
                <w:noProof/>
                <w:webHidden/>
              </w:rPr>
            </w:r>
            <w:r>
              <w:rPr>
                <w:noProof/>
                <w:webHidden/>
              </w:rPr>
              <w:fldChar w:fldCharType="separate"/>
            </w:r>
            <w:r>
              <w:rPr>
                <w:noProof/>
                <w:webHidden/>
              </w:rPr>
              <w:t>16</w:t>
            </w:r>
            <w:r>
              <w:rPr>
                <w:noProof/>
                <w:webHidden/>
              </w:rPr>
              <w:fldChar w:fldCharType="end"/>
            </w:r>
          </w:hyperlink>
        </w:p>
        <w:p w14:paraId="372F98E5" w14:textId="434F6874"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1" w:history="1">
            <w:r w:rsidRPr="003069B0">
              <w:rPr>
                <w:rStyle w:val="Hyperlink"/>
                <w:noProof/>
              </w:rPr>
              <w:t>3.2 Research Design</w:t>
            </w:r>
            <w:r>
              <w:rPr>
                <w:noProof/>
                <w:webHidden/>
              </w:rPr>
              <w:tab/>
            </w:r>
            <w:r>
              <w:rPr>
                <w:noProof/>
                <w:webHidden/>
              </w:rPr>
              <w:fldChar w:fldCharType="begin"/>
            </w:r>
            <w:r>
              <w:rPr>
                <w:noProof/>
                <w:webHidden/>
              </w:rPr>
              <w:instrText xml:space="preserve"> PAGEREF _Toc209826961 \h </w:instrText>
            </w:r>
            <w:r>
              <w:rPr>
                <w:noProof/>
                <w:webHidden/>
              </w:rPr>
            </w:r>
            <w:r>
              <w:rPr>
                <w:noProof/>
                <w:webHidden/>
              </w:rPr>
              <w:fldChar w:fldCharType="separate"/>
            </w:r>
            <w:r>
              <w:rPr>
                <w:noProof/>
                <w:webHidden/>
              </w:rPr>
              <w:t>16</w:t>
            </w:r>
            <w:r>
              <w:rPr>
                <w:noProof/>
                <w:webHidden/>
              </w:rPr>
              <w:fldChar w:fldCharType="end"/>
            </w:r>
          </w:hyperlink>
        </w:p>
        <w:p w14:paraId="38096966" w14:textId="0691EBAB"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2" w:history="1">
            <w:r w:rsidRPr="003069B0">
              <w:rPr>
                <w:rStyle w:val="Hyperlink"/>
                <w:noProof/>
              </w:rPr>
              <w:t>3.3 Participants and Sampling</w:t>
            </w:r>
            <w:r>
              <w:rPr>
                <w:noProof/>
                <w:webHidden/>
              </w:rPr>
              <w:tab/>
            </w:r>
            <w:r>
              <w:rPr>
                <w:noProof/>
                <w:webHidden/>
              </w:rPr>
              <w:fldChar w:fldCharType="begin"/>
            </w:r>
            <w:r>
              <w:rPr>
                <w:noProof/>
                <w:webHidden/>
              </w:rPr>
              <w:instrText xml:space="preserve"> PAGEREF _Toc209826962 \h </w:instrText>
            </w:r>
            <w:r>
              <w:rPr>
                <w:noProof/>
                <w:webHidden/>
              </w:rPr>
            </w:r>
            <w:r>
              <w:rPr>
                <w:noProof/>
                <w:webHidden/>
              </w:rPr>
              <w:fldChar w:fldCharType="separate"/>
            </w:r>
            <w:r>
              <w:rPr>
                <w:noProof/>
                <w:webHidden/>
              </w:rPr>
              <w:t>16</w:t>
            </w:r>
            <w:r>
              <w:rPr>
                <w:noProof/>
                <w:webHidden/>
              </w:rPr>
              <w:fldChar w:fldCharType="end"/>
            </w:r>
          </w:hyperlink>
        </w:p>
        <w:p w14:paraId="5C1D5096" w14:textId="311E5FD9"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3" w:history="1">
            <w:r w:rsidRPr="003069B0">
              <w:rPr>
                <w:rStyle w:val="Hyperlink"/>
                <w:noProof/>
              </w:rPr>
              <w:t>3.4 Research Instrument</w:t>
            </w:r>
            <w:r>
              <w:rPr>
                <w:noProof/>
                <w:webHidden/>
              </w:rPr>
              <w:tab/>
            </w:r>
            <w:r>
              <w:rPr>
                <w:noProof/>
                <w:webHidden/>
              </w:rPr>
              <w:fldChar w:fldCharType="begin"/>
            </w:r>
            <w:r>
              <w:rPr>
                <w:noProof/>
                <w:webHidden/>
              </w:rPr>
              <w:instrText xml:space="preserve"> PAGEREF _Toc209826963 \h </w:instrText>
            </w:r>
            <w:r>
              <w:rPr>
                <w:noProof/>
                <w:webHidden/>
              </w:rPr>
            </w:r>
            <w:r>
              <w:rPr>
                <w:noProof/>
                <w:webHidden/>
              </w:rPr>
              <w:fldChar w:fldCharType="separate"/>
            </w:r>
            <w:r>
              <w:rPr>
                <w:noProof/>
                <w:webHidden/>
              </w:rPr>
              <w:t>17</w:t>
            </w:r>
            <w:r>
              <w:rPr>
                <w:noProof/>
                <w:webHidden/>
              </w:rPr>
              <w:fldChar w:fldCharType="end"/>
            </w:r>
          </w:hyperlink>
        </w:p>
        <w:p w14:paraId="6BA95EDC" w14:textId="06F67204"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4" w:history="1">
            <w:r w:rsidRPr="003069B0">
              <w:rPr>
                <w:rStyle w:val="Hyperlink"/>
                <w:noProof/>
              </w:rPr>
              <w:t>3.5 Data Collection</w:t>
            </w:r>
            <w:r>
              <w:rPr>
                <w:noProof/>
                <w:webHidden/>
              </w:rPr>
              <w:tab/>
            </w:r>
            <w:r>
              <w:rPr>
                <w:noProof/>
                <w:webHidden/>
              </w:rPr>
              <w:fldChar w:fldCharType="begin"/>
            </w:r>
            <w:r>
              <w:rPr>
                <w:noProof/>
                <w:webHidden/>
              </w:rPr>
              <w:instrText xml:space="preserve"> PAGEREF _Toc209826964 \h </w:instrText>
            </w:r>
            <w:r>
              <w:rPr>
                <w:noProof/>
                <w:webHidden/>
              </w:rPr>
            </w:r>
            <w:r>
              <w:rPr>
                <w:noProof/>
                <w:webHidden/>
              </w:rPr>
              <w:fldChar w:fldCharType="separate"/>
            </w:r>
            <w:r>
              <w:rPr>
                <w:noProof/>
                <w:webHidden/>
              </w:rPr>
              <w:t>17</w:t>
            </w:r>
            <w:r>
              <w:rPr>
                <w:noProof/>
                <w:webHidden/>
              </w:rPr>
              <w:fldChar w:fldCharType="end"/>
            </w:r>
          </w:hyperlink>
        </w:p>
        <w:p w14:paraId="5BA90BFD" w14:textId="3FD6DB9A"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5" w:history="1">
            <w:r w:rsidRPr="003069B0">
              <w:rPr>
                <w:rStyle w:val="Hyperlink"/>
                <w:noProof/>
              </w:rPr>
              <w:t>3.6 Data Analysis</w:t>
            </w:r>
            <w:r>
              <w:rPr>
                <w:noProof/>
                <w:webHidden/>
              </w:rPr>
              <w:tab/>
            </w:r>
            <w:r>
              <w:rPr>
                <w:noProof/>
                <w:webHidden/>
              </w:rPr>
              <w:fldChar w:fldCharType="begin"/>
            </w:r>
            <w:r>
              <w:rPr>
                <w:noProof/>
                <w:webHidden/>
              </w:rPr>
              <w:instrText xml:space="preserve"> PAGEREF _Toc209826965 \h </w:instrText>
            </w:r>
            <w:r>
              <w:rPr>
                <w:noProof/>
                <w:webHidden/>
              </w:rPr>
            </w:r>
            <w:r>
              <w:rPr>
                <w:noProof/>
                <w:webHidden/>
              </w:rPr>
              <w:fldChar w:fldCharType="separate"/>
            </w:r>
            <w:r>
              <w:rPr>
                <w:noProof/>
                <w:webHidden/>
              </w:rPr>
              <w:t>18</w:t>
            </w:r>
            <w:r>
              <w:rPr>
                <w:noProof/>
                <w:webHidden/>
              </w:rPr>
              <w:fldChar w:fldCharType="end"/>
            </w:r>
          </w:hyperlink>
        </w:p>
        <w:p w14:paraId="7F3DE2AA" w14:textId="3AD5A5E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6" w:history="1">
            <w:r w:rsidRPr="003069B0">
              <w:rPr>
                <w:rStyle w:val="Hyperlink"/>
                <w:noProof/>
              </w:rPr>
              <w:t>3.7 Ethical Considerations</w:t>
            </w:r>
            <w:r>
              <w:rPr>
                <w:noProof/>
                <w:webHidden/>
              </w:rPr>
              <w:tab/>
            </w:r>
            <w:r>
              <w:rPr>
                <w:noProof/>
                <w:webHidden/>
              </w:rPr>
              <w:fldChar w:fldCharType="begin"/>
            </w:r>
            <w:r>
              <w:rPr>
                <w:noProof/>
                <w:webHidden/>
              </w:rPr>
              <w:instrText xml:space="preserve"> PAGEREF _Toc209826966 \h </w:instrText>
            </w:r>
            <w:r>
              <w:rPr>
                <w:noProof/>
                <w:webHidden/>
              </w:rPr>
            </w:r>
            <w:r>
              <w:rPr>
                <w:noProof/>
                <w:webHidden/>
              </w:rPr>
              <w:fldChar w:fldCharType="separate"/>
            </w:r>
            <w:r>
              <w:rPr>
                <w:noProof/>
                <w:webHidden/>
              </w:rPr>
              <w:t>19</w:t>
            </w:r>
            <w:r>
              <w:rPr>
                <w:noProof/>
                <w:webHidden/>
              </w:rPr>
              <w:fldChar w:fldCharType="end"/>
            </w:r>
          </w:hyperlink>
        </w:p>
        <w:p w14:paraId="042D9A55" w14:textId="2B2FC76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7" w:history="1">
            <w:r w:rsidRPr="003069B0">
              <w:rPr>
                <w:rStyle w:val="Hyperlink"/>
                <w:noProof/>
              </w:rPr>
              <w:t>3.8 Limitations</w:t>
            </w:r>
            <w:r>
              <w:rPr>
                <w:noProof/>
                <w:webHidden/>
              </w:rPr>
              <w:tab/>
            </w:r>
            <w:r>
              <w:rPr>
                <w:noProof/>
                <w:webHidden/>
              </w:rPr>
              <w:fldChar w:fldCharType="begin"/>
            </w:r>
            <w:r>
              <w:rPr>
                <w:noProof/>
                <w:webHidden/>
              </w:rPr>
              <w:instrText xml:space="preserve"> PAGEREF _Toc209826967 \h </w:instrText>
            </w:r>
            <w:r>
              <w:rPr>
                <w:noProof/>
                <w:webHidden/>
              </w:rPr>
            </w:r>
            <w:r>
              <w:rPr>
                <w:noProof/>
                <w:webHidden/>
              </w:rPr>
              <w:fldChar w:fldCharType="separate"/>
            </w:r>
            <w:r>
              <w:rPr>
                <w:noProof/>
                <w:webHidden/>
              </w:rPr>
              <w:t>19</w:t>
            </w:r>
            <w:r>
              <w:rPr>
                <w:noProof/>
                <w:webHidden/>
              </w:rPr>
              <w:fldChar w:fldCharType="end"/>
            </w:r>
          </w:hyperlink>
        </w:p>
        <w:p w14:paraId="64866B0B" w14:textId="2A65AA43"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8" w:history="1">
            <w:r w:rsidRPr="003069B0">
              <w:rPr>
                <w:rStyle w:val="Hyperlink"/>
                <w:noProof/>
              </w:rPr>
              <w:t>3.9 Planning and Timeline</w:t>
            </w:r>
            <w:r>
              <w:rPr>
                <w:noProof/>
                <w:webHidden/>
              </w:rPr>
              <w:tab/>
            </w:r>
            <w:r>
              <w:rPr>
                <w:noProof/>
                <w:webHidden/>
              </w:rPr>
              <w:fldChar w:fldCharType="begin"/>
            </w:r>
            <w:r>
              <w:rPr>
                <w:noProof/>
                <w:webHidden/>
              </w:rPr>
              <w:instrText xml:space="preserve"> PAGEREF _Toc209826968 \h </w:instrText>
            </w:r>
            <w:r>
              <w:rPr>
                <w:noProof/>
                <w:webHidden/>
              </w:rPr>
            </w:r>
            <w:r>
              <w:rPr>
                <w:noProof/>
                <w:webHidden/>
              </w:rPr>
              <w:fldChar w:fldCharType="separate"/>
            </w:r>
            <w:r>
              <w:rPr>
                <w:noProof/>
                <w:webHidden/>
              </w:rPr>
              <w:t>19</w:t>
            </w:r>
            <w:r>
              <w:rPr>
                <w:noProof/>
                <w:webHidden/>
              </w:rPr>
              <w:fldChar w:fldCharType="end"/>
            </w:r>
          </w:hyperlink>
        </w:p>
        <w:p w14:paraId="13C57FBB" w14:textId="0648E10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69" w:history="1">
            <w:r w:rsidRPr="003069B0">
              <w:rPr>
                <w:rStyle w:val="Hyperlink"/>
                <w:noProof/>
              </w:rPr>
              <w:t>3.10 Conclusion</w:t>
            </w:r>
            <w:r>
              <w:rPr>
                <w:noProof/>
                <w:webHidden/>
              </w:rPr>
              <w:tab/>
            </w:r>
            <w:r>
              <w:rPr>
                <w:noProof/>
                <w:webHidden/>
              </w:rPr>
              <w:fldChar w:fldCharType="begin"/>
            </w:r>
            <w:r>
              <w:rPr>
                <w:noProof/>
                <w:webHidden/>
              </w:rPr>
              <w:instrText xml:space="preserve"> PAGEREF _Toc209826969 \h </w:instrText>
            </w:r>
            <w:r>
              <w:rPr>
                <w:noProof/>
                <w:webHidden/>
              </w:rPr>
            </w:r>
            <w:r>
              <w:rPr>
                <w:noProof/>
                <w:webHidden/>
              </w:rPr>
              <w:fldChar w:fldCharType="separate"/>
            </w:r>
            <w:r>
              <w:rPr>
                <w:noProof/>
                <w:webHidden/>
              </w:rPr>
              <w:t>20</w:t>
            </w:r>
            <w:r>
              <w:rPr>
                <w:noProof/>
                <w:webHidden/>
              </w:rPr>
              <w:fldChar w:fldCharType="end"/>
            </w:r>
          </w:hyperlink>
        </w:p>
        <w:p w14:paraId="1AC1F0A4" w14:textId="44D1FE39"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70" w:history="1">
            <w:r w:rsidRPr="003069B0">
              <w:rPr>
                <w:rStyle w:val="Hyperlink"/>
                <w:noProof/>
              </w:rPr>
              <w:t>Chapter 4: Analysis of Results</w:t>
            </w:r>
            <w:r>
              <w:rPr>
                <w:noProof/>
                <w:webHidden/>
              </w:rPr>
              <w:tab/>
            </w:r>
            <w:r>
              <w:rPr>
                <w:noProof/>
                <w:webHidden/>
              </w:rPr>
              <w:fldChar w:fldCharType="begin"/>
            </w:r>
            <w:r>
              <w:rPr>
                <w:noProof/>
                <w:webHidden/>
              </w:rPr>
              <w:instrText xml:space="preserve"> PAGEREF _Toc209826970 \h </w:instrText>
            </w:r>
            <w:r>
              <w:rPr>
                <w:noProof/>
                <w:webHidden/>
              </w:rPr>
            </w:r>
            <w:r>
              <w:rPr>
                <w:noProof/>
                <w:webHidden/>
              </w:rPr>
              <w:fldChar w:fldCharType="separate"/>
            </w:r>
            <w:r>
              <w:rPr>
                <w:noProof/>
                <w:webHidden/>
              </w:rPr>
              <w:t>20</w:t>
            </w:r>
            <w:r>
              <w:rPr>
                <w:noProof/>
                <w:webHidden/>
              </w:rPr>
              <w:fldChar w:fldCharType="end"/>
            </w:r>
          </w:hyperlink>
        </w:p>
        <w:p w14:paraId="1D3996E7" w14:textId="79996813"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1" w:history="1">
            <w:r w:rsidRPr="003069B0">
              <w:rPr>
                <w:rStyle w:val="Hyperlink"/>
                <w:noProof/>
              </w:rPr>
              <w:t>4.1 Introduction to the Data</w:t>
            </w:r>
            <w:r>
              <w:rPr>
                <w:noProof/>
                <w:webHidden/>
              </w:rPr>
              <w:tab/>
            </w:r>
            <w:r>
              <w:rPr>
                <w:noProof/>
                <w:webHidden/>
              </w:rPr>
              <w:fldChar w:fldCharType="begin"/>
            </w:r>
            <w:r>
              <w:rPr>
                <w:noProof/>
                <w:webHidden/>
              </w:rPr>
              <w:instrText xml:space="preserve"> PAGEREF _Toc209826971 \h </w:instrText>
            </w:r>
            <w:r>
              <w:rPr>
                <w:noProof/>
                <w:webHidden/>
              </w:rPr>
            </w:r>
            <w:r>
              <w:rPr>
                <w:noProof/>
                <w:webHidden/>
              </w:rPr>
              <w:fldChar w:fldCharType="separate"/>
            </w:r>
            <w:r>
              <w:rPr>
                <w:noProof/>
                <w:webHidden/>
              </w:rPr>
              <w:t>20</w:t>
            </w:r>
            <w:r>
              <w:rPr>
                <w:noProof/>
                <w:webHidden/>
              </w:rPr>
              <w:fldChar w:fldCharType="end"/>
            </w:r>
          </w:hyperlink>
        </w:p>
        <w:p w14:paraId="455ECECB" w14:textId="5A0ED16B"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2" w:history="1">
            <w:r w:rsidRPr="003069B0">
              <w:rPr>
                <w:rStyle w:val="Hyperlink"/>
                <w:noProof/>
              </w:rPr>
              <w:t>4.2 Descriptive Statistics</w:t>
            </w:r>
            <w:r>
              <w:rPr>
                <w:noProof/>
                <w:webHidden/>
              </w:rPr>
              <w:tab/>
            </w:r>
            <w:r>
              <w:rPr>
                <w:noProof/>
                <w:webHidden/>
              </w:rPr>
              <w:fldChar w:fldCharType="begin"/>
            </w:r>
            <w:r>
              <w:rPr>
                <w:noProof/>
                <w:webHidden/>
              </w:rPr>
              <w:instrText xml:space="preserve"> PAGEREF _Toc209826972 \h </w:instrText>
            </w:r>
            <w:r>
              <w:rPr>
                <w:noProof/>
                <w:webHidden/>
              </w:rPr>
            </w:r>
            <w:r>
              <w:rPr>
                <w:noProof/>
                <w:webHidden/>
              </w:rPr>
              <w:fldChar w:fldCharType="separate"/>
            </w:r>
            <w:r>
              <w:rPr>
                <w:noProof/>
                <w:webHidden/>
              </w:rPr>
              <w:t>21</w:t>
            </w:r>
            <w:r>
              <w:rPr>
                <w:noProof/>
                <w:webHidden/>
              </w:rPr>
              <w:fldChar w:fldCharType="end"/>
            </w:r>
          </w:hyperlink>
        </w:p>
        <w:p w14:paraId="61302865" w14:textId="44773889"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3" w:history="1">
            <w:r w:rsidRPr="003069B0">
              <w:rPr>
                <w:rStyle w:val="Hyperlink"/>
                <w:noProof/>
              </w:rPr>
              <w:t>4.3 Question-by-Question Analysis</w:t>
            </w:r>
            <w:r>
              <w:rPr>
                <w:noProof/>
                <w:webHidden/>
              </w:rPr>
              <w:tab/>
            </w:r>
            <w:r>
              <w:rPr>
                <w:noProof/>
                <w:webHidden/>
              </w:rPr>
              <w:fldChar w:fldCharType="begin"/>
            </w:r>
            <w:r>
              <w:rPr>
                <w:noProof/>
                <w:webHidden/>
              </w:rPr>
              <w:instrText xml:space="preserve"> PAGEREF _Toc209826973 \h </w:instrText>
            </w:r>
            <w:r>
              <w:rPr>
                <w:noProof/>
                <w:webHidden/>
              </w:rPr>
            </w:r>
            <w:r>
              <w:rPr>
                <w:noProof/>
                <w:webHidden/>
              </w:rPr>
              <w:fldChar w:fldCharType="separate"/>
            </w:r>
            <w:r>
              <w:rPr>
                <w:noProof/>
                <w:webHidden/>
              </w:rPr>
              <w:t>21</w:t>
            </w:r>
            <w:r>
              <w:rPr>
                <w:noProof/>
                <w:webHidden/>
              </w:rPr>
              <w:fldChar w:fldCharType="end"/>
            </w:r>
          </w:hyperlink>
        </w:p>
        <w:p w14:paraId="0F8AA50D" w14:textId="788E1610"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4" w:history="1">
            <w:r w:rsidRPr="003069B0">
              <w:rPr>
                <w:rStyle w:val="Hyperlink"/>
                <w:noProof/>
              </w:rPr>
              <w:t>4.4 Demographic Patterns</w:t>
            </w:r>
            <w:r>
              <w:rPr>
                <w:noProof/>
                <w:webHidden/>
              </w:rPr>
              <w:tab/>
            </w:r>
            <w:r>
              <w:rPr>
                <w:noProof/>
                <w:webHidden/>
              </w:rPr>
              <w:fldChar w:fldCharType="begin"/>
            </w:r>
            <w:r>
              <w:rPr>
                <w:noProof/>
                <w:webHidden/>
              </w:rPr>
              <w:instrText xml:space="preserve"> PAGEREF _Toc209826974 \h </w:instrText>
            </w:r>
            <w:r>
              <w:rPr>
                <w:noProof/>
                <w:webHidden/>
              </w:rPr>
            </w:r>
            <w:r>
              <w:rPr>
                <w:noProof/>
                <w:webHidden/>
              </w:rPr>
              <w:fldChar w:fldCharType="separate"/>
            </w:r>
            <w:r>
              <w:rPr>
                <w:noProof/>
                <w:webHidden/>
              </w:rPr>
              <w:t>22</w:t>
            </w:r>
            <w:r>
              <w:rPr>
                <w:noProof/>
                <w:webHidden/>
              </w:rPr>
              <w:fldChar w:fldCharType="end"/>
            </w:r>
          </w:hyperlink>
        </w:p>
        <w:p w14:paraId="54EAAEF3" w14:textId="3BA62B6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5" w:history="1">
            <w:r w:rsidRPr="003069B0">
              <w:rPr>
                <w:rStyle w:val="Hyperlink"/>
                <w:noProof/>
              </w:rPr>
              <w:t>4.5 Thematic Insights</w:t>
            </w:r>
            <w:r>
              <w:rPr>
                <w:noProof/>
                <w:webHidden/>
              </w:rPr>
              <w:tab/>
            </w:r>
            <w:r>
              <w:rPr>
                <w:noProof/>
                <w:webHidden/>
              </w:rPr>
              <w:fldChar w:fldCharType="begin"/>
            </w:r>
            <w:r>
              <w:rPr>
                <w:noProof/>
                <w:webHidden/>
              </w:rPr>
              <w:instrText xml:space="preserve"> PAGEREF _Toc209826975 \h </w:instrText>
            </w:r>
            <w:r>
              <w:rPr>
                <w:noProof/>
                <w:webHidden/>
              </w:rPr>
            </w:r>
            <w:r>
              <w:rPr>
                <w:noProof/>
                <w:webHidden/>
              </w:rPr>
              <w:fldChar w:fldCharType="separate"/>
            </w:r>
            <w:r>
              <w:rPr>
                <w:noProof/>
                <w:webHidden/>
              </w:rPr>
              <w:t>22</w:t>
            </w:r>
            <w:r>
              <w:rPr>
                <w:noProof/>
                <w:webHidden/>
              </w:rPr>
              <w:fldChar w:fldCharType="end"/>
            </w:r>
          </w:hyperlink>
        </w:p>
        <w:p w14:paraId="4A468834" w14:textId="5316070E"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6" w:history="1">
            <w:r w:rsidRPr="003069B0">
              <w:rPr>
                <w:rStyle w:val="Hyperlink"/>
                <w:noProof/>
              </w:rPr>
              <w:t>4.6 Summary</w:t>
            </w:r>
            <w:r>
              <w:rPr>
                <w:noProof/>
                <w:webHidden/>
              </w:rPr>
              <w:tab/>
            </w:r>
            <w:r>
              <w:rPr>
                <w:noProof/>
                <w:webHidden/>
              </w:rPr>
              <w:fldChar w:fldCharType="begin"/>
            </w:r>
            <w:r>
              <w:rPr>
                <w:noProof/>
                <w:webHidden/>
              </w:rPr>
              <w:instrText xml:space="preserve"> PAGEREF _Toc209826976 \h </w:instrText>
            </w:r>
            <w:r>
              <w:rPr>
                <w:noProof/>
                <w:webHidden/>
              </w:rPr>
            </w:r>
            <w:r>
              <w:rPr>
                <w:noProof/>
                <w:webHidden/>
              </w:rPr>
              <w:fldChar w:fldCharType="separate"/>
            </w:r>
            <w:r>
              <w:rPr>
                <w:noProof/>
                <w:webHidden/>
              </w:rPr>
              <w:t>23</w:t>
            </w:r>
            <w:r>
              <w:rPr>
                <w:noProof/>
                <w:webHidden/>
              </w:rPr>
              <w:fldChar w:fldCharType="end"/>
            </w:r>
          </w:hyperlink>
        </w:p>
        <w:p w14:paraId="0EE40A43" w14:textId="4660CC73"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77" w:history="1">
            <w:r w:rsidRPr="003069B0">
              <w:rPr>
                <w:rStyle w:val="Hyperlink"/>
                <w:noProof/>
              </w:rPr>
              <w:t>Chapter 5: Findings and Conclusion</w:t>
            </w:r>
            <w:r>
              <w:rPr>
                <w:noProof/>
                <w:webHidden/>
              </w:rPr>
              <w:tab/>
            </w:r>
            <w:r>
              <w:rPr>
                <w:noProof/>
                <w:webHidden/>
              </w:rPr>
              <w:fldChar w:fldCharType="begin"/>
            </w:r>
            <w:r>
              <w:rPr>
                <w:noProof/>
                <w:webHidden/>
              </w:rPr>
              <w:instrText xml:space="preserve"> PAGEREF _Toc209826977 \h </w:instrText>
            </w:r>
            <w:r>
              <w:rPr>
                <w:noProof/>
                <w:webHidden/>
              </w:rPr>
            </w:r>
            <w:r>
              <w:rPr>
                <w:noProof/>
                <w:webHidden/>
              </w:rPr>
              <w:fldChar w:fldCharType="separate"/>
            </w:r>
            <w:r>
              <w:rPr>
                <w:noProof/>
                <w:webHidden/>
              </w:rPr>
              <w:t>23</w:t>
            </w:r>
            <w:r>
              <w:rPr>
                <w:noProof/>
                <w:webHidden/>
              </w:rPr>
              <w:fldChar w:fldCharType="end"/>
            </w:r>
          </w:hyperlink>
        </w:p>
        <w:p w14:paraId="5D6A57DF" w14:textId="3BF88050"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8" w:history="1">
            <w:r w:rsidRPr="003069B0">
              <w:rPr>
                <w:rStyle w:val="Hyperlink"/>
                <w:noProof/>
              </w:rPr>
              <w:t>5.1 Introduction</w:t>
            </w:r>
            <w:r>
              <w:rPr>
                <w:noProof/>
                <w:webHidden/>
              </w:rPr>
              <w:tab/>
            </w:r>
            <w:r>
              <w:rPr>
                <w:noProof/>
                <w:webHidden/>
              </w:rPr>
              <w:fldChar w:fldCharType="begin"/>
            </w:r>
            <w:r>
              <w:rPr>
                <w:noProof/>
                <w:webHidden/>
              </w:rPr>
              <w:instrText xml:space="preserve"> PAGEREF _Toc209826978 \h </w:instrText>
            </w:r>
            <w:r>
              <w:rPr>
                <w:noProof/>
                <w:webHidden/>
              </w:rPr>
            </w:r>
            <w:r>
              <w:rPr>
                <w:noProof/>
                <w:webHidden/>
              </w:rPr>
              <w:fldChar w:fldCharType="separate"/>
            </w:r>
            <w:r>
              <w:rPr>
                <w:noProof/>
                <w:webHidden/>
              </w:rPr>
              <w:t>23</w:t>
            </w:r>
            <w:r>
              <w:rPr>
                <w:noProof/>
                <w:webHidden/>
              </w:rPr>
              <w:fldChar w:fldCharType="end"/>
            </w:r>
          </w:hyperlink>
        </w:p>
        <w:p w14:paraId="53B9F44E" w14:textId="76F66011"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79" w:history="1">
            <w:r w:rsidRPr="003069B0">
              <w:rPr>
                <w:rStyle w:val="Hyperlink"/>
                <w:noProof/>
              </w:rPr>
              <w:t>5.2 Officer Safety and Confidence</w:t>
            </w:r>
            <w:r>
              <w:rPr>
                <w:noProof/>
                <w:webHidden/>
              </w:rPr>
              <w:tab/>
            </w:r>
            <w:r>
              <w:rPr>
                <w:noProof/>
                <w:webHidden/>
              </w:rPr>
              <w:fldChar w:fldCharType="begin"/>
            </w:r>
            <w:r>
              <w:rPr>
                <w:noProof/>
                <w:webHidden/>
              </w:rPr>
              <w:instrText xml:space="preserve"> PAGEREF _Toc209826979 \h </w:instrText>
            </w:r>
            <w:r>
              <w:rPr>
                <w:noProof/>
                <w:webHidden/>
              </w:rPr>
            </w:r>
            <w:r>
              <w:rPr>
                <w:noProof/>
                <w:webHidden/>
              </w:rPr>
              <w:fldChar w:fldCharType="separate"/>
            </w:r>
            <w:r>
              <w:rPr>
                <w:noProof/>
                <w:webHidden/>
              </w:rPr>
              <w:t>23</w:t>
            </w:r>
            <w:r>
              <w:rPr>
                <w:noProof/>
                <w:webHidden/>
              </w:rPr>
              <w:fldChar w:fldCharType="end"/>
            </w:r>
          </w:hyperlink>
        </w:p>
        <w:p w14:paraId="1FDE3C90" w14:textId="2CEA0CFF"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0" w:history="1">
            <w:r w:rsidRPr="003069B0">
              <w:rPr>
                <w:rStyle w:val="Hyperlink"/>
                <w:noProof/>
              </w:rPr>
              <w:t>5.3 Public Safety and Perceptions</w:t>
            </w:r>
            <w:r>
              <w:rPr>
                <w:noProof/>
                <w:webHidden/>
              </w:rPr>
              <w:tab/>
            </w:r>
            <w:r>
              <w:rPr>
                <w:noProof/>
                <w:webHidden/>
              </w:rPr>
              <w:fldChar w:fldCharType="begin"/>
            </w:r>
            <w:r>
              <w:rPr>
                <w:noProof/>
                <w:webHidden/>
              </w:rPr>
              <w:instrText xml:space="preserve"> PAGEREF _Toc209826980 \h </w:instrText>
            </w:r>
            <w:r>
              <w:rPr>
                <w:noProof/>
                <w:webHidden/>
              </w:rPr>
            </w:r>
            <w:r>
              <w:rPr>
                <w:noProof/>
                <w:webHidden/>
              </w:rPr>
              <w:fldChar w:fldCharType="separate"/>
            </w:r>
            <w:r>
              <w:rPr>
                <w:noProof/>
                <w:webHidden/>
              </w:rPr>
              <w:t>24</w:t>
            </w:r>
            <w:r>
              <w:rPr>
                <w:noProof/>
                <w:webHidden/>
              </w:rPr>
              <w:fldChar w:fldCharType="end"/>
            </w:r>
          </w:hyperlink>
        </w:p>
        <w:p w14:paraId="2BC62D31" w14:textId="0C564D17"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1" w:history="1">
            <w:r w:rsidRPr="003069B0">
              <w:rPr>
                <w:rStyle w:val="Hyperlink"/>
                <w:noProof/>
              </w:rPr>
              <w:t>5.4 Operational Effectiveness and Counter</w:t>
            </w:r>
            <w:r w:rsidRPr="003069B0">
              <w:rPr>
                <w:rStyle w:val="Hyperlink"/>
                <w:noProof/>
              </w:rPr>
              <w:noBreakHyphen/>
              <w:t>Terrorism</w:t>
            </w:r>
            <w:r>
              <w:rPr>
                <w:noProof/>
                <w:webHidden/>
              </w:rPr>
              <w:tab/>
            </w:r>
            <w:r>
              <w:rPr>
                <w:noProof/>
                <w:webHidden/>
              </w:rPr>
              <w:fldChar w:fldCharType="begin"/>
            </w:r>
            <w:r>
              <w:rPr>
                <w:noProof/>
                <w:webHidden/>
              </w:rPr>
              <w:instrText xml:space="preserve"> PAGEREF _Toc209826981 \h </w:instrText>
            </w:r>
            <w:r>
              <w:rPr>
                <w:noProof/>
                <w:webHidden/>
              </w:rPr>
            </w:r>
            <w:r>
              <w:rPr>
                <w:noProof/>
                <w:webHidden/>
              </w:rPr>
              <w:fldChar w:fldCharType="separate"/>
            </w:r>
            <w:r>
              <w:rPr>
                <w:noProof/>
                <w:webHidden/>
              </w:rPr>
              <w:t>24</w:t>
            </w:r>
            <w:r>
              <w:rPr>
                <w:noProof/>
                <w:webHidden/>
              </w:rPr>
              <w:fldChar w:fldCharType="end"/>
            </w:r>
          </w:hyperlink>
        </w:p>
        <w:p w14:paraId="6CC07236" w14:textId="46459240"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2" w:history="1">
            <w:r w:rsidRPr="003069B0">
              <w:rPr>
                <w:rStyle w:val="Hyperlink"/>
                <w:noProof/>
              </w:rPr>
              <w:t>5.5 Risks of Escalation and Use of Force</w:t>
            </w:r>
            <w:r>
              <w:rPr>
                <w:noProof/>
                <w:webHidden/>
              </w:rPr>
              <w:tab/>
            </w:r>
            <w:r>
              <w:rPr>
                <w:noProof/>
                <w:webHidden/>
              </w:rPr>
              <w:fldChar w:fldCharType="begin"/>
            </w:r>
            <w:r>
              <w:rPr>
                <w:noProof/>
                <w:webHidden/>
              </w:rPr>
              <w:instrText xml:space="preserve"> PAGEREF _Toc209826982 \h </w:instrText>
            </w:r>
            <w:r>
              <w:rPr>
                <w:noProof/>
                <w:webHidden/>
              </w:rPr>
            </w:r>
            <w:r>
              <w:rPr>
                <w:noProof/>
                <w:webHidden/>
              </w:rPr>
              <w:fldChar w:fldCharType="separate"/>
            </w:r>
            <w:r>
              <w:rPr>
                <w:noProof/>
                <w:webHidden/>
              </w:rPr>
              <w:t>24</w:t>
            </w:r>
            <w:r>
              <w:rPr>
                <w:noProof/>
                <w:webHidden/>
              </w:rPr>
              <w:fldChar w:fldCharType="end"/>
            </w:r>
          </w:hyperlink>
        </w:p>
        <w:p w14:paraId="2DEA7169" w14:textId="1C14A399"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3" w:history="1">
            <w:r w:rsidRPr="003069B0">
              <w:rPr>
                <w:rStyle w:val="Hyperlink"/>
                <w:noProof/>
              </w:rPr>
              <w:t>5.6 Community Trust and Legitimacy</w:t>
            </w:r>
            <w:r>
              <w:rPr>
                <w:noProof/>
                <w:webHidden/>
              </w:rPr>
              <w:tab/>
            </w:r>
            <w:r>
              <w:rPr>
                <w:noProof/>
                <w:webHidden/>
              </w:rPr>
              <w:fldChar w:fldCharType="begin"/>
            </w:r>
            <w:r>
              <w:rPr>
                <w:noProof/>
                <w:webHidden/>
              </w:rPr>
              <w:instrText xml:space="preserve"> PAGEREF _Toc209826983 \h </w:instrText>
            </w:r>
            <w:r>
              <w:rPr>
                <w:noProof/>
                <w:webHidden/>
              </w:rPr>
            </w:r>
            <w:r>
              <w:rPr>
                <w:noProof/>
                <w:webHidden/>
              </w:rPr>
              <w:fldChar w:fldCharType="separate"/>
            </w:r>
            <w:r>
              <w:rPr>
                <w:noProof/>
                <w:webHidden/>
              </w:rPr>
              <w:t>25</w:t>
            </w:r>
            <w:r>
              <w:rPr>
                <w:noProof/>
                <w:webHidden/>
              </w:rPr>
              <w:fldChar w:fldCharType="end"/>
            </w:r>
          </w:hyperlink>
        </w:p>
        <w:p w14:paraId="160DA349" w14:textId="5EF8AFE2"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4" w:history="1">
            <w:r w:rsidRPr="003069B0">
              <w:rPr>
                <w:rStyle w:val="Hyperlink"/>
                <w:noProof/>
              </w:rPr>
              <w:t>5.7 Deterrence</w:t>
            </w:r>
            <w:r>
              <w:rPr>
                <w:noProof/>
                <w:webHidden/>
              </w:rPr>
              <w:tab/>
            </w:r>
            <w:r>
              <w:rPr>
                <w:noProof/>
                <w:webHidden/>
              </w:rPr>
              <w:fldChar w:fldCharType="begin"/>
            </w:r>
            <w:r>
              <w:rPr>
                <w:noProof/>
                <w:webHidden/>
              </w:rPr>
              <w:instrText xml:space="preserve"> PAGEREF _Toc209826984 \h </w:instrText>
            </w:r>
            <w:r>
              <w:rPr>
                <w:noProof/>
                <w:webHidden/>
              </w:rPr>
            </w:r>
            <w:r>
              <w:rPr>
                <w:noProof/>
                <w:webHidden/>
              </w:rPr>
              <w:fldChar w:fldCharType="separate"/>
            </w:r>
            <w:r>
              <w:rPr>
                <w:noProof/>
                <w:webHidden/>
              </w:rPr>
              <w:t>25</w:t>
            </w:r>
            <w:r>
              <w:rPr>
                <w:noProof/>
                <w:webHidden/>
              </w:rPr>
              <w:fldChar w:fldCharType="end"/>
            </w:r>
          </w:hyperlink>
        </w:p>
        <w:p w14:paraId="243DEEB4" w14:textId="0180193A"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5" w:history="1">
            <w:r w:rsidRPr="003069B0">
              <w:rPr>
                <w:rStyle w:val="Hyperlink"/>
                <w:noProof/>
              </w:rPr>
              <w:t>5.8 Demographic Patterns</w:t>
            </w:r>
            <w:r>
              <w:rPr>
                <w:noProof/>
                <w:webHidden/>
              </w:rPr>
              <w:tab/>
            </w:r>
            <w:r>
              <w:rPr>
                <w:noProof/>
                <w:webHidden/>
              </w:rPr>
              <w:fldChar w:fldCharType="begin"/>
            </w:r>
            <w:r>
              <w:rPr>
                <w:noProof/>
                <w:webHidden/>
              </w:rPr>
              <w:instrText xml:space="preserve"> PAGEREF _Toc209826985 \h </w:instrText>
            </w:r>
            <w:r>
              <w:rPr>
                <w:noProof/>
                <w:webHidden/>
              </w:rPr>
            </w:r>
            <w:r>
              <w:rPr>
                <w:noProof/>
                <w:webHidden/>
              </w:rPr>
              <w:fldChar w:fldCharType="separate"/>
            </w:r>
            <w:r>
              <w:rPr>
                <w:noProof/>
                <w:webHidden/>
              </w:rPr>
              <w:t>25</w:t>
            </w:r>
            <w:r>
              <w:rPr>
                <w:noProof/>
                <w:webHidden/>
              </w:rPr>
              <w:fldChar w:fldCharType="end"/>
            </w:r>
          </w:hyperlink>
        </w:p>
        <w:p w14:paraId="76FB384B" w14:textId="29BB2EE3"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6" w:history="1">
            <w:r w:rsidRPr="003069B0">
              <w:rPr>
                <w:rStyle w:val="Hyperlink"/>
                <w:noProof/>
              </w:rPr>
              <w:t>5.9 Overall Findings</w:t>
            </w:r>
            <w:r>
              <w:rPr>
                <w:noProof/>
                <w:webHidden/>
              </w:rPr>
              <w:tab/>
            </w:r>
            <w:r>
              <w:rPr>
                <w:noProof/>
                <w:webHidden/>
              </w:rPr>
              <w:fldChar w:fldCharType="begin"/>
            </w:r>
            <w:r>
              <w:rPr>
                <w:noProof/>
                <w:webHidden/>
              </w:rPr>
              <w:instrText xml:space="preserve"> PAGEREF _Toc209826986 \h </w:instrText>
            </w:r>
            <w:r>
              <w:rPr>
                <w:noProof/>
                <w:webHidden/>
              </w:rPr>
            </w:r>
            <w:r>
              <w:rPr>
                <w:noProof/>
                <w:webHidden/>
              </w:rPr>
              <w:fldChar w:fldCharType="separate"/>
            </w:r>
            <w:r>
              <w:rPr>
                <w:noProof/>
                <w:webHidden/>
              </w:rPr>
              <w:t>25</w:t>
            </w:r>
            <w:r>
              <w:rPr>
                <w:noProof/>
                <w:webHidden/>
              </w:rPr>
              <w:fldChar w:fldCharType="end"/>
            </w:r>
          </w:hyperlink>
        </w:p>
        <w:p w14:paraId="1EAB8B56" w14:textId="7420F68E"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7" w:history="1">
            <w:r w:rsidRPr="003069B0">
              <w:rPr>
                <w:rStyle w:val="Hyperlink"/>
                <w:noProof/>
              </w:rPr>
              <w:t>5.10 Conclusion</w:t>
            </w:r>
            <w:r>
              <w:rPr>
                <w:noProof/>
                <w:webHidden/>
              </w:rPr>
              <w:tab/>
            </w:r>
            <w:r>
              <w:rPr>
                <w:noProof/>
                <w:webHidden/>
              </w:rPr>
              <w:fldChar w:fldCharType="begin"/>
            </w:r>
            <w:r>
              <w:rPr>
                <w:noProof/>
                <w:webHidden/>
              </w:rPr>
              <w:instrText xml:space="preserve"> PAGEREF _Toc209826987 \h </w:instrText>
            </w:r>
            <w:r>
              <w:rPr>
                <w:noProof/>
                <w:webHidden/>
              </w:rPr>
            </w:r>
            <w:r>
              <w:rPr>
                <w:noProof/>
                <w:webHidden/>
              </w:rPr>
              <w:fldChar w:fldCharType="separate"/>
            </w:r>
            <w:r>
              <w:rPr>
                <w:noProof/>
                <w:webHidden/>
              </w:rPr>
              <w:t>26</w:t>
            </w:r>
            <w:r>
              <w:rPr>
                <w:noProof/>
                <w:webHidden/>
              </w:rPr>
              <w:fldChar w:fldCharType="end"/>
            </w:r>
          </w:hyperlink>
        </w:p>
        <w:p w14:paraId="360D1FE9" w14:textId="58BC01AB"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88" w:history="1">
            <w:r w:rsidRPr="003069B0">
              <w:rPr>
                <w:rStyle w:val="Hyperlink"/>
                <w:noProof/>
              </w:rPr>
              <w:t>Chapter 6: Recommendations</w:t>
            </w:r>
            <w:r>
              <w:rPr>
                <w:noProof/>
                <w:webHidden/>
              </w:rPr>
              <w:tab/>
            </w:r>
            <w:r>
              <w:rPr>
                <w:noProof/>
                <w:webHidden/>
              </w:rPr>
              <w:fldChar w:fldCharType="begin"/>
            </w:r>
            <w:r>
              <w:rPr>
                <w:noProof/>
                <w:webHidden/>
              </w:rPr>
              <w:instrText xml:space="preserve"> PAGEREF _Toc209826988 \h </w:instrText>
            </w:r>
            <w:r>
              <w:rPr>
                <w:noProof/>
                <w:webHidden/>
              </w:rPr>
            </w:r>
            <w:r>
              <w:rPr>
                <w:noProof/>
                <w:webHidden/>
              </w:rPr>
              <w:fldChar w:fldCharType="separate"/>
            </w:r>
            <w:r>
              <w:rPr>
                <w:noProof/>
                <w:webHidden/>
              </w:rPr>
              <w:t>26</w:t>
            </w:r>
            <w:r>
              <w:rPr>
                <w:noProof/>
                <w:webHidden/>
              </w:rPr>
              <w:fldChar w:fldCharType="end"/>
            </w:r>
          </w:hyperlink>
        </w:p>
        <w:p w14:paraId="308DF3EE" w14:textId="077DED4A"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89" w:history="1">
            <w:r w:rsidRPr="003069B0">
              <w:rPr>
                <w:rStyle w:val="Hyperlink"/>
                <w:noProof/>
              </w:rPr>
              <w:t>6.1 Introduction</w:t>
            </w:r>
            <w:r>
              <w:rPr>
                <w:noProof/>
                <w:webHidden/>
              </w:rPr>
              <w:tab/>
            </w:r>
            <w:r>
              <w:rPr>
                <w:noProof/>
                <w:webHidden/>
              </w:rPr>
              <w:fldChar w:fldCharType="begin"/>
            </w:r>
            <w:r>
              <w:rPr>
                <w:noProof/>
                <w:webHidden/>
              </w:rPr>
              <w:instrText xml:space="preserve"> PAGEREF _Toc209826989 \h </w:instrText>
            </w:r>
            <w:r>
              <w:rPr>
                <w:noProof/>
                <w:webHidden/>
              </w:rPr>
            </w:r>
            <w:r>
              <w:rPr>
                <w:noProof/>
                <w:webHidden/>
              </w:rPr>
              <w:fldChar w:fldCharType="separate"/>
            </w:r>
            <w:r>
              <w:rPr>
                <w:noProof/>
                <w:webHidden/>
              </w:rPr>
              <w:t>26</w:t>
            </w:r>
            <w:r>
              <w:rPr>
                <w:noProof/>
                <w:webHidden/>
              </w:rPr>
              <w:fldChar w:fldCharType="end"/>
            </w:r>
          </w:hyperlink>
        </w:p>
        <w:p w14:paraId="50D3B379" w14:textId="13236F50"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90" w:history="1">
            <w:r w:rsidRPr="003069B0">
              <w:rPr>
                <w:rStyle w:val="Hyperlink"/>
                <w:noProof/>
              </w:rPr>
              <w:t>6.2 Policy Recommendations</w:t>
            </w:r>
            <w:r>
              <w:rPr>
                <w:noProof/>
                <w:webHidden/>
              </w:rPr>
              <w:tab/>
            </w:r>
            <w:r>
              <w:rPr>
                <w:noProof/>
                <w:webHidden/>
              </w:rPr>
              <w:fldChar w:fldCharType="begin"/>
            </w:r>
            <w:r>
              <w:rPr>
                <w:noProof/>
                <w:webHidden/>
              </w:rPr>
              <w:instrText xml:space="preserve"> PAGEREF _Toc209826990 \h </w:instrText>
            </w:r>
            <w:r>
              <w:rPr>
                <w:noProof/>
                <w:webHidden/>
              </w:rPr>
            </w:r>
            <w:r>
              <w:rPr>
                <w:noProof/>
                <w:webHidden/>
              </w:rPr>
              <w:fldChar w:fldCharType="separate"/>
            </w:r>
            <w:r>
              <w:rPr>
                <w:noProof/>
                <w:webHidden/>
              </w:rPr>
              <w:t>26</w:t>
            </w:r>
            <w:r>
              <w:rPr>
                <w:noProof/>
                <w:webHidden/>
              </w:rPr>
              <w:fldChar w:fldCharType="end"/>
            </w:r>
          </w:hyperlink>
        </w:p>
        <w:p w14:paraId="649903C5" w14:textId="61FD2134"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91" w:history="1">
            <w:r w:rsidRPr="003069B0">
              <w:rPr>
                <w:rStyle w:val="Hyperlink"/>
                <w:noProof/>
              </w:rPr>
              <w:t>6.3 Practice Recommendations</w:t>
            </w:r>
            <w:r>
              <w:rPr>
                <w:noProof/>
                <w:webHidden/>
              </w:rPr>
              <w:tab/>
            </w:r>
            <w:r>
              <w:rPr>
                <w:noProof/>
                <w:webHidden/>
              </w:rPr>
              <w:fldChar w:fldCharType="begin"/>
            </w:r>
            <w:r>
              <w:rPr>
                <w:noProof/>
                <w:webHidden/>
              </w:rPr>
              <w:instrText xml:space="preserve"> PAGEREF _Toc209826991 \h </w:instrText>
            </w:r>
            <w:r>
              <w:rPr>
                <w:noProof/>
                <w:webHidden/>
              </w:rPr>
            </w:r>
            <w:r>
              <w:rPr>
                <w:noProof/>
                <w:webHidden/>
              </w:rPr>
              <w:fldChar w:fldCharType="separate"/>
            </w:r>
            <w:r>
              <w:rPr>
                <w:noProof/>
                <w:webHidden/>
              </w:rPr>
              <w:t>27</w:t>
            </w:r>
            <w:r>
              <w:rPr>
                <w:noProof/>
                <w:webHidden/>
              </w:rPr>
              <w:fldChar w:fldCharType="end"/>
            </w:r>
          </w:hyperlink>
        </w:p>
        <w:p w14:paraId="5D327C19" w14:textId="58F18182"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92" w:history="1">
            <w:r w:rsidRPr="003069B0">
              <w:rPr>
                <w:rStyle w:val="Hyperlink"/>
                <w:noProof/>
              </w:rPr>
              <w:t>6.4 Research Recommendations</w:t>
            </w:r>
            <w:r>
              <w:rPr>
                <w:noProof/>
                <w:webHidden/>
              </w:rPr>
              <w:tab/>
            </w:r>
            <w:r>
              <w:rPr>
                <w:noProof/>
                <w:webHidden/>
              </w:rPr>
              <w:fldChar w:fldCharType="begin"/>
            </w:r>
            <w:r>
              <w:rPr>
                <w:noProof/>
                <w:webHidden/>
              </w:rPr>
              <w:instrText xml:space="preserve"> PAGEREF _Toc209826992 \h </w:instrText>
            </w:r>
            <w:r>
              <w:rPr>
                <w:noProof/>
                <w:webHidden/>
              </w:rPr>
            </w:r>
            <w:r>
              <w:rPr>
                <w:noProof/>
                <w:webHidden/>
              </w:rPr>
              <w:fldChar w:fldCharType="separate"/>
            </w:r>
            <w:r>
              <w:rPr>
                <w:noProof/>
                <w:webHidden/>
              </w:rPr>
              <w:t>27</w:t>
            </w:r>
            <w:r>
              <w:rPr>
                <w:noProof/>
                <w:webHidden/>
              </w:rPr>
              <w:fldChar w:fldCharType="end"/>
            </w:r>
          </w:hyperlink>
        </w:p>
        <w:p w14:paraId="74CFBB9F" w14:textId="084C8529" w:rsidR="00612DF0" w:rsidRDefault="00612DF0">
          <w:pPr>
            <w:pStyle w:val="TOC2"/>
            <w:tabs>
              <w:tab w:val="right" w:leader="dot" w:pos="9016"/>
            </w:tabs>
            <w:rPr>
              <w:rFonts w:eastAsiaTheme="minorEastAsia" w:cstheme="minorBidi"/>
              <w:b w:val="0"/>
              <w:bCs w:val="0"/>
              <w:noProof/>
              <w:color w:val="auto"/>
              <w:kern w:val="2"/>
              <w:sz w:val="24"/>
              <w:szCs w:val="24"/>
              <w14:ligatures w14:val="standardContextual"/>
            </w:rPr>
          </w:pPr>
          <w:hyperlink w:anchor="_Toc209826993" w:history="1">
            <w:r w:rsidRPr="003069B0">
              <w:rPr>
                <w:rStyle w:val="Hyperlink"/>
                <w:noProof/>
              </w:rPr>
              <w:t>6.5 Conclusion</w:t>
            </w:r>
            <w:r>
              <w:rPr>
                <w:noProof/>
                <w:webHidden/>
              </w:rPr>
              <w:tab/>
            </w:r>
            <w:r>
              <w:rPr>
                <w:noProof/>
                <w:webHidden/>
              </w:rPr>
              <w:fldChar w:fldCharType="begin"/>
            </w:r>
            <w:r>
              <w:rPr>
                <w:noProof/>
                <w:webHidden/>
              </w:rPr>
              <w:instrText xml:space="preserve"> PAGEREF _Toc209826993 \h </w:instrText>
            </w:r>
            <w:r>
              <w:rPr>
                <w:noProof/>
                <w:webHidden/>
              </w:rPr>
            </w:r>
            <w:r>
              <w:rPr>
                <w:noProof/>
                <w:webHidden/>
              </w:rPr>
              <w:fldChar w:fldCharType="separate"/>
            </w:r>
            <w:r>
              <w:rPr>
                <w:noProof/>
                <w:webHidden/>
              </w:rPr>
              <w:t>27</w:t>
            </w:r>
            <w:r>
              <w:rPr>
                <w:noProof/>
                <w:webHidden/>
              </w:rPr>
              <w:fldChar w:fldCharType="end"/>
            </w:r>
          </w:hyperlink>
        </w:p>
        <w:p w14:paraId="605DBC38" w14:textId="1A556230"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94" w:history="1">
            <w:r w:rsidRPr="003069B0">
              <w:rPr>
                <w:rStyle w:val="Hyperlink"/>
                <w:noProof/>
              </w:rPr>
              <w:t>Bibliography</w:t>
            </w:r>
            <w:r>
              <w:rPr>
                <w:noProof/>
                <w:webHidden/>
              </w:rPr>
              <w:tab/>
            </w:r>
            <w:r>
              <w:rPr>
                <w:noProof/>
                <w:webHidden/>
              </w:rPr>
              <w:fldChar w:fldCharType="begin"/>
            </w:r>
            <w:r>
              <w:rPr>
                <w:noProof/>
                <w:webHidden/>
              </w:rPr>
              <w:instrText xml:space="preserve"> PAGEREF _Toc209826994 \h </w:instrText>
            </w:r>
            <w:r>
              <w:rPr>
                <w:noProof/>
                <w:webHidden/>
              </w:rPr>
            </w:r>
            <w:r>
              <w:rPr>
                <w:noProof/>
                <w:webHidden/>
              </w:rPr>
              <w:fldChar w:fldCharType="separate"/>
            </w:r>
            <w:r>
              <w:rPr>
                <w:noProof/>
                <w:webHidden/>
              </w:rPr>
              <w:t>28</w:t>
            </w:r>
            <w:r>
              <w:rPr>
                <w:noProof/>
                <w:webHidden/>
              </w:rPr>
              <w:fldChar w:fldCharType="end"/>
            </w:r>
          </w:hyperlink>
        </w:p>
        <w:p w14:paraId="070A9B1F" w14:textId="0916027E"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6995" w:history="1">
            <w:r w:rsidRPr="003069B0">
              <w:rPr>
                <w:rStyle w:val="Hyperlink"/>
                <w:rFonts w:ascii="Calibri" w:hAnsi="Calibri" w:cs="Calibri"/>
                <w:noProof/>
              </w:rPr>
              <w:t>Appendix A – Police Officer Survey Questionnaire</w:t>
            </w:r>
            <w:r>
              <w:rPr>
                <w:noProof/>
                <w:webHidden/>
              </w:rPr>
              <w:tab/>
            </w:r>
            <w:r>
              <w:rPr>
                <w:noProof/>
                <w:webHidden/>
              </w:rPr>
              <w:fldChar w:fldCharType="begin"/>
            </w:r>
            <w:r>
              <w:rPr>
                <w:noProof/>
                <w:webHidden/>
              </w:rPr>
              <w:instrText xml:space="preserve"> PAGEREF _Toc209826995 \h </w:instrText>
            </w:r>
            <w:r>
              <w:rPr>
                <w:noProof/>
                <w:webHidden/>
              </w:rPr>
            </w:r>
            <w:r>
              <w:rPr>
                <w:noProof/>
                <w:webHidden/>
              </w:rPr>
              <w:fldChar w:fldCharType="separate"/>
            </w:r>
            <w:r>
              <w:rPr>
                <w:noProof/>
                <w:webHidden/>
              </w:rPr>
              <w:t>33</w:t>
            </w:r>
            <w:r>
              <w:rPr>
                <w:noProof/>
                <w:webHidden/>
              </w:rPr>
              <w:fldChar w:fldCharType="end"/>
            </w:r>
          </w:hyperlink>
        </w:p>
        <w:p w14:paraId="1F37B23D" w14:textId="7934BCD9"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7013" w:history="1">
            <w:r w:rsidRPr="003069B0">
              <w:rPr>
                <w:rStyle w:val="Hyperlink"/>
                <w:rFonts w:ascii="Calibri" w:hAnsi="Calibri" w:cs="Calibri"/>
                <w:noProof/>
              </w:rPr>
              <w:t>Appendix B – Participant Information Sheet and Consent Form</w:t>
            </w:r>
            <w:r>
              <w:rPr>
                <w:noProof/>
                <w:webHidden/>
              </w:rPr>
              <w:tab/>
            </w:r>
            <w:r>
              <w:rPr>
                <w:noProof/>
                <w:webHidden/>
              </w:rPr>
              <w:fldChar w:fldCharType="begin"/>
            </w:r>
            <w:r>
              <w:rPr>
                <w:noProof/>
                <w:webHidden/>
              </w:rPr>
              <w:instrText xml:space="preserve"> PAGEREF _Toc209827013 \h </w:instrText>
            </w:r>
            <w:r>
              <w:rPr>
                <w:noProof/>
                <w:webHidden/>
              </w:rPr>
            </w:r>
            <w:r>
              <w:rPr>
                <w:noProof/>
                <w:webHidden/>
              </w:rPr>
              <w:fldChar w:fldCharType="separate"/>
            </w:r>
            <w:r>
              <w:rPr>
                <w:noProof/>
                <w:webHidden/>
              </w:rPr>
              <w:t>34</w:t>
            </w:r>
            <w:r>
              <w:rPr>
                <w:noProof/>
                <w:webHidden/>
              </w:rPr>
              <w:fldChar w:fldCharType="end"/>
            </w:r>
          </w:hyperlink>
        </w:p>
        <w:p w14:paraId="09BC3E13" w14:textId="16744CE6" w:rsidR="00612DF0" w:rsidRDefault="00612DF0">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7021" w:history="1">
            <w:r w:rsidRPr="003069B0">
              <w:rPr>
                <w:rStyle w:val="Hyperlink"/>
                <w:rFonts w:ascii="Calibri" w:hAnsi="Calibri" w:cs="Calibri"/>
                <w:noProof/>
              </w:rPr>
              <w:t>Appendix C – Research Proposal and Ethical Approval Application</w:t>
            </w:r>
            <w:r>
              <w:rPr>
                <w:noProof/>
                <w:webHidden/>
              </w:rPr>
              <w:tab/>
            </w:r>
            <w:r>
              <w:rPr>
                <w:noProof/>
                <w:webHidden/>
              </w:rPr>
              <w:fldChar w:fldCharType="begin"/>
            </w:r>
            <w:r>
              <w:rPr>
                <w:noProof/>
                <w:webHidden/>
              </w:rPr>
              <w:instrText xml:space="preserve"> PAGEREF _Toc209827021 \h </w:instrText>
            </w:r>
            <w:r>
              <w:rPr>
                <w:noProof/>
                <w:webHidden/>
              </w:rPr>
            </w:r>
            <w:r>
              <w:rPr>
                <w:noProof/>
                <w:webHidden/>
              </w:rPr>
              <w:fldChar w:fldCharType="separate"/>
            </w:r>
            <w:r>
              <w:rPr>
                <w:noProof/>
                <w:webHidden/>
              </w:rPr>
              <w:t>34</w:t>
            </w:r>
            <w:r>
              <w:rPr>
                <w:noProof/>
                <w:webHidden/>
              </w:rPr>
              <w:fldChar w:fldCharType="end"/>
            </w:r>
          </w:hyperlink>
        </w:p>
        <w:p w14:paraId="15A62663" w14:textId="7FBDEE09" w:rsidR="00612DF0" w:rsidRDefault="001B119D">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7036" w:history="1">
            <w:r w:rsidR="004141D9" w:rsidRPr="004141D9">
              <w:rPr>
                <w:rStyle w:val="Hyperlink"/>
                <w:b w:val="0"/>
                <w:noProof/>
                <w14:ligatures w14:val="standardContextual"/>
              </w:rPr>
              <w:object w:dxaOrig="760" w:dyaOrig="480" w14:anchorId="5906F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 style="width:92pt;height:58pt;mso-width-percent:0;mso-height-percent:0;mso-width-percent:0;mso-height-percent:0" o:ole="">
                  <v:imagedata r:id="rId7" o:title=""/>
                </v:shape>
                <o:OLEObject Type="Link" ProgID="Word.Document.12" ShapeID="_x0000_i1030" DrawAspect="Icon" r:id="rId8" UpdateMode="Always">
                  <o:LinkType>EnhancedMetaFile</o:LinkType>
                  <o:LockedField>false</o:LockedField>
                  <o:FieldCodes>\f 0</o:FieldCodes>
                </o:OLEObject>
              </w:object>
            </w:r>
            <w:r w:rsidR="00612DF0" w:rsidRPr="003069B0">
              <w:rPr>
                <w:rStyle w:val="Hyperlink"/>
                <w:rFonts w:ascii="Calibri" w:hAnsi="Calibri" w:cs="Calibri"/>
                <w:noProof/>
              </w:rPr>
              <w:t xml:space="preserve">  </w:t>
            </w:r>
            <w:r w:rsidR="004141D9" w:rsidRPr="004141D9">
              <w:rPr>
                <w:rStyle w:val="Hyperlink"/>
                <w:b w:val="0"/>
                <w:noProof/>
                <w14:ligatures w14:val="standardContextual"/>
              </w:rPr>
              <w:object w:dxaOrig="760" w:dyaOrig="480" w14:anchorId="73A4B6D8">
                <v:shape id="_x0000_i1029" type="#_x0000_t75" alt="" style="width:90pt;height:57pt;mso-width-percent:0;mso-height-percent:0;mso-width-percent:0;mso-height-percent:0" o:ole="">
                  <v:imagedata r:id="rId9" o:title=""/>
                </v:shape>
                <o:OLEObject Type="Link" ProgID="Word.Document.12" ShapeID="_x0000_i1029" DrawAspect="Icon" r:id="rId10" UpdateMode="Always">
                  <o:LinkType>EnhancedMetaFile</o:LinkType>
                  <o:LockedField>false</o:LockedField>
                  <o:FieldCodes>\f 0</o:FieldCodes>
                </o:OLEObject>
              </w:object>
            </w:r>
            <w:r w:rsidR="00612DF0">
              <w:rPr>
                <w:noProof/>
                <w:webHidden/>
              </w:rPr>
              <w:tab/>
            </w:r>
            <w:r w:rsidR="00612DF0">
              <w:rPr>
                <w:noProof/>
                <w:webHidden/>
              </w:rPr>
              <w:fldChar w:fldCharType="begin"/>
            </w:r>
            <w:r w:rsidR="00612DF0">
              <w:rPr>
                <w:noProof/>
                <w:webHidden/>
              </w:rPr>
              <w:instrText xml:space="preserve"> PAGEREF _Toc209827036 \h </w:instrText>
            </w:r>
            <w:r w:rsidR="00612DF0">
              <w:rPr>
                <w:noProof/>
                <w:webHidden/>
              </w:rPr>
            </w:r>
            <w:r w:rsidR="00612DF0">
              <w:rPr>
                <w:noProof/>
                <w:webHidden/>
              </w:rPr>
              <w:fldChar w:fldCharType="separate"/>
            </w:r>
            <w:r w:rsidR="00612DF0">
              <w:rPr>
                <w:noProof/>
                <w:webHidden/>
              </w:rPr>
              <w:t>35</w:t>
            </w:r>
            <w:r w:rsidR="00612DF0">
              <w:rPr>
                <w:noProof/>
                <w:webHidden/>
              </w:rPr>
              <w:fldChar w:fldCharType="end"/>
            </w:r>
          </w:hyperlink>
        </w:p>
        <w:p w14:paraId="0BF1E9AD" w14:textId="0C36408B" w:rsidR="00AD5037" w:rsidRPr="00FB7FDE" w:rsidRDefault="00612DF0" w:rsidP="00FB7FDE">
          <w:pPr>
            <w:pStyle w:val="TOC1"/>
            <w:tabs>
              <w:tab w:val="right" w:leader="dot" w:pos="9016"/>
            </w:tabs>
            <w:rPr>
              <w:rFonts w:eastAsiaTheme="minorEastAsia" w:cstheme="minorBidi"/>
              <w:b w:val="0"/>
              <w:bCs w:val="0"/>
              <w:i w:val="0"/>
              <w:iCs w:val="0"/>
              <w:noProof/>
              <w:color w:val="auto"/>
              <w:kern w:val="2"/>
              <w14:ligatures w14:val="standardContextual"/>
            </w:rPr>
          </w:pPr>
          <w:hyperlink w:anchor="_Toc209827037" w:history="1">
            <w:r w:rsidRPr="003069B0">
              <w:rPr>
                <w:rStyle w:val="Hyperlink"/>
                <w:rFonts w:ascii="Calibri" w:hAnsi="Calibri" w:cs="Calibri"/>
                <w:noProof/>
              </w:rPr>
              <w:t>Appendix D – Raw Data Tables and Figures</w:t>
            </w:r>
            <w:r>
              <w:rPr>
                <w:noProof/>
                <w:webHidden/>
              </w:rPr>
              <w:tab/>
            </w:r>
            <w:r>
              <w:rPr>
                <w:noProof/>
                <w:webHidden/>
              </w:rPr>
              <w:fldChar w:fldCharType="begin"/>
            </w:r>
            <w:r>
              <w:rPr>
                <w:noProof/>
                <w:webHidden/>
              </w:rPr>
              <w:instrText xml:space="preserve"> PAGEREF _Toc209827037 \h </w:instrText>
            </w:r>
            <w:r>
              <w:rPr>
                <w:noProof/>
                <w:webHidden/>
              </w:rPr>
            </w:r>
            <w:r>
              <w:rPr>
                <w:noProof/>
                <w:webHidden/>
              </w:rPr>
              <w:fldChar w:fldCharType="separate"/>
            </w:r>
            <w:r>
              <w:rPr>
                <w:noProof/>
                <w:webHidden/>
              </w:rPr>
              <w:t>35</w:t>
            </w:r>
            <w:r>
              <w:rPr>
                <w:noProof/>
                <w:webHidden/>
              </w:rPr>
              <w:fldChar w:fldCharType="end"/>
            </w:r>
          </w:hyperlink>
          <w:r w:rsidR="00AD5037">
            <w:rPr>
              <w:b w:val="0"/>
              <w:bCs w:val="0"/>
              <w:noProof/>
            </w:rPr>
            <w:fldChar w:fldCharType="end"/>
          </w:r>
        </w:p>
      </w:sdtContent>
    </w:sdt>
    <w:p w14:paraId="3526B0FB" w14:textId="77777777" w:rsidR="00D34E47" w:rsidRPr="00D34E47" w:rsidRDefault="00D34E47" w:rsidP="00D34E47">
      <w:pPr>
        <w:rPr>
          <w:rFonts w:ascii="Calibri" w:hAnsi="Calibri" w:cs="Calibri"/>
          <w:sz w:val="24"/>
          <w:szCs w:val="24"/>
        </w:rPr>
      </w:pPr>
    </w:p>
    <w:p w14:paraId="7F1667AC" w14:textId="77777777" w:rsidR="00D34E47" w:rsidRPr="00D34E47" w:rsidRDefault="00D34E47" w:rsidP="000B41E3">
      <w:pPr>
        <w:rPr>
          <w:rFonts w:ascii="Calibri" w:hAnsi="Calibri" w:cs="Calibri"/>
          <w:sz w:val="24"/>
          <w:szCs w:val="24"/>
        </w:rPr>
      </w:pPr>
    </w:p>
    <w:p w14:paraId="62C7BB30" w14:textId="77777777" w:rsidR="00D34E47" w:rsidRPr="00D34E47" w:rsidRDefault="00D34E47" w:rsidP="000B41E3">
      <w:pPr>
        <w:rPr>
          <w:rFonts w:ascii="Calibri" w:hAnsi="Calibri" w:cs="Calibri"/>
          <w:sz w:val="24"/>
          <w:szCs w:val="24"/>
        </w:rPr>
      </w:pPr>
    </w:p>
    <w:p w14:paraId="78127739" w14:textId="77777777" w:rsidR="00D34E47" w:rsidRPr="00D34E47" w:rsidRDefault="00D34E47" w:rsidP="000B41E3">
      <w:pPr>
        <w:rPr>
          <w:rFonts w:ascii="Calibri" w:hAnsi="Calibri" w:cs="Calibri"/>
          <w:sz w:val="24"/>
          <w:szCs w:val="24"/>
        </w:rPr>
      </w:pPr>
    </w:p>
    <w:p w14:paraId="7C4506AD" w14:textId="0448D8E9" w:rsidR="00BC35FC" w:rsidRPr="00BC35FC" w:rsidRDefault="00BC35FC" w:rsidP="00BC35FC">
      <w:pPr>
        <w:rPr>
          <w:rFonts w:ascii="Calibri" w:eastAsiaTheme="majorEastAsia" w:hAnsi="Calibri" w:cs="Calibri"/>
          <w:b/>
          <w:bCs/>
          <w:color w:val="auto"/>
          <w:sz w:val="24"/>
          <w:szCs w:val="24"/>
        </w:rPr>
      </w:pPr>
      <w:bookmarkStart w:id="10" w:name="_Abstract"/>
      <w:bookmarkEnd w:id="10"/>
      <w:r w:rsidRPr="00BC35FC">
        <w:rPr>
          <w:rFonts w:ascii="Calibri" w:eastAsiaTheme="majorEastAsia" w:hAnsi="Calibri" w:cs="Calibri"/>
          <w:b/>
          <w:bCs/>
          <w:color w:val="auto"/>
          <w:sz w:val="24"/>
          <w:szCs w:val="24"/>
        </w:rPr>
        <w:t xml:space="preserve">Abstract </w:t>
      </w:r>
    </w:p>
    <w:p w14:paraId="5FD2426C" w14:textId="44A053F1" w:rsidR="00675BF8" w:rsidRDefault="00675BF8" w:rsidP="00675BF8">
      <w:pPr>
        <w:rPr>
          <w:rFonts w:ascii="Calibri" w:eastAsiaTheme="majorEastAsia" w:hAnsi="Calibri" w:cs="Calibri"/>
          <w:color w:val="auto"/>
          <w:sz w:val="24"/>
          <w:szCs w:val="24"/>
        </w:rPr>
      </w:pPr>
      <w:r w:rsidRPr="00675BF8">
        <w:rPr>
          <w:rFonts w:ascii="Calibri" w:eastAsiaTheme="majorEastAsia" w:hAnsi="Calibri" w:cs="Calibri"/>
          <w:color w:val="auto"/>
          <w:sz w:val="24"/>
          <w:szCs w:val="24"/>
        </w:rPr>
        <w:t>This dissertation investigates whether all Police officers in the United Kingdom should be routinely armed. The UK has historically maintained an unarmed model of Policing by consent</w:t>
      </w:r>
      <w:r w:rsidR="004E1F12">
        <w:rPr>
          <w:rFonts w:ascii="Calibri" w:eastAsiaTheme="majorEastAsia" w:hAnsi="Calibri" w:cs="Calibri"/>
          <w:color w:val="auto"/>
          <w:sz w:val="24"/>
          <w:szCs w:val="24"/>
        </w:rPr>
        <w:t>. Yet,</w:t>
      </w:r>
      <w:r w:rsidRPr="00675BF8">
        <w:rPr>
          <w:rFonts w:ascii="Calibri" w:eastAsiaTheme="majorEastAsia" w:hAnsi="Calibri" w:cs="Calibri"/>
          <w:color w:val="auto"/>
          <w:sz w:val="24"/>
          <w:szCs w:val="24"/>
        </w:rPr>
        <w:t xml:space="preserve"> rising levels of violent crime and the persistent threat of terrorism have reignited debate about officer safety and public reassurance. </w:t>
      </w:r>
      <w:r w:rsidR="004E1F12">
        <w:rPr>
          <w:rFonts w:ascii="Calibri" w:eastAsiaTheme="majorEastAsia" w:hAnsi="Calibri" w:cs="Calibri"/>
          <w:color w:val="auto"/>
          <w:sz w:val="24"/>
          <w:szCs w:val="24"/>
        </w:rPr>
        <w:t>A</w:t>
      </w:r>
      <w:r w:rsidRPr="00675BF8">
        <w:rPr>
          <w:rFonts w:ascii="Calibri" w:eastAsiaTheme="majorEastAsia" w:hAnsi="Calibri" w:cs="Calibri"/>
          <w:color w:val="auto"/>
          <w:sz w:val="24"/>
          <w:szCs w:val="24"/>
        </w:rPr>
        <w:t xml:space="preserve"> survey of twelve serving officers was conducted</w:t>
      </w:r>
      <w:r w:rsidR="004E1F12">
        <w:rPr>
          <w:rFonts w:ascii="Calibri" w:eastAsiaTheme="majorEastAsia" w:hAnsi="Calibri" w:cs="Calibri"/>
          <w:color w:val="auto"/>
          <w:sz w:val="24"/>
          <w:szCs w:val="24"/>
        </w:rPr>
        <w:t xml:space="preserve"> to explore this issue</w:t>
      </w:r>
      <w:r w:rsidRPr="00675BF8">
        <w:rPr>
          <w:rFonts w:ascii="Calibri" w:eastAsiaTheme="majorEastAsia" w:hAnsi="Calibri" w:cs="Calibri"/>
          <w:color w:val="auto"/>
          <w:sz w:val="24"/>
          <w:szCs w:val="24"/>
        </w:rPr>
        <w:t>, examining attitudes toward routine arming across dimensions of safety, deterrence, escalation, and legitimacy.</w:t>
      </w:r>
      <w:r w:rsidR="00D34E47">
        <w:rPr>
          <w:rFonts w:ascii="Calibri" w:eastAsiaTheme="majorEastAsia" w:hAnsi="Calibri" w:cs="Calibri"/>
          <w:color w:val="auto"/>
          <w:sz w:val="24"/>
          <w:szCs w:val="24"/>
        </w:rPr>
        <w:t xml:space="preserve"> </w:t>
      </w:r>
    </w:p>
    <w:p w14:paraId="1C96624C" w14:textId="77777777" w:rsidR="00675BF8" w:rsidRPr="00675BF8" w:rsidRDefault="00675BF8" w:rsidP="00675BF8">
      <w:pPr>
        <w:rPr>
          <w:rFonts w:ascii="Calibri" w:eastAsiaTheme="majorEastAsia" w:hAnsi="Calibri" w:cs="Calibri"/>
          <w:color w:val="auto"/>
          <w:sz w:val="24"/>
          <w:szCs w:val="24"/>
        </w:rPr>
      </w:pPr>
    </w:p>
    <w:p w14:paraId="204B113D" w14:textId="6DF6C5A4" w:rsidR="00675BF8" w:rsidRDefault="00675BF8" w:rsidP="00675BF8">
      <w:pPr>
        <w:rPr>
          <w:rFonts w:ascii="Calibri" w:eastAsiaTheme="majorEastAsia" w:hAnsi="Calibri" w:cs="Calibri"/>
          <w:color w:val="auto"/>
          <w:sz w:val="24"/>
          <w:szCs w:val="24"/>
        </w:rPr>
      </w:pPr>
      <w:r w:rsidRPr="00675BF8">
        <w:rPr>
          <w:rFonts w:ascii="Calibri" w:eastAsiaTheme="majorEastAsia" w:hAnsi="Calibri" w:cs="Calibri"/>
          <w:color w:val="auto"/>
          <w:sz w:val="24"/>
          <w:szCs w:val="24"/>
        </w:rPr>
        <w:t xml:space="preserve">The results revealed strong agreement that routine arming would enhance officer safety, improve confidence through training, and strengthen responses to terrorism and violent crime. Officers also believed that arming could deter violent offenders. However, significant concerns were expressed about the potential for escalation, the risk of unnecessary force, and the erosion of community trust. Overall support leaned toward arming but was tempered by caution, reflecting a profession divided between operational necessity and </w:t>
      </w:r>
      <w:r w:rsidR="004E1F12">
        <w:rPr>
          <w:rFonts w:ascii="Calibri" w:eastAsiaTheme="majorEastAsia" w:hAnsi="Calibri" w:cs="Calibri"/>
          <w:color w:val="auto"/>
          <w:sz w:val="24"/>
          <w:szCs w:val="24"/>
        </w:rPr>
        <w:t>preserving</w:t>
      </w:r>
      <w:r w:rsidRPr="00675BF8">
        <w:rPr>
          <w:rFonts w:ascii="Calibri" w:eastAsiaTheme="majorEastAsia" w:hAnsi="Calibri" w:cs="Calibri"/>
          <w:color w:val="auto"/>
          <w:sz w:val="24"/>
          <w:szCs w:val="24"/>
        </w:rPr>
        <w:t xml:space="preserve"> legitimacy.</w:t>
      </w:r>
    </w:p>
    <w:p w14:paraId="3956169E" w14:textId="77777777" w:rsidR="003E7B1C" w:rsidRPr="00675BF8" w:rsidRDefault="003E7B1C" w:rsidP="00675BF8">
      <w:pPr>
        <w:rPr>
          <w:rFonts w:ascii="Calibri" w:eastAsiaTheme="majorEastAsia" w:hAnsi="Calibri" w:cs="Calibri"/>
          <w:color w:val="auto"/>
          <w:sz w:val="24"/>
          <w:szCs w:val="24"/>
        </w:rPr>
      </w:pPr>
    </w:p>
    <w:p w14:paraId="7AE10921" w14:textId="2F092741" w:rsidR="00675BF8" w:rsidRPr="00675BF8" w:rsidRDefault="00675BF8" w:rsidP="00675BF8">
      <w:pPr>
        <w:rPr>
          <w:rFonts w:ascii="Calibri" w:eastAsiaTheme="majorEastAsia" w:hAnsi="Calibri" w:cs="Calibri"/>
          <w:color w:val="auto"/>
          <w:sz w:val="24"/>
          <w:szCs w:val="24"/>
        </w:rPr>
      </w:pPr>
      <w:r w:rsidRPr="00675BF8">
        <w:rPr>
          <w:rFonts w:ascii="Calibri" w:eastAsiaTheme="majorEastAsia" w:hAnsi="Calibri" w:cs="Calibri"/>
          <w:color w:val="auto"/>
          <w:sz w:val="24"/>
          <w:szCs w:val="24"/>
        </w:rPr>
        <w:t>By foregrounding officer perspectives, this study contributes to a debate dominated by public opinion and policy discourse. It concludes that while routine arming may offer short</w:t>
      </w:r>
      <w:r w:rsidR="003E7B1C">
        <w:rPr>
          <w:rFonts w:ascii="Calibri" w:eastAsiaTheme="majorEastAsia" w:hAnsi="Calibri" w:cs="Calibri"/>
          <w:color w:val="auto"/>
          <w:sz w:val="24"/>
          <w:szCs w:val="24"/>
        </w:rPr>
        <w:t>-</w:t>
      </w:r>
      <w:r w:rsidRPr="00675BF8">
        <w:rPr>
          <w:rFonts w:ascii="Calibri" w:eastAsiaTheme="majorEastAsia" w:hAnsi="Calibri" w:cs="Calibri"/>
          <w:color w:val="auto"/>
          <w:sz w:val="24"/>
          <w:szCs w:val="24"/>
        </w:rPr>
        <w:t>term operational benefits, it carries long</w:t>
      </w:r>
      <w:r w:rsidR="003E7B1C">
        <w:rPr>
          <w:rFonts w:ascii="Calibri" w:eastAsiaTheme="majorEastAsia" w:hAnsi="Calibri" w:cs="Calibri"/>
          <w:color w:val="auto"/>
          <w:sz w:val="24"/>
          <w:szCs w:val="24"/>
        </w:rPr>
        <w:t>-</w:t>
      </w:r>
      <w:r w:rsidRPr="00675BF8">
        <w:rPr>
          <w:rFonts w:ascii="Calibri" w:eastAsiaTheme="majorEastAsia" w:hAnsi="Calibri" w:cs="Calibri"/>
          <w:color w:val="auto"/>
          <w:sz w:val="24"/>
          <w:szCs w:val="24"/>
        </w:rPr>
        <w:t>term risks to the character of British Policing. Recommendations include maintaining the current model of specialist arming, enhancing non</w:t>
      </w:r>
      <w:r w:rsidR="003E7B1C">
        <w:rPr>
          <w:rFonts w:ascii="Calibri" w:eastAsiaTheme="majorEastAsia" w:hAnsi="Calibri" w:cs="Calibri"/>
          <w:color w:val="auto"/>
          <w:sz w:val="24"/>
          <w:szCs w:val="24"/>
        </w:rPr>
        <w:t>-</w:t>
      </w:r>
      <w:r w:rsidRPr="00675BF8">
        <w:rPr>
          <w:rFonts w:ascii="Calibri" w:eastAsiaTheme="majorEastAsia" w:hAnsi="Calibri" w:cs="Calibri"/>
          <w:color w:val="auto"/>
          <w:sz w:val="24"/>
          <w:szCs w:val="24"/>
        </w:rPr>
        <w:t>lethal protections, strengthening training, and investing in community engagement.</w:t>
      </w:r>
    </w:p>
    <w:p w14:paraId="5C0237D5" w14:textId="77777777" w:rsidR="00BC35FC" w:rsidRPr="00BC35FC" w:rsidRDefault="00BC35FC" w:rsidP="00BC35FC">
      <w:pPr>
        <w:rPr>
          <w:rFonts w:ascii="Calibri" w:eastAsiaTheme="majorEastAsia" w:hAnsi="Calibri" w:cs="Calibri"/>
          <w:color w:val="auto"/>
          <w:sz w:val="24"/>
          <w:szCs w:val="24"/>
        </w:rPr>
      </w:pPr>
    </w:p>
    <w:p w14:paraId="4E60CD8E" w14:textId="77777777" w:rsidR="00BC35FC" w:rsidRPr="00C91395" w:rsidRDefault="00BC35FC" w:rsidP="00BC35FC">
      <w:pPr>
        <w:rPr>
          <w:rFonts w:ascii="Calibri" w:eastAsiaTheme="majorEastAsia" w:hAnsi="Calibri" w:cs="Calibri"/>
          <w:i/>
          <w:iCs/>
          <w:color w:val="auto"/>
          <w:sz w:val="24"/>
          <w:szCs w:val="24"/>
        </w:rPr>
      </w:pPr>
    </w:p>
    <w:p w14:paraId="79FCEDB3" w14:textId="77777777" w:rsidR="00BC35FC" w:rsidRPr="00BC35FC" w:rsidRDefault="00BC35FC" w:rsidP="00BC35FC">
      <w:pPr>
        <w:rPr>
          <w:rFonts w:ascii="Calibri" w:eastAsiaTheme="majorEastAsia" w:hAnsi="Calibri" w:cs="Calibri"/>
          <w:color w:val="auto"/>
          <w:sz w:val="24"/>
          <w:szCs w:val="24"/>
        </w:rPr>
      </w:pPr>
    </w:p>
    <w:p w14:paraId="2AFAF367" w14:textId="77777777" w:rsidR="00D13B1A" w:rsidRDefault="00D13B1A" w:rsidP="00D34E47">
      <w:pPr>
        <w:pStyle w:val="Heading1"/>
      </w:pPr>
    </w:p>
    <w:p w14:paraId="404270CA" w14:textId="77777777" w:rsidR="00D13B1A" w:rsidRDefault="00D13B1A" w:rsidP="00D13B1A"/>
    <w:p w14:paraId="70A6B5B7" w14:textId="77777777" w:rsidR="00D13B1A" w:rsidRDefault="00D13B1A" w:rsidP="00D13B1A"/>
    <w:p w14:paraId="465B39F0" w14:textId="77777777" w:rsidR="001B26CB" w:rsidRDefault="001B26CB" w:rsidP="00D13B1A"/>
    <w:p w14:paraId="1A0D6D47" w14:textId="77777777" w:rsidR="001B26CB" w:rsidRDefault="001B26CB" w:rsidP="001B26CB"/>
    <w:p w14:paraId="61231C5B" w14:textId="77777777" w:rsidR="003E7B1C" w:rsidRDefault="003E7B1C" w:rsidP="001B26CB"/>
    <w:p w14:paraId="7819DE36" w14:textId="77777777" w:rsidR="003E7B1C" w:rsidRDefault="003E7B1C" w:rsidP="001B26CB"/>
    <w:p w14:paraId="1B9745E7" w14:textId="77777777" w:rsidR="003E7B1C" w:rsidRPr="001B26CB" w:rsidRDefault="003E7B1C" w:rsidP="001B26CB"/>
    <w:p w14:paraId="749A0432" w14:textId="5130325D" w:rsidR="00BC35FC" w:rsidRPr="00AD5037" w:rsidRDefault="00BC35FC" w:rsidP="00D34E47">
      <w:pPr>
        <w:pStyle w:val="Heading1"/>
      </w:pPr>
      <w:bookmarkStart w:id="11" w:name="_Toc209826941"/>
      <w:r w:rsidRPr="00AD5037">
        <w:lastRenderedPageBreak/>
        <w:t>Chapter 1: Introduction</w:t>
      </w:r>
      <w:bookmarkEnd w:id="11"/>
    </w:p>
    <w:p w14:paraId="539FF1EA" w14:textId="77777777" w:rsidR="00BC35FC" w:rsidRPr="00AD5037" w:rsidRDefault="00BC35FC" w:rsidP="00D34E47">
      <w:pPr>
        <w:pStyle w:val="Heading2"/>
      </w:pPr>
      <w:bookmarkStart w:id="12" w:name="_Toc209826942"/>
      <w:r w:rsidRPr="00AD5037">
        <w:t>1.1 Background and Context</w:t>
      </w:r>
      <w:bookmarkEnd w:id="12"/>
    </w:p>
    <w:p w14:paraId="3A1092AC"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The United Kingdom is distinctive among developed nations in maintaining a model of unarmed</w:t>
      </w:r>
      <w:r w:rsidRPr="00AD5037">
        <w:rPr>
          <w:rFonts w:ascii="Calibri" w:eastAsiaTheme="majorEastAsia" w:hAnsi="Calibri" w:cs="Calibri"/>
          <w:sz w:val="24"/>
          <w:szCs w:val="24"/>
        </w:rPr>
        <w:t> Policing</w:t>
      </w:r>
      <w:r w:rsidRPr="00AD5037">
        <w:rPr>
          <w:rFonts w:ascii="Calibri" w:hAnsi="Calibri" w:cs="Calibri"/>
          <w:sz w:val="24"/>
          <w:szCs w:val="24"/>
        </w:rPr>
        <w:t>. Whereas routine arming is standard in many jurisdictions, British officers traditionally patrol without firearms, relying instead on the principle of</w:t>
      </w:r>
      <w:r w:rsidRPr="00AD5037">
        <w:rPr>
          <w:rFonts w:ascii="Calibri" w:eastAsiaTheme="majorEastAsia" w:hAnsi="Calibri" w:cs="Calibri"/>
          <w:sz w:val="24"/>
          <w:szCs w:val="24"/>
        </w:rPr>
        <w:t> Policing by consent</w:t>
      </w:r>
      <w:r w:rsidRPr="00AD5037">
        <w:rPr>
          <w:rFonts w:ascii="Calibri" w:hAnsi="Calibri" w:cs="Calibri"/>
          <w:sz w:val="24"/>
          <w:szCs w:val="24"/>
        </w:rPr>
        <w:t>. This model emphasises legitimacy, trust, and cooperation between the public and the</w:t>
      </w:r>
      <w:r w:rsidRPr="00AD5037">
        <w:rPr>
          <w:rFonts w:ascii="Calibri" w:eastAsiaTheme="majorEastAsia" w:hAnsi="Calibri" w:cs="Calibri"/>
          <w:sz w:val="24"/>
          <w:szCs w:val="24"/>
        </w:rPr>
        <w:t> Police</w:t>
      </w:r>
      <w:r w:rsidRPr="00AD5037">
        <w:rPr>
          <w:rFonts w:ascii="Calibri" w:hAnsi="Calibri" w:cs="Calibri"/>
          <w:sz w:val="24"/>
          <w:szCs w:val="24"/>
        </w:rPr>
        <w:t>, rather than coercion through force. The image of the unarmed constable has become a defining feature of British</w:t>
      </w:r>
      <w:r w:rsidRPr="00AD5037">
        <w:rPr>
          <w:rFonts w:ascii="Calibri" w:eastAsiaTheme="majorEastAsia" w:hAnsi="Calibri" w:cs="Calibri"/>
          <w:sz w:val="24"/>
          <w:szCs w:val="24"/>
        </w:rPr>
        <w:t> Policing </w:t>
      </w:r>
      <w:r w:rsidRPr="00AD5037">
        <w:rPr>
          <w:rFonts w:ascii="Calibri" w:hAnsi="Calibri" w:cs="Calibri"/>
          <w:sz w:val="24"/>
          <w:szCs w:val="24"/>
        </w:rPr>
        <w:t>identity and culture (Waddington, 2011).</w:t>
      </w:r>
    </w:p>
    <w:p w14:paraId="28D7A335"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Yet the security environment has changed. Rising levels of violent crime, the prevalence of knife offences, and the persistent threat of terrorism have placed new pressures on the unarmed model. High-profile incidents, such as the 2017 Manchester Arena bombing and the London Bridge attacks, have fuelled debate about whether officers are adequately protected and whether the public would feel safer if all officers were routinely armed. At the same time, concerns about escalation, legitimacy, and the erosion of public trust remain central to the debate (Jackson et al., 2012; Loader and Walker, 2007).</w:t>
      </w:r>
    </w:p>
    <w:p w14:paraId="739CF01B" w14:textId="77777777" w:rsidR="00BC35FC" w:rsidRPr="00AD5037" w:rsidRDefault="00BC35FC" w:rsidP="00BC35FC">
      <w:pPr>
        <w:rPr>
          <w:rFonts w:ascii="Calibri" w:hAnsi="Calibri" w:cs="Calibri"/>
          <w:sz w:val="24"/>
          <w:szCs w:val="24"/>
        </w:rPr>
      </w:pPr>
      <w:r w:rsidRPr="00AD5037">
        <w:rPr>
          <w:rFonts w:ascii="Calibri" w:hAnsi="Calibri" w:cs="Calibri"/>
          <w:sz w:val="24"/>
          <w:szCs w:val="24"/>
        </w:rPr>
        <w:t>This tension between tradition and contemporary security challenges forms the backdrop to this dissertation. It asks whether routine arming of all UK</w:t>
      </w:r>
      <w:r w:rsidRPr="00AD5037">
        <w:rPr>
          <w:rFonts w:ascii="Calibri" w:eastAsiaTheme="majorEastAsia" w:hAnsi="Calibri" w:cs="Calibri"/>
          <w:sz w:val="24"/>
          <w:szCs w:val="24"/>
        </w:rPr>
        <w:t> Police </w:t>
      </w:r>
      <w:r w:rsidRPr="00AD5037">
        <w:rPr>
          <w:rFonts w:ascii="Calibri" w:hAnsi="Calibri" w:cs="Calibri"/>
          <w:sz w:val="24"/>
          <w:szCs w:val="24"/>
        </w:rPr>
        <w:t>officers would enhance safety and effectiveness, or whether it would undermine the legitimacy and consent upon which British</w:t>
      </w:r>
      <w:r w:rsidRPr="00AD5037">
        <w:rPr>
          <w:rFonts w:ascii="Calibri" w:eastAsiaTheme="majorEastAsia" w:hAnsi="Calibri" w:cs="Calibri"/>
          <w:sz w:val="24"/>
          <w:szCs w:val="24"/>
        </w:rPr>
        <w:t> Policing </w:t>
      </w:r>
      <w:r w:rsidRPr="00AD5037">
        <w:rPr>
          <w:rFonts w:ascii="Calibri" w:hAnsi="Calibri" w:cs="Calibri"/>
          <w:sz w:val="24"/>
          <w:szCs w:val="24"/>
        </w:rPr>
        <w:t>is built.</w:t>
      </w:r>
    </w:p>
    <w:p w14:paraId="66B4436D" w14:textId="77777777" w:rsidR="00BC35FC" w:rsidRPr="00AD5037" w:rsidRDefault="00BC35FC" w:rsidP="00BC35FC">
      <w:pPr>
        <w:spacing w:after="160" w:line="278" w:lineRule="auto"/>
        <w:rPr>
          <w:rFonts w:ascii="Calibri" w:hAnsi="Calibri" w:cs="Calibri"/>
          <w:sz w:val="24"/>
          <w:szCs w:val="24"/>
        </w:rPr>
      </w:pPr>
    </w:p>
    <w:p w14:paraId="2C8BA3F6" w14:textId="77777777" w:rsidR="00BC35FC" w:rsidRPr="00AD5037" w:rsidRDefault="00BC35FC" w:rsidP="00D34E47">
      <w:pPr>
        <w:pStyle w:val="Heading2"/>
      </w:pPr>
      <w:bookmarkStart w:id="13" w:name="_Toc209826943"/>
      <w:r w:rsidRPr="00AD5037">
        <w:t>1.2 Rationale for the Study</w:t>
      </w:r>
      <w:bookmarkEnd w:id="13"/>
    </w:p>
    <w:p w14:paraId="041DD569" w14:textId="5C6FB06F"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The issue of routine arming is not only operational but symbolic. It touches on the identity of British</w:t>
      </w:r>
      <w:r w:rsidRPr="00AD5037">
        <w:rPr>
          <w:rFonts w:ascii="Calibri" w:eastAsiaTheme="majorEastAsia" w:hAnsi="Calibri" w:cs="Calibri"/>
          <w:sz w:val="24"/>
          <w:szCs w:val="24"/>
        </w:rPr>
        <w:t> Policing</w:t>
      </w:r>
      <w:r w:rsidRPr="00AD5037">
        <w:rPr>
          <w:rFonts w:ascii="Calibri" w:hAnsi="Calibri" w:cs="Calibri"/>
          <w:sz w:val="24"/>
          <w:szCs w:val="24"/>
        </w:rPr>
        <w:t>, the relationship between officers and the public, and the balance between security and legitimacy. While specialist firearms units already exist and are deployed in high</w:t>
      </w:r>
      <w:r w:rsidR="003E7B1C">
        <w:rPr>
          <w:rFonts w:ascii="Calibri" w:hAnsi="Calibri" w:cs="Calibri"/>
          <w:sz w:val="24"/>
          <w:szCs w:val="24"/>
        </w:rPr>
        <w:t>-</w:t>
      </w:r>
      <w:r w:rsidRPr="00AD5037">
        <w:rPr>
          <w:rFonts w:ascii="Calibri" w:hAnsi="Calibri" w:cs="Calibri"/>
          <w:sz w:val="24"/>
          <w:szCs w:val="24"/>
        </w:rPr>
        <w:t>risk situations, the vast majority of officers remain unarmed.</w:t>
      </w:r>
    </w:p>
    <w:p w14:paraId="0790C3BD" w14:textId="6F723565"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Public attitudes toward arming have been widely studied, often showing ambivalence or opposition (Yesberg et al., 2021). However, officer perspectives remain comparatively under</w:t>
      </w:r>
      <w:r w:rsidR="003E7B1C">
        <w:rPr>
          <w:rFonts w:ascii="Calibri" w:hAnsi="Calibri" w:cs="Calibri"/>
          <w:sz w:val="24"/>
          <w:szCs w:val="24"/>
        </w:rPr>
        <w:t>-</w:t>
      </w:r>
      <w:r w:rsidRPr="00AD5037">
        <w:rPr>
          <w:rFonts w:ascii="Calibri" w:hAnsi="Calibri" w:cs="Calibri"/>
          <w:sz w:val="24"/>
          <w:szCs w:val="24"/>
        </w:rPr>
        <w:t>examined. This is a significant gap, as officers are both the implementers of policy and those most directly exposed to its consequences. Understanding their views is therefore essential to any evidence</w:t>
      </w:r>
      <w:r w:rsidR="003E7B1C">
        <w:rPr>
          <w:rFonts w:ascii="Calibri" w:hAnsi="Calibri" w:cs="Calibri"/>
          <w:sz w:val="24"/>
          <w:szCs w:val="24"/>
        </w:rPr>
        <w:t>-</w:t>
      </w:r>
      <w:r w:rsidRPr="00AD5037">
        <w:rPr>
          <w:rFonts w:ascii="Calibri" w:hAnsi="Calibri" w:cs="Calibri"/>
          <w:sz w:val="24"/>
          <w:szCs w:val="24"/>
        </w:rPr>
        <w:t>based debate about arming.</w:t>
      </w:r>
    </w:p>
    <w:p w14:paraId="57B1CBAD" w14:textId="77777777" w:rsidR="00BC35FC" w:rsidRPr="00AD5037" w:rsidRDefault="00BC35FC" w:rsidP="00BC35FC">
      <w:pPr>
        <w:rPr>
          <w:rFonts w:ascii="Calibri" w:hAnsi="Calibri" w:cs="Calibri"/>
          <w:sz w:val="24"/>
          <w:szCs w:val="24"/>
        </w:rPr>
      </w:pPr>
      <w:r w:rsidRPr="00AD5037">
        <w:rPr>
          <w:rFonts w:ascii="Calibri" w:hAnsi="Calibri" w:cs="Calibri"/>
          <w:sz w:val="24"/>
          <w:szCs w:val="24"/>
        </w:rPr>
        <w:t>This study addresses that gap by focusing on officer perspectives. By surveying serving officers, it provides insight into how those on the frontline perceive the benefits and risks of routine arming, and how these perceptions align with or diverge from the wider literature on safety, deterrence, escalation, and legitimacy.</w:t>
      </w:r>
    </w:p>
    <w:p w14:paraId="5ADF9785" w14:textId="77777777" w:rsidR="00BC35FC" w:rsidRPr="00AD5037" w:rsidRDefault="00BC35FC" w:rsidP="00BC35FC">
      <w:pPr>
        <w:spacing w:after="160" w:line="278" w:lineRule="auto"/>
        <w:rPr>
          <w:rFonts w:ascii="Calibri" w:hAnsi="Calibri" w:cs="Calibri"/>
          <w:sz w:val="24"/>
          <w:szCs w:val="24"/>
        </w:rPr>
      </w:pPr>
    </w:p>
    <w:p w14:paraId="4EC4A3D4" w14:textId="77777777" w:rsidR="00BC35FC" w:rsidRPr="00AD5037" w:rsidRDefault="00BC35FC" w:rsidP="00D34E47">
      <w:pPr>
        <w:pStyle w:val="Heading2"/>
      </w:pPr>
      <w:bookmarkStart w:id="14" w:name="_Toc209826944"/>
      <w:r w:rsidRPr="00AD5037">
        <w:lastRenderedPageBreak/>
        <w:t>1.3 Aim and Objectives</w:t>
      </w:r>
      <w:bookmarkEnd w:id="14"/>
    </w:p>
    <w:p w14:paraId="68CDE609"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The overall aim of this dissertation is to evaluate whether all UK</w:t>
      </w:r>
      <w:r w:rsidRPr="00AD5037">
        <w:rPr>
          <w:rFonts w:ascii="Calibri" w:eastAsiaTheme="majorEastAsia" w:hAnsi="Calibri" w:cs="Calibri"/>
          <w:sz w:val="24"/>
          <w:szCs w:val="24"/>
        </w:rPr>
        <w:t> Police </w:t>
      </w:r>
      <w:r w:rsidRPr="00AD5037">
        <w:rPr>
          <w:rFonts w:ascii="Calibri" w:hAnsi="Calibri" w:cs="Calibri"/>
          <w:sz w:val="24"/>
          <w:szCs w:val="24"/>
        </w:rPr>
        <w:t>officers should be routinely armed. To achieve this, the study pursues the following objectives:</w:t>
      </w:r>
    </w:p>
    <w:p w14:paraId="3DFEE84C" w14:textId="77777777" w:rsidR="00BC35FC" w:rsidRPr="00AD5037" w:rsidRDefault="00BC35FC" w:rsidP="00BC35FC">
      <w:pPr>
        <w:pStyle w:val="ListParagraph"/>
        <w:numPr>
          <w:ilvl w:val="0"/>
          <w:numId w:val="27"/>
        </w:numPr>
        <w:overflowPunct/>
        <w:autoSpaceDE/>
        <w:autoSpaceDN/>
        <w:adjustRightInd/>
        <w:spacing w:after="160" w:line="278" w:lineRule="auto"/>
        <w:textAlignment w:val="auto"/>
        <w:rPr>
          <w:rFonts w:ascii="Calibri" w:hAnsi="Calibri" w:cs="Calibri"/>
          <w:sz w:val="24"/>
          <w:szCs w:val="24"/>
        </w:rPr>
      </w:pPr>
      <w:r w:rsidRPr="00AD5037">
        <w:rPr>
          <w:rFonts w:ascii="Calibri" w:hAnsi="Calibri" w:cs="Calibri"/>
          <w:sz w:val="24"/>
          <w:szCs w:val="24"/>
        </w:rPr>
        <w:t>To analyse officer attitudes toward routine arming.</w:t>
      </w:r>
    </w:p>
    <w:p w14:paraId="77227D34" w14:textId="77777777" w:rsidR="00BC35FC" w:rsidRPr="00AD5037" w:rsidRDefault="00BC35FC" w:rsidP="00BC35FC">
      <w:pPr>
        <w:pStyle w:val="ListParagraph"/>
        <w:numPr>
          <w:ilvl w:val="0"/>
          <w:numId w:val="27"/>
        </w:numPr>
        <w:overflowPunct/>
        <w:autoSpaceDE/>
        <w:autoSpaceDN/>
        <w:adjustRightInd/>
        <w:spacing w:after="160" w:line="278" w:lineRule="auto"/>
        <w:textAlignment w:val="auto"/>
        <w:rPr>
          <w:rFonts w:ascii="Calibri" w:hAnsi="Calibri" w:cs="Calibri"/>
          <w:sz w:val="24"/>
          <w:szCs w:val="24"/>
        </w:rPr>
      </w:pPr>
      <w:r w:rsidRPr="00AD5037">
        <w:rPr>
          <w:rFonts w:ascii="Calibri" w:hAnsi="Calibri" w:cs="Calibri"/>
          <w:sz w:val="24"/>
          <w:szCs w:val="24"/>
        </w:rPr>
        <w:t>To evaluate perceived impacts on officer safety, public reassurance, deterrence, escalation, and legitimacy.</w:t>
      </w:r>
    </w:p>
    <w:p w14:paraId="012A2CAE" w14:textId="77777777" w:rsidR="00BC35FC" w:rsidRPr="00AD5037" w:rsidRDefault="00BC35FC" w:rsidP="00BC35FC">
      <w:pPr>
        <w:pStyle w:val="ListParagraph"/>
        <w:numPr>
          <w:ilvl w:val="0"/>
          <w:numId w:val="27"/>
        </w:numPr>
        <w:overflowPunct/>
        <w:autoSpaceDE/>
        <w:autoSpaceDN/>
        <w:adjustRightInd/>
        <w:spacing w:after="160" w:line="278" w:lineRule="auto"/>
        <w:textAlignment w:val="auto"/>
        <w:rPr>
          <w:rFonts w:ascii="Calibri" w:hAnsi="Calibri" w:cs="Calibri"/>
          <w:sz w:val="24"/>
          <w:szCs w:val="24"/>
        </w:rPr>
      </w:pPr>
      <w:r w:rsidRPr="00AD5037">
        <w:rPr>
          <w:rFonts w:ascii="Calibri" w:hAnsi="Calibri" w:cs="Calibri"/>
          <w:sz w:val="24"/>
          <w:szCs w:val="24"/>
        </w:rPr>
        <w:t>To assess whether the perceived benefits outweigh the risks.</w:t>
      </w:r>
    </w:p>
    <w:p w14:paraId="4A00BB32" w14:textId="77777777" w:rsidR="00BC35FC" w:rsidRPr="00AD5037" w:rsidRDefault="00BC35FC" w:rsidP="00BC35FC">
      <w:pPr>
        <w:pStyle w:val="ListParagraph"/>
        <w:numPr>
          <w:ilvl w:val="0"/>
          <w:numId w:val="27"/>
        </w:numPr>
        <w:overflowPunct/>
        <w:autoSpaceDE/>
        <w:autoSpaceDN/>
        <w:adjustRightInd/>
        <w:spacing w:after="160" w:line="278" w:lineRule="auto"/>
        <w:textAlignment w:val="auto"/>
        <w:rPr>
          <w:rFonts w:ascii="Calibri" w:hAnsi="Calibri" w:cs="Calibri"/>
          <w:sz w:val="24"/>
          <w:szCs w:val="24"/>
        </w:rPr>
      </w:pPr>
      <w:r w:rsidRPr="00AD5037">
        <w:rPr>
          <w:rFonts w:ascii="Calibri" w:hAnsi="Calibri" w:cs="Calibri"/>
          <w:sz w:val="24"/>
          <w:szCs w:val="24"/>
        </w:rPr>
        <w:t>To situate officer perspectives within the wider academic and policy debate.</w:t>
      </w:r>
    </w:p>
    <w:p w14:paraId="191A388C" w14:textId="77777777" w:rsidR="00BC35FC" w:rsidRPr="00AD5037" w:rsidRDefault="00BC35FC" w:rsidP="00BC35FC">
      <w:pPr>
        <w:pStyle w:val="ListParagraph"/>
        <w:numPr>
          <w:ilvl w:val="0"/>
          <w:numId w:val="27"/>
        </w:numPr>
        <w:overflowPunct/>
        <w:autoSpaceDE/>
        <w:autoSpaceDN/>
        <w:adjustRightInd/>
        <w:spacing w:after="160" w:line="278" w:lineRule="auto"/>
        <w:textAlignment w:val="auto"/>
        <w:rPr>
          <w:rFonts w:ascii="Calibri" w:hAnsi="Calibri" w:cs="Calibri"/>
          <w:sz w:val="24"/>
          <w:szCs w:val="24"/>
        </w:rPr>
      </w:pPr>
      <w:r w:rsidRPr="00AD5037">
        <w:rPr>
          <w:rFonts w:ascii="Calibri" w:hAnsi="Calibri" w:cs="Calibri"/>
          <w:sz w:val="24"/>
          <w:szCs w:val="24"/>
        </w:rPr>
        <w:t>To provide evidence-based recommendations for policy and practice.</w:t>
      </w:r>
    </w:p>
    <w:p w14:paraId="1DF80776" w14:textId="77777777" w:rsidR="00BC35FC" w:rsidRPr="00AD5037" w:rsidRDefault="00BC35FC" w:rsidP="00D34E47">
      <w:pPr>
        <w:pStyle w:val="Heading2"/>
      </w:pPr>
    </w:p>
    <w:p w14:paraId="4F4300F9" w14:textId="77777777" w:rsidR="00BC35FC" w:rsidRPr="00AD5037" w:rsidRDefault="00BC35FC" w:rsidP="00D34E47">
      <w:pPr>
        <w:pStyle w:val="Heading2"/>
      </w:pPr>
      <w:bookmarkStart w:id="15" w:name="_Toc209826945"/>
      <w:r w:rsidRPr="00AD5037">
        <w:t>1.4 Research Question</w:t>
      </w:r>
      <w:bookmarkEnd w:id="15"/>
    </w:p>
    <w:p w14:paraId="588938C2"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The central research question guiding this dissertation is:</w:t>
      </w:r>
    </w:p>
    <w:p w14:paraId="23533E53" w14:textId="4B7425EE" w:rsidR="00BC35FC" w:rsidRPr="003E7B1C" w:rsidRDefault="003E7B1C" w:rsidP="00BC35FC">
      <w:pPr>
        <w:rPr>
          <w:rFonts w:ascii="Calibri" w:hAnsi="Calibri" w:cs="Calibri"/>
          <w:sz w:val="24"/>
          <w:szCs w:val="24"/>
        </w:rPr>
      </w:pPr>
      <w:r w:rsidRPr="003E7B1C">
        <w:rPr>
          <w:rFonts w:ascii="Calibri" w:hAnsi="Calibri" w:cs="Calibri"/>
          <w:color w:val="auto"/>
          <w:sz w:val="24"/>
          <w:szCs w:val="24"/>
        </w:rPr>
        <w:t>Should All Police Officers in the United Kingdom Carry Firearms?</w:t>
      </w:r>
    </w:p>
    <w:p w14:paraId="4B8AB371" w14:textId="77777777" w:rsidR="00BC35FC" w:rsidRPr="00AD5037" w:rsidRDefault="00BC35FC" w:rsidP="00BC35FC">
      <w:pPr>
        <w:spacing w:after="160" w:line="278" w:lineRule="auto"/>
        <w:rPr>
          <w:rFonts w:ascii="Calibri" w:hAnsi="Calibri" w:cs="Calibri"/>
          <w:sz w:val="24"/>
          <w:szCs w:val="24"/>
        </w:rPr>
      </w:pPr>
    </w:p>
    <w:p w14:paraId="2312E638" w14:textId="77777777" w:rsidR="00BC35FC" w:rsidRPr="00AD5037" w:rsidRDefault="00BC35FC" w:rsidP="00D34E47">
      <w:pPr>
        <w:pStyle w:val="Heading2"/>
      </w:pPr>
      <w:bookmarkStart w:id="16" w:name="_Toc209826946"/>
      <w:r w:rsidRPr="00AD5037">
        <w:t>1.5 Scope and Limitations</w:t>
      </w:r>
      <w:bookmarkEnd w:id="16"/>
    </w:p>
    <w:p w14:paraId="2716C8F6"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This study is based on a small-scale survey of twelve serving officers from a range of roles, ethnic backgrounds, and years of service. While the sample provides valuable insight, it is not representative of the entire UK</w:t>
      </w:r>
      <w:r w:rsidRPr="00AD5037">
        <w:rPr>
          <w:rFonts w:ascii="Calibri" w:eastAsiaTheme="majorEastAsia" w:hAnsi="Calibri" w:cs="Calibri"/>
          <w:sz w:val="24"/>
          <w:szCs w:val="24"/>
        </w:rPr>
        <w:t> Police </w:t>
      </w:r>
      <w:r w:rsidRPr="00AD5037">
        <w:rPr>
          <w:rFonts w:ascii="Calibri" w:hAnsi="Calibri" w:cs="Calibri"/>
          <w:sz w:val="24"/>
          <w:szCs w:val="24"/>
        </w:rPr>
        <w:t>service. The findings should therefore be interpreted as indicative rather than definitive.</w:t>
      </w:r>
    </w:p>
    <w:p w14:paraId="30285E4F"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The study focuses exclusively on officer perspectives and does not include public views. This is a deliberate choice, as the aim is to foreground the voices of those most directly affected by arming policy. However, it means that the analysis cannot capture the full spectrum of opinion.</w:t>
      </w:r>
    </w:p>
    <w:p w14:paraId="17B6C77B" w14:textId="15824230"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Finally, the study is cross-sectional, capturing views at a single point in time. It cannot account for how attitudes might evolve in response to future incidents or policy changes. The research is also limited to the UK context, where the tradition of unarmed</w:t>
      </w:r>
      <w:r w:rsidRPr="00AD5037">
        <w:rPr>
          <w:rFonts w:ascii="Calibri" w:eastAsiaTheme="majorEastAsia" w:hAnsi="Calibri" w:cs="Calibri"/>
          <w:sz w:val="24"/>
          <w:szCs w:val="24"/>
        </w:rPr>
        <w:t> Policing </w:t>
      </w:r>
      <w:r w:rsidRPr="00AD5037">
        <w:rPr>
          <w:rFonts w:ascii="Calibri" w:hAnsi="Calibri" w:cs="Calibri"/>
          <w:sz w:val="24"/>
          <w:szCs w:val="24"/>
        </w:rPr>
        <w:t>is distinctive. Comparisons with other jurisdictions are noted in the literature</w:t>
      </w:r>
      <w:r w:rsidR="00517CF2">
        <w:rPr>
          <w:rFonts w:ascii="Calibri" w:hAnsi="Calibri" w:cs="Calibri"/>
          <w:sz w:val="24"/>
          <w:szCs w:val="24"/>
        </w:rPr>
        <w:t>,</w:t>
      </w:r>
      <w:r w:rsidRPr="00AD5037">
        <w:rPr>
          <w:rFonts w:ascii="Calibri" w:hAnsi="Calibri" w:cs="Calibri"/>
          <w:sz w:val="24"/>
          <w:szCs w:val="24"/>
        </w:rPr>
        <w:t xml:space="preserve"> but are not the primary focus.</w:t>
      </w:r>
    </w:p>
    <w:p w14:paraId="5A0F77CC" w14:textId="77777777" w:rsidR="00BC35FC" w:rsidRPr="00AD5037" w:rsidRDefault="00BC35FC" w:rsidP="00BC35FC">
      <w:pPr>
        <w:rPr>
          <w:rFonts w:ascii="Calibri" w:hAnsi="Calibri" w:cs="Calibri"/>
          <w:sz w:val="24"/>
          <w:szCs w:val="24"/>
        </w:rPr>
      </w:pPr>
    </w:p>
    <w:p w14:paraId="1E73BD34" w14:textId="77777777" w:rsidR="00BC35FC" w:rsidRPr="00AD5037" w:rsidRDefault="00BC35FC" w:rsidP="00D34E47">
      <w:pPr>
        <w:pStyle w:val="Heading2"/>
      </w:pPr>
      <w:bookmarkStart w:id="17" w:name="_Toc209826947"/>
      <w:r w:rsidRPr="00AD5037">
        <w:t>1.6 Structure of the Dissertation</w:t>
      </w:r>
      <w:bookmarkEnd w:id="17"/>
    </w:p>
    <w:p w14:paraId="592E438A" w14:textId="6F14CF92" w:rsidR="00BC35FC" w:rsidRPr="00AD5037" w:rsidRDefault="00BC35FC" w:rsidP="00BC35FC">
      <w:pPr>
        <w:rPr>
          <w:rFonts w:ascii="Calibri" w:hAnsi="Calibri" w:cs="Calibri"/>
          <w:sz w:val="24"/>
          <w:szCs w:val="24"/>
        </w:rPr>
      </w:pPr>
      <w:r w:rsidRPr="00AD5037">
        <w:rPr>
          <w:rFonts w:ascii="Calibri" w:hAnsi="Calibri" w:cs="Calibri"/>
          <w:sz w:val="24"/>
          <w:szCs w:val="24"/>
        </w:rPr>
        <w:t>The dissertation is organised into six chapters. Chapter 2 reviews the literature on armed</w:t>
      </w:r>
      <w:r w:rsidRPr="00AD5037">
        <w:rPr>
          <w:rFonts w:ascii="Calibri" w:eastAsiaTheme="majorEastAsia" w:hAnsi="Calibri" w:cs="Calibri"/>
          <w:sz w:val="24"/>
          <w:szCs w:val="24"/>
        </w:rPr>
        <w:t> Policing</w:t>
      </w:r>
      <w:r w:rsidRPr="00AD5037">
        <w:rPr>
          <w:rFonts w:ascii="Calibri" w:hAnsi="Calibri" w:cs="Calibri"/>
          <w:sz w:val="24"/>
          <w:szCs w:val="24"/>
        </w:rPr>
        <w:t>, focusing on themes of officer safety, deterrence, escalation, legitimacy, and public perceptions. Chapter 3 outlines the methodology, including research design, participants, instrument</w:t>
      </w:r>
      <w:r w:rsidR="00517CF2">
        <w:rPr>
          <w:rFonts w:ascii="Calibri" w:hAnsi="Calibri" w:cs="Calibri"/>
          <w:sz w:val="24"/>
          <w:szCs w:val="24"/>
        </w:rPr>
        <w:t>s</w:t>
      </w:r>
      <w:r w:rsidRPr="00AD5037">
        <w:rPr>
          <w:rFonts w:ascii="Calibri" w:hAnsi="Calibri" w:cs="Calibri"/>
          <w:sz w:val="24"/>
          <w:szCs w:val="24"/>
        </w:rPr>
        <w:t xml:space="preserve">, and ethical considerations. Chapter 4 presents the analysis of survey results, including descriptive statistics and demographic patterns. Chapter 5 interprets these findings in light of the literature, addresses the research question, and </w:t>
      </w:r>
      <w:r w:rsidRPr="00AD5037">
        <w:rPr>
          <w:rFonts w:ascii="Calibri" w:hAnsi="Calibri" w:cs="Calibri"/>
          <w:sz w:val="24"/>
          <w:szCs w:val="24"/>
        </w:rPr>
        <w:lastRenderedPageBreak/>
        <w:t>draws overall conclusions. Chapter 6 provides practical recommendations for policy, practice, and future research.</w:t>
      </w:r>
    </w:p>
    <w:p w14:paraId="5EE1E231" w14:textId="77777777" w:rsidR="00BC35FC" w:rsidRPr="00AD5037" w:rsidRDefault="00BC35FC" w:rsidP="00BC35FC">
      <w:pPr>
        <w:spacing w:after="160" w:line="278" w:lineRule="auto"/>
        <w:rPr>
          <w:rFonts w:ascii="Calibri" w:hAnsi="Calibri" w:cs="Calibri"/>
          <w:sz w:val="24"/>
          <w:szCs w:val="24"/>
        </w:rPr>
      </w:pPr>
    </w:p>
    <w:p w14:paraId="1AAF6292" w14:textId="77777777" w:rsidR="00BC35FC" w:rsidRPr="00AD5037" w:rsidRDefault="00BC35FC" w:rsidP="00D34E47">
      <w:pPr>
        <w:pStyle w:val="Heading2"/>
      </w:pPr>
      <w:bookmarkStart w:id="18" w:name="_Toc209826948"/>
      <w:r w:rsidRPr="00AD5037">
        <w:t>1.7 Summary</w:t>
      </w:r>
      <w:bookmarkEnd w:id="18"/>
    </w:p>
    <w:p w14:paraId="55653CAD" w14:textId="77777777" w:rsidR="00BC35FC" w:rsidRPr="00AD5037" w:rsidRDefault="00BC35FC" w:rsidP="00BC35FC">
      <w:pPr>
        <w:spacing w:after="160" w:line="278" w:lineRule="auto"/>
        <w:rPr>
          <w:rFonts w:ascii="Calibri" w:hAnsi="Calibri" w:cs="Calibri"/>
          <w:sz w:val="24"/>
          <w:szCs w:val="24"/>
        </w:rPr>
      </w:pPr>
      <w:r w:rsidRPr="00AD5037">
        <w:rPr>
          <w:rFonts w:ascii="Calibri" w:hAnsi="Calibri" w:cs="Calibri"/>
          <w:sz w:val="24"/>
          <w:szCs w:val="24"/>
        </w:rPr>
        <w:t>This chapter has introduced the context and rationale for the study, set out its aims and objectives, and defined the central research question. It has also outlined the scope and limitations of the research and provided an overview of the dissertation structure. The next chapter reviews the existing literature on armed</w:t>
      </w:r>
      <w:r w:rsidRPr="00AD5037">
        <w:rPr>
          <w:rFonts w:ascii="Calibri" w:eastAsiaTheme="majorEastAsia" w:hAnsi="Calibri" w:cs="Calibri"/>
          <w:sz w:val="24"/>
          <w:szCs w:val="24"/>
        </w:rPr>
        <w:t> Policing</w:t>
      </w:r>
      <w:r w:rsidRPr="00AD5037">
        <w:rPr>
          <w:rFonts w:ascii="Calibri" w:hAnsi="Calibri" w:cs="Calibri"/>
          <w:sz w:val="24"/>
          <w:szCs w:val="24"/>
        </w:rPr>
        <w:t>, situating the study within the wider academic and policy debate.</w:t>
      </w:r>
    </w:p>
    <w:p w14:paraId="3734E7C5" w14:textId="77777777" w:rsidR="00BC35FC" w:rsidRPr="00AD5037" w:rsidRDefault="00BC35FC" w:rsidP="00BC35FC">
      <w:pPr>
        <w:rPr>
          <w:rFonts w:ascii="Calibri" w:eastAsiaTheme="majorEastAsia" w:hAnsi="Calibri" w:cs="Calibri"/>
          <w:color w:val="auto"/>
          <w:sz w:val="24"/>
          <w:szCs w:val="24"/>
        </w:rPr>
      </w:pPr>
    </w:p>
    <w:p w14:paraId="7FC6F674" w14:textId="77777777" w:rsidR="00BC35FC" w:rsidRPr="00AD5037" w:rsidRDefault="00BC35FC" w:rsidP="00BC35FC">
      <w:pPr>
        <w:rPr>
          <w:rFonts w:ascii="Calibri" w:eastAsiaTheme="majorEastAsia" w:hAnsi="Calibri" w:cs="Calibri"/>
          <w:color w:val="auto"/>
          <w:sz w:val="24"/>
          <w:szCs w:val="24"/>
        </w:rPr>
      </w:pPr>
    </w:p>
    <w:p w14:paraId="7B2DEA22" w14:textId="77777777" w:rsidR="00BC35FC" w:rsidRPr="00AD5037" w:rsidRDefault="00BC35FC" w:rsidP="00D34E47">
      <w:pPr>
        <w:pStyle w:val="Heading1"/>
      </w:pPr>
      <w:bookmarkStart w:id="19" w:name="_Toc209826949"/>
      <w:r w:rsidRPr="00AD5037">
        <w:t>Chapter 2: Literature Review</w:t>
      </w:r>
      <w:bookmarkEnd w:id="19"/>
    </w:p>
    <w:p w14:paraId="25DAF13B" w14:textId="77777777" w:rsidR="001F19B3" w:rsidRPr="00AD5037" w:rsidRDefault="001F19B3" w:rsidP="00D34E47">
      <w:pPr>
        <w:pStyle w:val="Heading2"/>
      </w:pPr>
      <w:bookmarkStart w:id="20" w:name="_Toc209826950"/>
      <w:r w:rsidRPr="00AD5037">
        <w:t>2.1 Introduction</w:t>
      </w:r>
      <w:bookmarkEnd w:id="20"/>
    </w:p>
    <w:p w14:paraId="17683924" w14:textId="61BC84E1" w:rsidR="001F19B3" w:rsidRPr="00AD5037" w:rsidRDefault="001F19B3" w:rsidP="001F19B3">
      <w:pPr>
        <w:pStyle w:val="NormalWeb"/>
        <w:rPr>
          <w:rFonts w:ascii="Calibri" w:hAnsi="Calibri" w:cs="Calibri"/>
          <w:color w:val="000000"/>
        </w:rPr>
      </w:pPr>
      <w:r w:rsidRPr="00AD5037">
        <w:rPr>
          <w:rFonts w:ascii="Calibri" w:hAnsi="Calibri" w:cs="Calibri"/>
          <w:color w:val="000000"/>
        </w:rPr>
        <w:t>The debate over whether all Police officers in the United Kingdom should carry firearms has become ever more urgent in recent years. Historically, UK Police have relied on an unarmed approach that rests on using minimal force and strong community engagement</w:t>
      </w:r>
      <w:r w:rsidR="00517CF2">
        <w:rPr>
          <w:rFonts w:ascii="Calibri" w:hAnsi="Calibri" w:cs="Calibri"/>
          <w:color w:val="000000"/>
        </w:rPr>
        <w:t xml:space="preserve">, </w:t>
      </w:r>
      <w:r w:rsidRPr="00AD5037">
        <w:rPr>
          <w:rFonts w:ascii="Calibri" w:hAnsi="Calibri" w:cs="Calibri"/>
          <w:color w:val="000000"/>
        </w:rPr>
        <w:t>a model that dates back nearly two centuries to the founding principles laid down by Sir Robert Peel. However, with rising concerns over terrorism, violent crime, and even occasional mass shootings, many people now question whether this traditional approach fully meets today’s security challenges.</w:t>
      </w:r>
    </w:p>
    <w:p w14:paraId="1464D101"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This literature review looks to bring together key scholarly work on armed Policing. It covers the historical traditions, empirical research into the use of force, debates on Police militarisation, and the influence of armed response on members of the public’s trust. In doing so, it outlines both the perceived benefits and the potential risks of shifting to a model of universal armament for Police officers.</w:t>
      </w:r>
    </w:p>
    <w:p w14:paraId="17809507" w14:textId="77777777" w:rsidR="001F19B3" w:rsidRPr="00AD5037" w:rsidRDefault="001F19B3" w:rsidP="00D34E47">
      <w:pPr>
        <w:pStyle w:val="Heading2"/>
      </w:pPr>
      <w:bookmarkStart w:id="21" w:name="_Toc209826951"/>
      <w:r w:rsidRPr="00AD5037">
        <w:t>2.2 Historical and Contextual Foundations of UK Policing</w:t>
      </w:r>
      <w:bookmarkEnd w:id="21"/>
    </w:p>
    <w:p w14:paraId="3854CE56" w14:textId="4E3D0F4B" w:rsidR="001F19B3" w:rsidRPr="00AD5037" w:rsidRDefault="001F19B3" w:rsidP="001F19B3">
      <w:pPr>
        <w:pStyle w:val="NormalWeb"/>
        <w:rPr>
          <w:rFonts w:ascii="Calibri" w:hAnsi="Calibri" w:cs="Calibri"/>
          <w:color w:val="000000"/>
        </w:rPr>
      </w:pPr>
      <w:r w:rsidRPr="00AD5037">
        <w:rPr>
          <w:rFonts w:ascii="Calibri" w:hAnsi="Calibri" w:cs="Calibri"/>
          <w:color w:val="000000"/>
        </w:rPr>
        <w:t>UK Police have long been known for their commitment to restraint and community engagement. The so-called “Peelian Principles”, established in 1829 by Sir Robert Peel, set out an ideal where the legitimacy of the Police comes from the consent of the community rather than from the threat of force. This has helped shape public perceptions of the Police as guardians of society rather than as combatants. Clark and Bennett (2010) argue that the strong trust between the Police and members of the public is largely due to this long-standing tradition of minimal force.</w:t>
      </w:r>
    </w:p>
    <w:p w14:paraId="287C98C7"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 xml:space="preserve">On the other hand, many other nations, most notably the United States, routinely arm their Police officers. The cultural, legal, and historical differences between these systems lie at the heart of the academic debate. Roycroft (2014) critically examines the “social contract” underpinning unarmed Policing in the UK, arguing that this tradition has significantly </w:t>
      </w:r>
      <w:r w:rsidRPr="00AD5037">
        <w:rPr>
          <w:rFonts w:ascii="Calibri" w:hAnsi="Calibri" w:cs="Calibri"/>
          <w:color w:val="000000"/>
        </w:rPr>
        <w:lastRenderedPageBreak/>
        <w:t>influenced both training and operational tactics over the years. Similarly, Go (2023) offers a comparative historical analysis that situates the British Police within a broader spectrum, where armed models are typically seen as an inevitable consequence of higher crime rates and entrenched conflict. Such comparisons are very useful when trying to understand why some scholars are sceptical about a complete shift to arming all Police officers in the UK.</w:t>
      </w:r>
    </w:p>
    <w:p w14:paraId="4EFDD479" w14:textId="01B58347" w:rsidR="001F19B3" w:rsidRPr="00AD5037" w:rsidRDefault="001F19B3" w:rsidP="001F19B3">
      <w:pPr>
        <w:pStyle w:val="NormalWeb"/>
        <w:rPr>
          <w:rFonts w:ascii="Calibri" w:hAnsi="Calibri" w:cs="Calibri"/>
          <w:color w:val="000000"/>
        </w:rPr>
      </w:pPr>
      <w:r w:rsidRPr="00AD5037">
        <w:rPr>
          <w:rFonts w:ascii="Calibri" w:hAnsi="Calibri" w:cs="Calibri"/>
          <w:color w:val="000000"/>
        </w:rPr>
        <w:t>Despite the success of the unarmed model, recent security incidents</w:t>
      </w:r>
      <w:r w:rsidR="00517CF2">
        <w:rPr>
          <w:rFonts w:ascii="Calibri" w:hAnsi="Calibri" w:cs="Calibri"/>
          <w:color w:val="000000"/>
        </w:rPr>
        <w:t xml:space="preserve">, </w:t>
      </w:r>
      <w:r w:rsidRPr="00AD5037">
        <w:rPr>
          <w:rFonts w:ascii="Calibri" w:hAnsi="Calibri" w:cs="Calibri"/>
          <w:color w:val="000000"/>
        </w:rPr>
        <w:t>especially those involving terrorism</w:t>
      </w:r>
      <w:r w:rsidR="00517CF2">
        <w:rPr>
          <w:rFonts w:ascii="Calibri" w:hAnsi="Calibri" w:cs="Calibri"/>
          <w:color w:val="000000"/>
        </w:rPr>
        <w:t>,</w:t>
      </w:r>
      <w:r w:rsidRPr="00AD5037">
        <w:rPr>
          <w:rFonts w:ascii="Calibri" w:hAnsi="Calibri" w:cs="Calibri"/>
          <w:color w:val="000000"/>
        </w:rPr>
        <w:t xml:space="preserve"> have led some to wonder if the old ways can meet modern challenges. McKeever (2020) notes that changing types of crime might force a re-evaluation of whether traditions that worked in the past are still appropriate today. This historical context, therefore, acts as an important backdrop for the current debate.</w:t>
      </w:r>
    </w:p>
    <w:p w14:paraId="7ACCF90D"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Taken together, these accounts show that while the UK’s unarmed tradition has historically fostered legitimacy and trust, scholars such as McKeever (2020) argue that evolving security threats now challenge the sustainability of this model. This tension between tradition and modern risk frames the central dilemma of the current debate.</w:t>
      </w:r>
    </w:p>
    <w:p w14:paraId="5F5F80E9" w14:textId="77777777" w:rsidR="001F19B3" w:rsidRPr="00AD5037" w:rsidRDefault="001F19B3" w:rsidP="00D34E47">
      <w:pPr>
        <w:pStyle w:val="Heading2"/>
      </w:pPr>
      <w:bookmarkStart w:id="22" w:name="_Toc209826952"/>
      <w:r w:rsidRPr="00AD5037">
        <w:t>2.3 Empirical Insights on Police Use of Force</w:t>
      </w:r>
      <w:bookmarkEnd w:id="22"/>
    </w:p>
    <w:p w14:paraId="2A15C5E3" w14:textId="1A978FC4" w:rsidR="001F19B3" w:rsidRPr="00AD5037" w:rsidRDefault="001F19B3" w:rsidP="001F19B3">
      <w:pPr>
        <w:pStyle w:val="NormalWeb"/>
        <w:rPr>
          <w:rFonts w:ascii="Calibri" w:hAnsi="Calibri" w:cs="Calibri"/>
          <w:color w:val="000000"/>
        </w:rPr>
      </w:pPr>
      <w:r w:rsidRPr="00AD5037">
        <w:rPr>
          <w:rFonts w:ascii="Calibri" w:hAnsi="Calibri" w:cs="Calibri"/>
          <w:color w:val="000000"/>
        </w:rPr>
        <w:t>A large portion of the literature focuses on how different factors affect the use of force by the Police. Brown and Newburn (2009) provide a thorough analysis, pointing out that it isn’t merely the presence of a firearm that dictates behaviour, but also the quality of training, clear organisational protocols, and the specifics of a given situation. In other words, arming more Police officers doesn’t necessarily lead to more effective policing</w:t>
      </w:r>
      <w:r w:rsidR="00517CF2">
        <w:rPr>
          <w:rFonts w:ascii="Calibri" w:hAnsi="Calibri" w:cs="Calibri"/>
          <w:color w:val="000000"/>
        </w:rPr>
        <w:t xml:space="preserve">; </w:t>
      </w:r>
      <w:r w:rsidRPr="00AD5037">
        <w:rPr>
          <w:rFonts w:ascii="Calibri" w:hAnsi="Calibri" w:cs="Calibri"/>
          <w:color w:val="000000"/>
        </w:rPr>
        <w:t>it very much depends on how those officers are prepared to use their weapons in high-pressure situations.</w:t>
      </w:r>
    </w:p>
    <w:p w14:paraId="20556856"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One of the major concerns is that just having more armed officers might escalate an encounter that might otherwise have been resolved peacefully. Taylor (2015) discusses how armed engagements can sometimes become self-fulfilling prophecies. In areas with a history of tension between the Police and members of the public, the sight of an armed officer may simply add fuel to the fire. Yesberg et al. (2021) carried out an experimental study across Great Britain and found that while some members of the public feel reassured seeing an armed officer, others experience heightened anxiety, interpreting the firearms as a sign that conflict is inevitable.</w:t>
      </w:r>
    </w:p>
    <w:p w14:paraId="0790810A" w14:textId="04A828E7" w:rsidR="001F19B3" w:rsidRPr="00AD5037" w:rsidRDefault="001F19B3" w:rsidP="001F19B3">
      <w:pPr>
        <w:pStyle w:val="NormalWeb"/>
        <w:rPr>
          <w:rFonts w:ascii="Calibri" w:hAnsi="Calibri" w:cs="Calibri"/>
          <w:color w:val="000000"/>
        </w:rPr>
      </w:pPr>
      <w:r w:rsidRPr="00AD5037">
        <w:rPr>
          <w:rFonts w:ascii="Calibri" w:hAnsi="Calibri" w:cs="Calibri"/>
          <w:color w:val="000000"/>
        </w:rPr>
        <w:t xml:space="preserve">At the heart of these discussions is the idea of deterrence. Some supporters of armed </w:t>
      </w:r>
      <w:r w:rsidR="00517CF2">
        <w:rPr>
          <w:rFonts w:ascii="Calibri" w:hAnsi="Calibri" w:cs="Calibri"/>
          <w:color w:val="000000"/>
        </w:rPr>
        <w:t>P</w:t>
      </w:r>
      <w:r w:rsidRPr="00AD5037">
        <w:rPr>
          <w:rFonts w:ascii="Calibri" w:hAnsi="Calibri" w:cs="Calibri"/>
          <w:color w:val="000000"/>
        </w:rPr>
        <w:t xml:space="preserve">olicing </w:t>
      </w:r>
      <w:r w:rsidR="00517CF2" w:rsidRPr="00AD5037">
        <w:rPr>
          <w:rFonts w:ascii="Calibri" w:hAnsi="Calibri" w:cs="Calibri"/>
          <w:color w:val="000000"/>
        </w:rPr>
        <w:t>consider</w:t>
      </w:r>
      <w:r w:rsidRPr="00AD5037">
        <w:rPr>
          <w:rFonts w:ascii="Calibri" w:hAnsi="Calibri" w:cs="Calibri"/>
          <w:color w:val="000000"/>
        </w:rPr>
        <w:t xml:space="preserve"> that the visible presence of a firearm can </w:t>
      </w:r>
      <w:r w:rsidR="00517CF2" w:rsidRPr="00AD5037">
        <w:rPr>
          <w:rFonts w:ascii="Calibri" w:hAnsi="Calibri" w:cs="Calibri"/>
          <w:color w:val="000000"/>
        </w:rPr>
        <w:t>deter</w:t>
      </w:r>
      <w:r w:rsidRPr="00AD5037">
        <w:rPr>
          <w:rFonts w:ascii="Calibri" w:hAnsi="Calibri" w:cs="Calibri"/>
          <w:color w:val="000000"/>
        </w:rPr>
        <w:t xml:space="preserve"> criminal activity by projecting strength. However, the evidence on this is far from conclusive. Sanders et al. (2024) report that it is often not just the arms themselves that have a deterrent effect, but the additional training and refined strategies that come with it. In short, increasing armament without simultaneously enhancing training might not yield the expected safety benefits.</w:t>
      </w:r>
    </w:p>
    <w:p w14:paraId="4DB30F49" w14:textId="304ED338" w:rsidR="001F19B3" w:rsidRPr="00AD5037" w:rsidRDefault="001F19B3" w:rsidP="001F19B3">
      <w:pPr>
        <w:pStyle w:val="NormalWeb"/>
        <w:rPr>
          <w:rFonts w:ascii="Calibri" w:hAnsi="Calibri" w:cs="Calibri"/>
          <w:color w:val="000000"/>
        </w:rPr>
      </w:pPr>
      <w:r w:rsidRPr="00AD5037">
        <w:rPr>
          <w:rFonts w:ascii="Calibri" w:hAnsi="Calibri" w:cs="Calibri"/>
          <w:color w:val="000000"/>
        </w:rPr>
        <w:t xml:space="preserve">The empirical research, therefore, seems to indicate that the relationship between increased armament and improvements in the use of force is both complex and highly </w:t>
      </w:r>
      <w:r w:rsidR="00517CF2" w:rsidRPr="00AD5037">
        <w:rPr>
          <w:rFonts w:ascii="Calibri" w:hAnsi="Calibri" w:cs="Calibri"/>
          <w:color w:val="000000"/>
        </w:rPr>
        <w:t>context</w:t>
      </w:r>
      <w:r w:rsidR="00517CF2">
        <w:rPr>
          <w:rFonts w:ascii="Calibri" w:hAnsi="Calibri" w:cs="Calibri"/>
          <w:color w:val="000000"/>
        </w:rPr>
        <w:t>-</w:t>
      </w:r>
      <w:r w:rsidR="00517CF2" w:rsidRPr="00AD5037">
        <w:rPr>
          <w:rFonts w:ascii="Calibri" w:hAnsi="Calibri" w:cs="Calibri"/>
          <w:color w:val="000000"/>
        </w:rPr>
        <w:t>dependent</w:t>
      </w:r>
      <w:r w:rsidRPr="00AD5037">
        <w:rPr>
          <w:rFonts w:ascii="Calibri" w:hAnsi="Calibri" w:cs="Calibri"/>
          <w:color w:val="000000"/>
        </w:rPr>
        <w:t xml:space="preserve">. The findings beg the question: can arming all officers lead to more </w:t>
      </w:r>
      <w:r w:rsidRPr="00AD5037">
        <w:rPr>
          <w:rFonts w:ascii="Calibri" w:hAnsi="Calibri" w:cs="Calibri"/>
          <w:color w:val="000000"/>
        </w:rPr>
        <w:lastRenderedPageBreak/>
        <w:t>productive outcomes, or might it instead tip the balance towards unnecessarily aggressive responses?</w:t>
      </w:r>
    </w:p>
    <w:p w14:paraId="5E2E520F" w14:textId="77777777" w:rsidR="001F19B3" w:rsidRPr="00AD5037" w:rsidRDefault="001F19B3" w:rsidP="001F19B3">
      <w:pPr>
        <w:pStyle w:val="Heading2"/>
        <w:rPr>
          <w:rFonts w:ascii="Calibri" w:hAnsi="Calibri" w:cs="Calibri"/>
          <w:color w:val="000000"/>
          <w:sz w:val="24"/>
          <w:szCs w:val="24"/>
        </w:rPr>
      </w:pPr>
    </w:p>
    <w:p w14:paraId="221AEDA1" w14:textId="77777777" w:rsidR="001F19B3" w:rsidRPr="00AD5037" w:rsidRDefault="001F19B3" w:rsidP="00D34E47">
      <w:pPr>
        <w:pStyle w:val="Heading2"/>
      </w:pPr>
      <w:bookmarkStart w:id="23" w:name="_Toc209826953"/>
      <w:r w:rsidRPr="00AD5037">
        <w:t>2.4 Police Militarisation and Its Implications</w:t>
      </w:r>
      <w:bookmarkEnd w:id="23"/>
    </w:p>
    <w:p w14:paraId="03967881" w14:textId="60F7EBB8" w:rsidR="001F19B3" w:rsidRPr="00AD5037" w:rsidRDefault="001F19B3" w:rsidP="001F19B3">
      <w:pPr>
        <w:pStyle w:val="NormalWeb"/>
        <w:rPr>
          <w:rFonts w:ascii="Calibri" w:hAnsi="Calibri" w:cs="Calibri"/>
          <w:color w:val="000000"/>
        </w:rPr>
      </w:pPr>
      <w:r w:rsidRPr="00AD5037">
        <w:rPr>
          <w:rFonts w:ascii="Calibri" w:hAnsi="Calibri" w:cs="Calibri"/>
          <w:color w:val="000000"/>
        </w:rPr>
        <w:t>Another crucial aspect of this debate is the issue of militarisation. Militarisation refers to Police forces adopting military-style equipment, tactics, and even organisational structures. Liederbach (2008) provides a detailed look at the American experience, showing that increased militarisation tends to be associated with a higher frequency of aggressive encounters and even unnecessary use of force.</w:t>
      </w:r>
    </w:p>
    <w:p w14:paraId="3E998EF5"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In the UK, the idea of introducing militaristic practices is met with significant scepticism. Williams (2017) argues that a shift away from the unarmed tradition risks eroding the community ethos that the British Police have long represented. Even a slight move toward heavier armament could be seen as a break with the principles that have fostered trust between the Police and members of the public for decades.</w:t>
      </w:r>
    </w:p>
    <w:p w14:paraId="240E1948" w14:textId="62C92265" w:rsidR="001F19B3" w:rsidRPr="00AD5037" w:rsidRDefault="001F19B3" w:rsidP="001F19B3">
      <w:pPr>
        <w:pStyle w:val="NormalWeb"/>
        <w:rPr>
          <w:rFonts w:ascii="Calibri" w:hAnsi="Calibri" w:cs="Calibri"/>
          <w:color w:val="000000"/>
        </w:rPr>
      </w:pPr>
      <w:r w:rsidRPr="00AD5037">
        <w:rPr>
          <w:rFonts w:ascii="Calibri" w:hAnsi="Calibri" w:cs="Calibri"/>
          <w:color w:val="000000"/>
        </w:rPr>
        <w:t xml:space="preserve">This wariness is compounded by concerns about abuse of power. </w:t>
      </w:r>
      <w:r w:rsidR="00517CF2" w:rsidRPr="00517CF2">
        <w:rPr>
          <w:rFonts w:ascii="Calibri" w:hAnsi="Calibri" w:cs="Calibri"/>
          <w:color w:val="000000"/>
        </w:rPr>
        <w:t xml:space="preserve">Campaign Against Arms Trade (CAAT) and Netpol (2022) </w:t>
      </w:r>
      <w:r w:rsidRPr="00AD5037">
        <w:rPr>
          <w:rFonts w:ascii="Calibri" w:hAnsi="Calibri" w:cs="Calibri"/>
          <w:color w:val="000000"/>
        </w:rPr>
        <w:t>on the evolution of Britain’s militarised Police warns that even small increases in the use of military-grade equipment and tactics can have a lasting impact on how the Police are perceived by members of the public. Once the lines between defensive action and proactive aggression blur, accountability can decline, and so can public trust.</w:t>
      </w:r>
    </w:p>
    <w:p w14:paraId="4BECB58C" w14:textId="7989E31C" w:rsidR="001F19B3" w:rsidRPr="00AD5037" w:rsidRDefault="001F19B3" w:rsidP="001F19B3">
      <w:pPr>
        <w:pStyle w:val="NormalWeb"/>
        <w:rPr>
          <w:rFonts w:ascii="Calibri" w:hAnsi="Calibri" w:cs="Calibri"/>
          <w:color w:val="000000"/>
        </w:rPr>
      </w:pPr>
      <w:r w:rsidRPr="00AD5037">
        <w:rPr>
          <w:rFonts w:ascii="Calibri" w:hAnsi="Calibri" w:cs="Calibri"/>
          <w:color w:val="000000"/>
        </w:rPr>
        <w:t>Braakmann (2025) further highlights that increased militarisation may adversely affect racial and class dynamics, particularly in communities that have already experienced over-</w:t>
      </w:r>
      <w:r w:rsidR="005334AE">
        <w:rPr>
          <w:rFonts w:ascii="Calibri" w:hAnsi="Calibri" w:cs="Calibri"/>
          <w:color w:val="000000"/>
        </w:rPr>
        <w:t>P</w:t>
      </w:r>
      <w:r w:rsidRPr="00AD5037">
        <w:rPr>
          <w:rFonts w:ascii="Calibri" w:hAnsi="Calibri" w:cs="Calibri"/>
          <w:color w:val="000000"/>
        </w:rPr>
        <w:t>olicing. Her study in The British Journal of Criminology argues that minor changes towards a more aggressive, armed approach might disproportionately impact certain communities, thereby widening the already existing divide between the Police and members of the public.</w:t>
      </w:r>
    </w:p>
    <w:p w14:paraId="52FDA642"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Comparing the American and British experiences highlights a key distinction: while US research emphasises operational risks such as increased aggression (Liederbach, 2008), UK scholarship is more concerned with symbolic legitimacy and community trust (Williams, 2017). Together, these perspectives underline that militarisation is not only a tactical issue but also a cultural one, with disproportionate effects on marginalised groups (Braakmann, 2025).</w:t>
      </w:r>
    </w:p>
    <w:p w14:paraId="6AD6BF31" w14:textId="77777777" w:rsidR="001F19B3" w:rsidRPr="00AD5037" w:rsidRDefault="001F19B3" w:rsidP="00D34E47">
      <w:pPr>
        <w:pStyle w:val="Heading2"/>
      </w:pPr>
      <w:bookmarkStart w:id="24" w:name="_Toc209826954"/>
      <w:r w:rsidRPr="00AD5037">
        <w:t>2.5 Armed Response Units and Public Perceptions</w:t>
      </w:r>
      <w:bookmarkEnd w:id="24"/>
    </w:p>
    <w:p w14:paraId="18CAA742" w14:textId="1A091E29" w:rsidR="001F19B3" w:rsidRPr="00AD5037" w:rsidRDefault="001F19B3" w:rsidP="001F19B3">
      <w:pPr>
        <w:pStyle w:val="NormalWeb"/>
        <w:rPr>
          <w:rFonts w:ascii="Calibri" w:hAnsi="Calibri" w:cs="Calibri"/>
          <w:color w:val="000000"/>
        </w:rPr>
      </w:pPr>
      <w:r w:rsidRPr="00AD5037">
        <w:rPr>
          <w:rFonts w:ascii="Calibri" w:hAnsi="Calibri" w:cs="Calibri"/>
          <w:color w:val="000000"/>
        </w:rPr>
        <w:t>At present, most UK Police forces rely on specialised armed response units. These units are deployed only when a situation clearly demands a higher level of force, thereby maintaining a general public impression that most everyday interactions are non-threatening. Alderden and Mastrofski (2007) show that while armed response units are effective in high-risk situations, their limited use reinforces a beneficial divide between routine and exceptional circumstances.</w:t>
      </w:r>
    </w:p>
    <w:p w14:paraId="317F3CE9"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lastRenderedPageBreak/>
        <w:t>This selective approach is important because it helps preserve the traditional image of the Police as a community-focused organisation. Jones and Roberts (2013) explain that when members of the public see that only a few specially trained officers are armed, it reassures them that the broader Police force is dedicated to de-escalation and engagement rather than inevitable confrontation.</w:t>
      </w:r>
    </w:p>
    <w:p w14:paraId="79507761"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However, if the policy were to change so that every Police officer is armed, many scholars worry that this symbolic balance would be lost. Yesberg et al. (2022) explore the interplay of race and public perception of armed Police, arguing that a widespread increase in armed officers could raise levels of anxiety amongst members of the public, especially in communities that have historically had tense relations with the Police. What was once a situation where armed officers are a last resort would become a new normal, potentially undermining confidence in the overall approach of Police work.</w:t>
      </w:r>
    </w:p>
    <w:p w14:paraId="1F00C20C"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Furthermore, research by Taylor (2015) suggests that when every officer is carrying a firearm, the clear signals regarding when and how force should be used can become muddled. Officers might be tempted to resort to force more readily in ambiguous situations, which could lead to a decline in overall safety for both officers and members of the public.</w:t>
      </w:r>
    </w:p>
    <w:p w14:paraId="7B20F8EF" w14:textId="77777777" w:rsidR="001F19B3" w:rsidRPr="00AD5037" w:rsidRDefault="001F19B3" w:rsidP="001F19B3">
      <w:pPr>
        <w:pStyle w:val="NormalWeb"/>
        <w:rPr>
          <w:rFonts w:ascii="Calibri" w:hAnsi="Calibri" w:cs="Calibri"/>
          <w:color w:val="000000"/>
        </w:rPr>
      </w:pPr>
    </w:p>
    <w:p w14:paraId="00F9EE44" w14:textId="77777777" w:rsidR="001F19B3" w:rsidRPr="00AD5037" w:rsidRDefault="001F19B3" w:rsidP="00D34E47">
      <w:pPr>
        <w:pStyle w:val="Heading2"/>
      </w:pPr>
      <w:bookmarkStart w:id="25" w:name="_Toc209826955"/>
      <w:r w:rsidRPr="00AD5037">
        <w:t>2.6 The National Decision Model (NDM)</w:t>
      </w:r>
      <w:bookmarkEnd w:id="25"/>
    </w:p>
    <w:p w14:paraId="4488BD36" w14:textId="1C2DE511" w:rsidR="001F19B3" w:rsidRPr="00AD5037" w:rsidRDefault="001F19B3" w:rsidP="001F19B3">
      <w:pPr>
        <w:pStyle w:val="NormalWeb"/>
        <w:rPr>
          <w:rFonts w:ascii="Calibri" w:hAnsi="Calibri" w:cs="Calibri"/>
          <w:color w:val="000000"/>
        </w:rPr>
      </w:pPr>
      <w:r w:rsidRPr="00AD5037">
        <w:rPr>
          <w:rFonts w:ascii="Calibri" w:hAnsi="Calibri" w:cs="Calibri"/>
          <w:color w:val="000000"/>
        </w:rPr>
        <w:t xml:space="preserve">The National Decision Model (NDM) is a pivotal framework that the UK Police use to guide their decision‐making when faced with challenging situations. </w:t>
      </w:r>
      <w:r w:rsidRPr="005334AE">
        <w:rPr>
          <w:rFonts w:ascii="Calibri" w:hAnsi="Calibri" w:cs="Calibri"/>
          <w:color w:val="000000"/>
        </w:rPr>
        <w:t xml:space="preserve">Introduced by the College of Police </w:t>
      </w:r>
      <w:r w:rsidR="005334AE" w:rsidRPr="005334AE">
        <w:rPr>
          <w:rFonts w:ascii="Calibri" w:hAnsi="Calibri" w:cs="Calibri"/>
          <w:color w:val="000000"/>
        </w:rPr>
        <w:t xml:space="preserve">in 2011 by the Association of Chief Police Officers (ACPO) </w:t>
      </w:r>
      <w:r w:rsidRPr="00AD5037">
        <w:rPr>
          <w:rFonts w:ascii="Calibri" w:hAnsi="Calibri" w:cs="Calibri"/>
          <w:color w:val="000000"/>
        </w:rPr>
        <w:t>(College of Police, 2024), the NDM offers a structured process which starts by gathering all the relevant information, assessing risks, considering the applicable powers and policies, and finally, selecting and implementing an option before reviewing the outcome. Importantly, this model ensures that the ethical standards, as laid out in the Police Code of Ethics, are front and centre.</w:t>
      </w:r>
    </w:p>
    <w:p w14:paraId="4CCF8A59"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In the context of whether all Police officers should carry firearms, the NDM is especially relevant. When an armed encounter arises, the model encourages officers to take a few deep breaths, verify all the facts, consider the potential risks to themselves and members of the public, and assess alternative options before taking any action. Edwards (2021) found that officers who stick closely to the NDM tend to make better decisions under pressure, reducing the chance of unnecessary escalation. This aspect is key because, without a structured decision‐making process, simply arming every officer might lead to hastier, more aggressive outcomes.</w:t>
      </w:r>
    </w:p>
    <w:p w14:paraId="5305453E" w14:textId="4033F5AC" w:rsidR="001F19B3" w:rsidRPr="00AD5037" w:rsidRDefault="001F19B3" w:rsidP="001F19B3">
      <w:pPr>
        <w:pStyle w:val="NormalWeb"/>
        <w:rPr>
          <w:rFonts w:ascii="Calibri" w:hAnsi="Calibri" w:cs="Calibri"/>
          <w:color w:val="000000"/>
        </w:rPr>
      </w:pPr>
      <w:r w:rsidRPr="00AD5037">
        <w:rPr>
          <w:rFonts w:ascii="Calibri" w:hAnsi="Calibri" w:cs="Calibri"/>
          <w:color w:val="000000"/>
        </w:rPr>
        <w:t>Clark and Bennett (2010) have shown that following a methodical decision‐making model helps maintain trust between the Police and members of the public. When people see that the Police are using a transparent, well‐reasoned process even in critical situations, it reassures them that every use of force is carefully justified. In essence, the NDM isn’t just about making decisions</w:t>
      </w:r>
      <w:r w:rsidR="005334AE">
        <w:rPr>
          <w:rFonts w:ascii="Calibri" w:hAnsi="Calibri" w:cs="Calibri"/>
          <w:color w:val="000000"/>
        </w:rPr>
        <w:t xml:space="preserve">, </w:t>
      </w:r>
      <w:r w:rsidRPr="00AD5037">
        <w:rPr>
          <w:rFonts w:ascii="Calibri" w:hAnsi="Calibri" w:cs="Calibri"/>
          <w:color w:val="000000"/>
        </w:rPr>
        <w:t>it’s about ensuring that every action taken is ethical, proportionate and, importantly, defensible both in practice and in the public eye.</w:t>
      </w:r>
    </w:p>
    <w:p w14:paraId="0C3E4C4B" w14:textId="77777777" w:rsidR="001F19B3" w:rsidRPr="00AD5037" w:rsidRDefault="001F19B3" w:rsidP="001F19B3">
      <w:pPr>
        <w:pStyle w:val="NormalWeb"/>
        <w:rPr>
          <w:rFonts w:ascii="Calibri" w:hAnsi="Calibri" w:cs="Calibri"/>
          <w:color w:val="000000"/>
        </w:rPr>
      </w:pPr>
    </w:p>
    <w:p w14:paraId="149E1B5B" w14:textId="77777777" w:rsidR="001F19B3" w:rsidRPr="00AD5037" w:rsidRDefault="001F19B3" w:rsidP="00D34E47">
      <w:pPr>
        <w:pStyle w:val="Heading2"/>
      </w:pPr>
      <w:bookmarkStart w:id="26" w:name="_Toc209826956"/>
      <w:r w:rsidRPr="00AD5037">
        <w:t>2.7 Theoretical Frameworks and Ethical Considerations</w:t>
      </w:r>
      <w:bookmarkEnd w:id="26"/>
    </w:p>
    <w:p w14:paraId="519FAE6F" w14:textId="69F5B99D" w:rsidR="001F19B3" w:rsidRPr="00AD5037" w:rsidRDefault="001F19B3" w:rsidP="001F19B3">
      <w:pPr>
        <w:pStyle w:val="NormalWeb"/>
        <w:rPr>
          <w:rFonts w:ascii="Calibri" w:hAnsi="Calibri" w:cs="Calibri"/>
          <w:color w:val="000000"/>
        </w:rPr>
      </w:pPr>
      <w:r w:rsidRPr="00AD5037">
        <w:rPr>
          <w:rFonts w:ascii="Calibri" w:hAnsi="Calibri" w:cs="Calibri"/>
          <w:color w:val="000000"/>
        </w:rPr>
        <w:t>Much of the academic debate on whether every Police officer should be armed revolves around theories of legitimacy and ethics. Legitimacy theory suggests that the authority of the Police and the likelihood that members of the public will abide by their instructions rest on the trust built over time. Clark and Bennett (2010) contend that any dramatic shift towards routine armament risks undermining that trust if members of the public perceive such measures to be</w:t>
      </w:r>
      <w:r w:rsidR="005334AE">
        <w:rPr>
          <w:rFonts w:ascii="Calibri" w:hAnsi="Calibri" w:cs="Calibri"/>
          <w:color w:val="000000"/>
        </w:rPr>
        <w:t xml:space="preserve"> in conflict</w:t>
      </w:r>
      <w:r w:rsidRPr="00AD5037">
        <w:rPr>
          <w:rFonts w:ascii="Calibri" w:hAnsi="Calibri" w:cs="Calibri"/>
          <w:color w:val="000000"/>
        </w:rPr>
        <w:t xml:space="preserve"> with the traditional British values of fairness and restraint.</w:t>
      </w:r>
    </w:p>
    <w:p w14:paraId="75F3CC76"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On the other hand, deterrence theory posits that a visible display of firearms can serve as a deterrent to criminal activity. While this theory supports the idea of armament, the practical evidence remains unclear. Sanders et al. (2024) demonstrate that the benefits of deterrence mostly come when increased armament is paired with better training and more refined operational protocols. In isolation, merely equipping every officer with a firearm may not deliver the expected outcomes.</w:t>
      </w:r>
    </w:p>
    <w:p w14:paraId="24F7B98A" w14:textId="470E2056" w:rsidR="001F19B3" w:rsidRPr="00AD5037" w:rsidRDefault="001F19B3" w:rsidP="001F19B3">
      <w:pPr>
        <w:pStyle w:val="NormalWeb"/>
        <w:rPr>
          <w:rFonts w:ascii="Calibri" w:hAnsi="Calibri" w:cs="Calibri"/>
          <w:color w:val="000000"/>
        </w:rPr>
      </w:pPr>
      <w:r w:rsidRPr="00AD5037">
        <w:rPr>
          <w:rFonts w:ascii="Calibri" w:hAnsi="Calibri" w:cs="Calibri"/>
          <w:color w:val="000000"/>
        </w:rPr>
        <w:t>Ethically, the move towards universal armament raises some significant dilemmas. Proponents argue that armed officers are better protected, which</w:t>
      </w:r>
      <w:r w:rsidR="005334AE">
        <w:rPr>
          <w:rFonts w:ascii="Calibri" w:hAnsi="Calibri" w:cs="Calibri"/>
          <w:color w:val="000000"/>
        </w:rPr>
        <w:t>,</w:t>
      </w:r>
      <w:r w:rsidRPr="00AD5037">
        <w:rPr>
          <w:rFonts w:ascii="Calibri" w:hAnsi="Calibri" w:cs="Calibri"/>
          <w:color w:val="000000"/>
        </w:rPr>
        <w:t xml:space="preserve"> in theory</w:t>
      </w:r>
      <w:r w:rsidR="005334AE">
        <w:rPr>
          <w:rFonts w:ascii="Calibri" w:hAnsi="Calibri" w:cs="Calibri"/>
          <w:color w:val="000000"/>
        </w:rPr>
        <w:t>,</w:t>
      </w:r>
      <w:r w:rsidRPr="00AD5037">
        <w:rPr>
          <w:rFonts w:ascii="Calibri" w:hAnsi="Calibri" w:cs="Calibri"/>
          <w:color w:val="000000"/>
        </w:rPr>
        <w:t xml:space="preserve"> should translate into safer outcomes for all. But critics worry that this could lower the threshold for using lethal force. Williams (2017) warns that when every officer is carrying a gun, there is a risk of shifting the default mode from de-escalation to confrontation, undermining the very principles of ethical </w:t>
      </w:r>
      <w:r w:rsidR="005334AE">
        <w:rPr>
          <w:rFonts w:ascii="Calibri" w:hAnsi="Calibri" w:cs="Calibri"/>
          <w:color w:val="000000"/>
        </w:rPr>
        <w:t>P</w:t>
      </w:r>
      <w:r w:rsidRPr="00AD5037">
        <w:rPr>
          <w:rFonts w:ascii="Calibri" w:hAnsi="Calibri" w:cs="Calibri"/>
          <w:color w:val="000000"/>
        </w:rPr>
        <w:t xml:space="preserve">olicing. Maile et al. (2023) further argue that true </w:t>
      </w:r>
      <w:r w:rsidR="005334AE">
        <w:rPr>
          <w:rFonts w:ascii="Calibri" w:hAnsi="Calibri" w:cs="Calibri"/>
          <w:color w:val="000000"/>
        </w:rPr>
        <w:t>P</w:t>
      </w:r>
      <w:r w:rsidRPr="00AD5037">
        <w:rPr>
          <w:rFonts w:ascii="Calibri" w:hAnsi="Calibri" w:cs="Calibri"/>
          <w:color w:val="000000"/>
        </w:rPr>
        <w:t>olicing requires discretion, empathy, and an ability to resolve conflicts without force</w:t>
      </w:r>
      <w:r w:rsidR="005334AE">
        <w:rPr>
          <w:rFonts w:ascii="Calibri" w:hAnsi="Calibri" w:cs="Calibri"/>
          <w:color w:val="000000"/>
        </w:rPr>
        <w:t xml:space="preserve">, </w:t>
      </w:r>
      <w:r w:rsidRPr="00AD5037">
        <w:rPr>
          <w:rFonts w:ascii="Calibri" w:hAnsi="Calibri" w:cs="Calibri"/>
          <w:color w:val="000000"/>
        </w:rPr>
        <w:t>qualities that could be diminished in a uniformly armed force if not carefully managed.</w:t>
      </w:r>
    </w:p>
    <w:p w14:paraId="4E95A18C"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In essence, the ethical debate is not clear-cut. While increased armament might enhance safety in some situations, it also risks eroding the humanistic values that have long defined UK Police work. The challenge is to maintain a balance, ensuring that officers are protected without sacrificing the trust and cooperation of the members of the public.</w:t>
      </w:r>
    </w:p>
    <w:p w14:paraId="6510B405" w14:textId="77777777" w:rsidR="001F19B3" w:rsidRPr="00AD5037" w:rsidRDefault="001F19B3" w:rsidP="00D34E47">
      <w:pPr>
        <w:pStyle w:val="Heading2"/>
      </w:pPr>
      <w:bookmarkStart w:id="27" w:name="_Toc209826957"/>
      <w:r w:rsidRPr="00AD5037">
        <w:t>2.8 Gaps in the Literature and Future Directions</w:t>
      </w:r>
      <w:bookmarkEnd w:id="27"/>
    </w:p>
    <w:p w14:paraId="48055D65" w14:textId="7D5C797A" w:rsidR="001F19B3" w:rsidRPr="00AD5037" w:rsidRDefault="001F19B3" w:rsidP="001F19B3">
      <w:pPr>
        <w:pStyle w:val="NormalWeb"/>
        <w:rPr>
          <w:rFonts w:ascii="Calibri" w:hAnsi="Calibri" w:cs="Calibri"/>
          <w:color w:val="000000"/>
        </w:rPr>
      </w:pPr>
      <w:r w:rsidRPr="00AD5037">
        <w:rPr>
          <w:rFonts w:ascii="Calibri" w:hAnsi="Calibri" w:cs="Calibri"/>
          <w:color w:val="000000"/>
        </w:rPr>
        <w:t>Although the academic landscape surrounding armed Police is rich, several gaps remain that need addressing. For example, much of the early work on Police armament draws on studies from the United States</w:t>
      </w:r>
      <w:r w:rsidR="005334AE">
        <w:rPr>
          <w:rFonts w:ascii="Calibri" w:hAnsi="Calibri" w:cs="Calibri"/>
          <w:color w:val="000000"/>
        </w:rPr>
        <w:t xml:space="preserve">, </w:t>
      </w:r>
      <w:r w:rsidRPr="00AD5037">
        <w:rPr>
          <w:rFonts w:ascii="Calibri" w:hAnsi="Calibri" w:cs="Calibri"/>
          <w:color w:val="000000"/>
        </w:rPr>
        <w:t>a context that is very different from that of the UK. Liederbach (2008) and Taylor (2015) present important empirical findings from America, yet their direct applicability to the British setting is often uncertain.</w:t>
      </w:r>
      <w:r w:rsidR="005334AE">
        <w:rPr>
          <w:rFonts w:ascii="Calibri" w:hAnsi="Calibri" w:cs="Calibri"/>
          <w:color w:val="000000"/>
        </w:rPr>
        <w:t xml:space="preserve"> </w:t>
      </w:r>
      <w:r w:rsidR="005334AE" w:rsidRPr="005334AE">
        <w:rPr>
          <w:rFonts w:ascii="Calibri" w:hAnsi="Calibri" w:cs="Calibri"/>
          <w:color w:val="000000"/>
        </w:rPr>
        <w:t xml:space="preserve">This is because the United States operates within a different </w:t>
      </w:r>
      <w:r w:rsidR="005334AE">
        <w:rPr>
          <w:rFonts w:ascii="Calibri" w:hAnsi="Calibri" w:cs="Calibri"/>
          <w:color w:val="000000"/>
        </w:rPr>
        <w:t>P</w:t>
      </w:r>
      <w:r w:rsidR="005334AE" w:rsidRPr="005334AE">
        <w:rPr>
          <w:rFonts w:ascii="Calibri" w:hAnsi="Calibri" w:cs="Calibri"/>
          <w:color w:val="000000"/>
        </w:rPr>
        <w:t xml:space="preserve">olicing culture, legal framework, and historical relationship with firearms. Unlike the UK, where routine arming has never been </w:t>
      </w:r>
      <w:r w:rsidR="005334AE">
        <w:rPr>
          <w:rFonts w:ascii="Calibri" w:hAnsi="Calibri" w:cs="Calibri"/>
          <w:color w:val="000000"/>
        </w:rPr>
        <w:t>routine</w:t>
      </w:r>
      <w:r w:rsidR="005334AE" w:rsidRPr="005334AE">
        <w:rPr>
          <w:rFonts w:ascii="Calibri" w:hAnsi="Calibri" w:cs="Calibri"/>
          <w:color w:val="000000"/>
        </w:rPr>
        <w:t>, American officers are universally armed, and public expectations, crime patterns, and constitutional protections around gun ownership shape officer behaviour in ways that are not directly comparable.</w:t>
      </w:r>
    </w:p>
    <w:p w14:paraId="10DCCA41"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 xml:space="preserve">Roycroft (2014) has highlighted that there is a marked lack of UK-specific research examining the long-term effects of arming all Police officers on community trust and the overall nature of Police work. More recent work by Yesberg et al. (2021, 2022) has begun to </w:t>
      </w:r>
      <w:r w:rsidRPr="00AD5037">
        <w:rPr>
          <w:rFonts w:ascii="Calibri" w:hAnsi="Calibri" w:cs="Calibri"/>
          <w:color w:val="000000"/>
        </w:rPr>
        <w:lastRenderedPageBreak/>
        <w:t>fill this gap by focusing on how members of the public perceive armed Police officers in Great Britain. Still, further longitudinal studies are needed to truly understand whether any short-term tactical advantages might eventually be outweighed by long-term detrimental effects.</w:t>
      </w:r>
    </w:p>
    <w:p w14:paraId="0147DBEF" w14:textId="77777777" w:rsidR="001F19B3" w:rsidRPr="00AD5037" w:rsidRDefault="001F19B3" w:rsidP="001F19B3">
      <w:pPr>
        <w:pStyle w:val="NormalWeb"/>
        <w:rPr>
          <w:rFonts w:ascii="Calibri" w:hAnsi="Calibri" w:cs="Calibri"/>
          <w:color w:val="000000"/>
        </w:rPr>
      </w:pPr>
      <w:r w:rsidRPr="00AD5037">
        <w:rPr>
          <w:rFonts w:ascii="Calibri" w:hAnsi="Calibri" w:cs="Calibri"/>
          <w:color w:val="000000"/>
        </w:rPr>
        <w:t>Another underexplored area is the influence of regional differences within the UK. Some research hints that attitudes towards armed Police may vary considerably between urban and rural areas, or among different demographic groups (Braakmann, 2025). Future research should delve into these nuances to explore how factors such as socioeconomic status, ethnicity, and local history interact with perceptions of armed Police.</w:t>
      </w:r>
    </w:p>
    <w:p w14:paraId="3CCD1BC4" w14:textId="254EB9D5" w:rsidR="001F19B3" w:rsidRPr="00AD5037" w:rsidRDefault="001F19B3" w:rsidP="001F19B3">
      <w:pPr>
        <w:pStyle w:val="NormalWeb"/>
        <w:rPr>
          <w:rFonts w:ascii="Calibri" w:hAnsi="Calibri" w:cs="Calibri"/>
          <w:color w:val="000000"/>
        </w:rPr>
      </w:pPr>
      <w:r w:rsidRPr="00AD5037">
        <w:rPr>
          <w:rFonts w:ascii="Calibri" w:hAnsi="Calibri" w:cs="Calibri"/>
          <w:color w:val="000000"/>
        </w:rPr>
        <w:t>The ethical dimensions, too, remain a ripe area for further exploration. The work by Maile et al. (2023) and Williams (2017) makes it clear that any changes in armament policy must be supported by robust ethical frameworks and enhanced training in de-escalation. Only by combining empirical research with ethical analysis can a truly balanced approach be forged</w:t>
      </w:r>
      <w:r w:rsidR="00886B7F">
        <w:rPr>
          <w:rFonts w:ascii="Calibri" w:hAnsi="Calibri" w:cs="Calibri"/>
          <w:color w:val="000000"/>
        </w:rPr>
        <w:t xml:space="preserve">, </w:t>
      </w:r>
      <w:r w:rsidRPr="00AD5037">
        <w:rPr>
          <w:rFonts w:ascii="Calibri" w:hAnsi="Calibri" w:cs="Calibri"/>
          <w:color w:val="000000"/>
        </w:rPr>
        <w:t>one that protects officers and retains the trust of the members of the public.</w:t>
      </w:r>
    </w:p>
    <w:p w14:paraId="0EA05671" w14:textId="6BAA972E" w:rsidR="001F19B3" w:rsidRPr="00AD5037" w:rsidRDefault="001F19B3" w:rsidP="00D34E47">
      <w:pPr>
        <w:pStyle w:val="Heading2"/>
      </w:pPr>
      <w:bookmarkStart w:id="28" w:name="_Toc209826958"/>
      <w:r w:rsidRPr="00AD5037">
        <w:t>2.9 Conclusion</w:t>
      </w:r>
      <w:bookmarkEnd w:id="28"/>
    </w:p>
    <w:p w14:paraId="40B418AF" w14:textId="77777777" w:rsidR="001F19B3" w:rsidRPr="00AD5037" w:rsidRDefault="001F19B3" w:rsidP="001F19B3">
      <w:pPr>
        <w:rPr>
          <w:rFonts w:ascii="Calibri" w:hAnsi="Calibri" w:cs="Calibri"/>
          <w:sz w:val="24"/>
          <w:szCs w:val="24"/>
        </w:rPr>
      </w:pPr>
    </w:p>
    <w:p w14:paraId="3820F73B" w14:textId="0E79D959" w:rsidR="001F19B3" w:rsidRPr="00AD5037" w:rsidRDefault="001F19B3" w:rsidP="001F19B3">
      <w:pPr>
        <w:rPr>
          <w:rFonts w:ascii="Calibri" w:hAnsi="Calibri" w:cs="Calibri"/>
          <w:sz w:val="24"/>
          <w:szCs w:val="24"/>
        </w:rPr>
      </w:pPr>
      <w:r w:rsidRPr="00AD5037">
        <w:rPr>
          <w:rFonts w:ascii="Calibri" w:hAnsi="Calibri" w:cs="Calibri"/>
          <w:sz w:val="24"/>
          <w:szCs w:val="24"/>
        </w:rPr>
        <w:t>The debate over whether all UK Police officers should be routinely armed is deeply rooted in the nation’s historical tradition of unarmed Policing by consent, yet increasingly shaped by contemporary security challenges. The literature demonstrates that while firearms may enhance officer safety and deterrence in certain contexts, they also carry risks of escalation, blurred decision</w:t>
      </w:r>
      <w:r w:rsidR="00886B7F">
        <w:rPr>
          <w:rFonts w:ascii="Calibri" w:hAnsi="Calibri" w:cs="Calibri"/>
          <w:sz w:val="24"/>
          <w:szCs w:val="24"/>
        </w:rPr>
        <w:t>-</w:t>
      </w:r>
      <w:r w:rsidRPr="00AD5037">
        <w:rPr>
          <w:rFonts w:ascii="Calibri" w:hAnsi="Calibri" w:cs="Calibri"/>
          <w:sz w:val="24"/>
          <w:szCs w:val="24"/>
        </w:rPr>
        <w:t xml:space="preserve">making, and erosion of public trust. </w:t>
      </w:r>
    </w:p>
    <w:p w14:paraId="63B96587" w14:textId="77777777" w:rsidR="001F19B3" w:rsidRPr="00AD5037" w:rsidRDefault="001F19B3" w:rsidP="001F19B3">
      <w:pPr>
        <w:rPr>
          <w:rFonts w:ascii="Calibri" w:hAnsi="Calibri" w:cs="Calibri"/>
          <w:sz w:val="24"/>
          <w:szCs w:val="24"/>
        </w:rPr>
      </w:pPr>
    </w:p>
    <w:p w14:paraId="5A78D6BD" w14:textId="77777777" w:rsidR="001F19B3" w:rsidRPr="00AD5037" w:rsidRDefault="001F19B3" w:rsidP="001F19B3">
      <w:pPr>
        <w:rPr>
          <w:rFonts w:ascii="Calibri" w:hAnsi="Calibri" w:cs="Calibri"/>
          <w:sz w:val="24"/>
          <w:szCs w:val="24"/>
        </w:rPr>
      </w:pPr>
      <w:r w:rsidRPr="00AD5037">
        <w:rPr>
          <w:rFonts w:ascii="Calibri" w:hAnsi="Calibri" w:cs="Calibri"/>
          <w:sz w:val="24"/>
          <w:szCs w:val="24"/>
        </w:rPr>
        <w:t>Studies such as Brown and Newburn (2009) and Taylor (2015) emphasise that the effectiveness of armed Policing depends less on the presence of weapons and more on the quality of training, organisational culture, and the clarity of operational protocols.</w:t>
      </w:r>
    </w:p>
    <w:p w14:paraId="68D303AC" w14:textId="0D0AE387" w:rsidR="001F19B3" w:rsidRPr="00AD5037" w:rsidRDefault="001F19B3" w:rsidP="001F19B3">
      <w:pPr>
        <w:rPr>
          <w:rFonts w:ascii="Calibri" w:hAnsi="Calibri" w:cs="Calibri"/>
          <w:sz w:val="24"/>
          <w:szCs w:val="24"/>
        </w:rPr>
      </w:pPr>
      <w:r w:rsidRPr="00AD5037">
        <w:rPr>
          <w:rFonts w:ascii="Calibri" w:hAnsi="Calibri" w:cs="Calibri"/>
          <w:sz w:val="24"/>
          <w:szCs w:val="24"/>
        </w:rPr>
        <w:t>Concerns about militarisation (Liederbach, 2008; Williams, 2017; Braakmann, 2025) highlight the potential for armed Policing to alter community relationships, particularly in already marginalised areas. Research on armed response units (Alderden and Mastrofski, 2007; Jones and Roberts, 2013) suggests that limiting firearms to specialist teams helps preserve the symbolic balance between routine engagement and exceptional force. Meanwhile, frameworks such as the National Decision Model (College of Policing, 2024; Edwards, 2021) illustrate how ethical, proportionate decision</w:t>
      </w:r>
      <w:r w:rsidR="00886B7F">
        <w:rPr>
          <w:rFonts w:ascii="Calibri" w:hAnsi="Calibri" w:cs="Calibri"/>
          <w:sz w:val="24"/>
          <w:szCs w:val="24"/>
        </w:rPr>
        <w:t>-</w:t>
      </w:r>
      <w:r w:rsidRPr="00AD5037">
        <w:rPr>
          <w:rFonts w:ascii="Calibri" w:hAnsi="Calibri" w:cs="Calibri"/>
          <w:sz w:val="24"/>
          <w:szCs w:val="24"/>
        </w:rPr>
        <w:t>making can mitigate risks, but only if consistently applied.</w:t>
      </w:r>
    </w:p>
    <w:p w14:paraId="0240D6B9" w14:textId="77777777" w:rsidR="001F19B3" w:rsidRPr="00AD5037" w:rsidRDefault="001F19B3" w:rsidP="001F19B3">
      <w:pPr>
        <w:rPr>
          <w:rFonts w:ascii="Calibri" w:hAnsi="Calibri" w:cs="Calibri"/>
          <w:sz w:val="24"/>
          <w:szCs w:val="24"/>
        </w:rPr>
      </w:pPr>
    </w:p>
    <w:p w14:paraId="0C7A26A4" w14:textId="7D2CB562" w:rsidR="001F19B3" w:rsidRPr="00AD5037" w:rsidRDefault="001F19B3" w:rsidP="001F19B3">
      <w:pPr>
        <w:rPr>
          <w:rFonts w:ascii="Calibri" w:hAnsi="Calibri" w:cs="Calibri"/>
          <w:sz w:val="24"/>
          <w:szCs w:val="24"/>
        </w:rPr>
      </w:pPr>
      <w:r w:rsidRPr="00AD5037">
        <w:rPr>
          <w:rFonts w:ascii="Calibri" w:hAnsi="Calibri" w:cs="Calibri"/>
          <w:sz w:val="24"/>
          <w:szCs w:val="24"/>
        </w:rPr>
        <w:t>Theoretical perspectives further complicate the debate. Legitimacy theory underscores the fragility of public trust, warning that routine arming could undermine the very foundations of British Policing (Clark and Bennett, 2010). Deterrence theory, by contrast, suggests potential benefits, though evidence indicates these are conditional on training and context (Sanders et al., 2024). Ethical analyses (Williams, 2017; Maile et al., 2023) reinforce the concern that universal armament risks shifting the default mode from de</w:t>
      </w:r>
      <w:r w:rsidR="00886B7F">
        <w:rPr>
          <w:rFonts w:ascii="Calibri" w:hAnsi="Calibri" w:cs="Calibri"/>
          <w:sz w:val="24"/>
          <w:szCs w:val="24"/>
        </w:rPr>
        <w:t>-</w:t>
      </w:r>
      <w:r w:rsidRPr="00AD5037">
        <w:rPr>
          <w:rFonts w:ascii="Calibri" w:hAnsi="Calibri" w:cs="Calibri"/>
          <w:sz w:val="24"/>
          <w:szCs w:val="24"/>
        </w:rPr>
        <w:t>escalation to confrontation.</w:t>
      </w:r>
    </w:p>
    <w:p w14:paraId="4529143B" w14:textId="77777777" w:rsidR="001F19B3" w:rsidRPr="00AD5037" w:rsidRDefault="001F19B3" w:rsidP="001F19B3">
      <w:pPr>
        <w:rPr>
          <w:rFonts w:ascii="Calibri" w:hAnsi="Calibri" w:cs="Calibri"/>
          <w:sz w:val="24"/>
          <w:szCs w:val="24"/>
        </w:rPr>
      </w:pPr>
    </w:p>
    <w:p w14:paraId="53FA042C" w14:textId="61BBC8D6" w:rsidR="001F19B3" w:rsidRPr="00AD5037" w:rsidRDefault="001F19B3" w:rsidP="001F19B3">
      <w:pPr>
        <w:rPr>
          <w:rFonts w:ascii="Calibri" w:hAnsi="Calibri" w:cs="Calibri"/>
          <w:sz w:val="24"/>
          <w:szCs w:val="24"/>
        </w:rPr>
      </w:pPr>
      <w:r w:rsidRPr="00AD5037">
        <w:rPr>
          <w:rFonts w:ascii="Calibri" w:hAnsi="Calibri" w:cs="Calibri"/>
          <w:sz w:val="24"/>
          <w:szCs w:val="24"/>
        </w:rPr>
        <w:t>UK</w:t>
      </w:r>
      <w:r w:rsidR="00886B7F">
        <w:rPr>
          <w:rFonts w:ascii="Calibri" w:hAnsi="Calibri" w:cs="Calibri"/>
          <w:sz w:val="24"/>
          <w:szCs w:val="24"/>
        </w:rPr>
        <w:t>-</w:t>
      </w:r>
      <w:r w:rsidRPr="00AD5037">
        <w:rPr>
          <w:rFonts w:ascii="Calibri" w:hAnsi="Calibri" w:cs="Calibri"/>
          <w:sz w:val="24"/>
          <w:szCs w:val="24"/>
        </w:rPr>
        <w:t>specific longitudinal studies on the long</w:t>
      </w:r>
      <w:r w:rsidR="00886B7F">
        <w:rPr>
          <w:rFonts w:ascii="Calibri" w:hAnsi="Calibri" w:cs="Calibri"/>
          <w:sz w:val="24"/>
          <w:szCs w:val="24"/>
        </w:rPr>
        <w:t>-</w:t>
      </w:r>
      <w:r w:rsidRPr="00AD5037">
        <w:rPr>
          <w:rFonts w:ascii="Calibri" w:hAnsi="Calibri" w:cs="Calibri"/>
          <w:sz w:val="24"/>
          <w:szCs w:val="24"/>
        </w:rPr>
        <w:t xml:space="preserve">term effects of routine arming are scarce (Roycroft, 2014; Yesberg et al., 2021, 2022). Regional and demographic variations in </w:t>
      </w:r>
      <w:r w:rsidRPr="00AD5037">
        <w:rPr>
          <w:rFonts w:ascii="Calibri" w:hAnsi="Calibri" w:cs="Calibri"/>
          <w:sz w:val="24"/>
          <w:szCs w:val="24"/>
        </w:rPr>
        <w:lastRenderedPageBreak/>
        <w:t>attitudes also remain underexplored (Braakmann, 2025). Most importantly, while public perceptions have been studied, officer perspectives</w:t>
      </w:r>
      <w:r w:rsidR="00886B7F">
        <w:rPr>
          <w:rFonts w:ascii="Calibri" w:hAnsi="Calibri" w:cs="Calibri"/>
          <w:sz w:val="24"/>
          <w:szCs w:val="24"/>
        </w:rPr>
        <w:t>,</w:t>
      </w:r>
      <w:r w:rsidRPr="00AD5037">
        <w:rPr>
          <w:rFonts w:ascii="Calibri" w:hAnsi="Calibri" w:cs="Calibri"/>
          <w:sz w:val="24"/>
          <w:szCs w:val="24"/>
        </w:rPr>
        <w:t xml:space="preserve"> particularly across different roles and levels of experience</w:t>
      </w:r>
      <w:r w:rsidR="00886B7F">
        <w:rPr>
          <w:rFonts w:ascii="Calibri" w:hAnsi="Calibri" w:cs="Calibri"/>
          <w:sz w:val="24"/>
          <w:szCs w:val="24"/>
        </w:rPr>
        <w:t>,</w:t>
      </w:r>
      <w:r w:rsidRPr="00AD5037">
        <w:rPr>
          <w:rFonts w:ascii="Calibri" w:hAnsi="Calibri" w:cs="Calibri"/>
          <w:sz w:val="24"/>
          <w:szCs w:val="24"/>
        </w:rPr>
        <w:t xml:space="preserve"> are comparatively under</w:t>
      </w:r>
      <w:r w:rsidR="00886B7F">
        <w:rPr>
          <w:rFonts w:ascii="Calibri" w:hAnsi="Calibri" w:cs="Calibri"/>
          <w:sz w:val="24"/>
          <w:szCs w:val="24"/>
        </w:rPr>
        <w:t>-</w:t>
      </w:r>
      <w:r w:rsidRPr="00AD5037">
        <w:rPr>
          <w:rFonts w:ascii="Calibri" w:hAnsi="Calibri" w:cs="Calibri"/>
          <w:sz w:val="24"/>
          <w:szCs w:val="24"/>
        </w:rPr>
        <w:t>researched.</w:t>
      </w:r>
    </w:p>
    <w:p w14:paraId="397EFA5B" w14:textId="77777777" w:rsidR="001F19B3" w:rsidRPr="00AD5037" w:rsidRDefault="001F19B3" w:rsidP="001F19B3">
      <w:pPr>
        <w:rPr>
          <w:rFonts w:ascii="Calibri" w:hAnsi="Calibri" w:cs="Calibri"/>
          <w:sz w:val="24"/>
          <w:szCs w:val="24"/>
        </w:rPr>
      </w:pPr>
    </w:p>
    <w:p w14:paraId="57573DE3" w14:textId="7C149DC5" w:rsidR="001F19B3" w:rsidRPr="00AD5037" w:rsidRDefault="001F19B3" w:rsidP="001F19B3">
      <w:pPr>
        <w:rPr>
          <w:rFonts w:ascii="Calibri" w:hAnsi="Calibri" w:cs="Calibri"/>
          <w:sz w:val="24"/>
          <w:szCs w:val="24"/>
        </w:rPr>
      </w:pPr>
      <w:r w:rsidRPr="00AD5037">
        <w:rPr>
          <w:rFonts w:ascii="Calibri" w:hAnsi="Calibri" w:cs="Calibri"/>
          <w:sz w:val="24"/>
          <w:szCs w:val="24"/>
        </w:rPr>
        <w:t>This gap provides the rationale for the present study. By surveying serving officers, this dissertation seeks to capture frontline perspectives on safety, deterrence, escalation, and legitimacy. In doing so, it aims to contribute original insight to a debate often dominated by public opinion and policy discourse. The following chapter outlines the methodology adopted to address this gap, detailing the research design, participants, instrument</w:t>
      </w:r>
      <w:r w:rsidR="00886B7F">
        <w:rPr>
          <w:rFonts w:ascii="Calibri" w:hAnsi="Calibri" w:cs="Calibri"/>
          <w:sz w:val="24"/>
          <w:szCs w:val="24"/>
        </w:rPr>
        <w:t>s</w:t>
      </w:r>
      <w:r w:rsidRPr="00AD5037">
        <w:rPr>
          <w:rFonts w:ascii="Calibri" w:hAnsi="Calibri" w:cs="Calibri"/>
          <w:sz w:val="24"/>
          <w:szCs w:val="24"/>
        </w:rPr>
        <w:t>, and ethical considerations.</w:t>
      </w:r>
    </w:p>
    <w:p w14:paraId="244DE6B2" w14:textId="77777777" w:rsidR="001F19B3" w:rsidRPr="00AD5037" w:rsidRDefault="001F19B3" w:rsidP="001F19B3">
      <w:pPr>
        <w:rPr>
          <w:rFonts w:ascii="Calibri" w:hAnsi="Calibri" w:cs="Calibri"/>
          <w:sz w:val="24"/>
          <w:szCs w:val="24"/>
        </w:rPr>
      </w:pPr>
    </w:p>
    <w:p w14:paraId="70273AC5" w14:textId="77777777" w:rsidR="001F19B3" w:rsidRPr="00AD5037" w:rsidRDefault="001F19B3" w:rsidP="00D34E47">
      <w:pPr>
        <w:pStyle w:val="Heading1"/>
      </w:pPr>
    </w:p>
    <w:p w14:paraId="54ECAF5D" w14:textId="77777777" w:rsidR="00F54745" w:rsidRPr="00AD5037" w:rsidRDefault="00F54745" w:rsidP="00D34E47">
      <w:pPr>
        <w:pStyle w:val="Heading1"/>
      </w:pPr>
      <w:bookmarkStart w:id="29" w:name="_Toc209826959"/>
      <w:r w:rsidRPr="00AD5037">
        <w:t>Chapter 3: Methodology</w:t>
      </w:r>
      <w:bookmarkEnd w:id="29"/>
    </w:p>
    <w:p w14:paraId="171065D8" w14:textId="77777777" w:rsidR="00F54745" w:rsidRPr="00AD5037" w:rsidRDefault="00F54745" w:rsidP="00D34E47">
      <w:pPr>
        <w:pStyle w:val="Heading2"/>
      </w:pPr>
      <w:bookmarkStart w:id="30" w:name="_Toc209826960"/>
      <w:r w:rsidRPr="00AD5037">
        <w:t>3.1 Introduction</w:t>
      </w:r>
      <w:bookmarkEnd w:id="30"/>
    </w:p>
    <w:p w14:paraId="7ADC34F3" w14:textId="77777777" w:rsidR="00886B7F" w:rsidRPr="00886B7F" w:rsidRDefault="00886B7F" w:rsidP="00886B7F">
      <w:pPr>
        <w:spacing w:after="160" w:line="278" w:lineRule="auto"/>
        <w:rPr>
          <w:rFonts w:ascii="Calibri" w:hAnsi="Calibri" w:cs="Calibri"/>
          <w:sz w:val="24"/>
          <w:szCs w:val="24"/>
        </w:rPr>
      </w:pPr>
      <w:r w:rsidRPr="00886B7F">
        <w:rPr>
          <w:rFonts w:ascii="Calibri" w:hAnsi="Calibri" w:cs="Calibri"/>
          <w:sz w:val="24"/>
          <w:szCs w:val="24"/>
        </w:rPr>
        <w:t>The preceding literature review highlighted the complexity of debates surrounding the routine arming of UK Police officers. While existing scholarship has examined public perceptions, deterrence effects, and the risks of militarisation, there remains a notable gap in research focusing on the perspectives of officers themselves. This omission is significant, as officers are both the implementers of policy and those most directly exposed to its consequences. Addressing this gap provides the rationale for the present study.</w:t>
      </w:r>
    </w:p>
    <w:p w14:paraId="7F6693A9" w14:textId="67414FBC" w:rsidR="00F54745" w:rsidRPr="00AD5037" w:rsidRDefault="00886B7F" w:rsidP="00886B7F">
      <w:pPr>
        <w:spacing w:after="160" w:line="278" w:lineRule="auto"/>
        <w:rPr>
          <w:rFonts w:ascii="Calibri" w:hAnsi="Calibri" w:cs="Calibri"/>
          <w:sz w:val="24"/>
          <w:szCs w:val="24"/>
        </w:rPr>
      </w:pPr>
      <w:r w:rsidRPr="00886B7F">
        <w:rPr>
          <w:rFonts w:ascii="Calibri" w:hAnsi="Calibri" w:cs="Calibri"/>
          <w:sz w:val="24"/>
          <w:szCs w:val="24"/>
        </w:rPr>
        <w:t>This chapter outlines the methodological approach adopted to investigate officer attitudes toward routine arming. It begins by justifying the choice of a small</w:t>
      </w:r>
      <w:r>
        <w:rPr>
          <w:rFonts w:ascii="Calibri" w:hAnsi="Calibri" w:cs="Calibri"/>
          <w:sz w:val="24"/>
          <w:szCs w:val="24"/>
        </w:rPr>
        <w:t>-</w:t>
      </w:r>
      <w:r w:rsidRPr="00886B7F">
        <w:rPr>
          <w:rFonts w:ascii="Calibri" w:hAnsi="Calibri" w:cs="Calibri"/>
          <w:sz w:val="24"/>
          <w:szCs w:val="24"/>
        </w:rPr>
        <w:t>scale quantitative survey as the most appropriate design for capturing a range of views within the constraints of an undergraduate dissertation. The chapter then details the sampling strategy, participant demographics, and the structure of the research instrument, which was designed to align directly with the themes identified in the literature review: safety, deterrence, escalation, and legitimacy. The subsequent sections describe the data collection process, the analytical techniques employed, and the ethical safeguards implemented to ensure the integrity of the research. Limitations of the design are also acknowledged, including the small sample size, the cross</w:t>
      </w:r>
      <w:r>
        <w:rPr>
          <w:rFonts w:ascii="Calibri" w:hAnsi="Calibri" w:cs="Calibri"/>
          <w:sz w:val="24"/>
          <w:szCs w:val="24"/>
        </w:rPr>
        <w:t>-</w:t>
      </w:r>
      <w:r w:rsidRPr="00886B7F">
        <w:rPr>
          <w:rFonts w:ascii="Calibri" w:hAnsi="Calibri" w:cs="Calibri"/>
          <w:sz w:val="24"/>
          <w:szCs w:val="24"/>
        </w:rPr>
        <w:t>sectional nature of the study, and the focus on officer perspectives alone.</w:t>
      </w:r>
    </w:p>
    <w:p w14:paraId="1D3BC7B6" w14:textId="77777777" w:rsidR="00F54745" w:rsidRPr="00AD5037" w:rsidRDefault="00F54745" w:rsidP="00D34E47">
      <w:pPr>
        <w:pStyle w:val="Heading2"/>
      </w:pPr>
      <w:bookmarkStart w:id="31" w:name="_Toc209826961"/>
      <w:r w:rsidRPr="00AD5037">
        <w:t>3.2 Research Design</w:t>
      </w:r>
      <w:bookmarkEnd w:id="31"/>
    </w:p>
    <w:p w14:paraId="19695AA0" w14:textId="77777777"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A</w:t>
      </w:r>
      <w:r w:rsidRPr="00AD5037">
        <w:rPr>
          <w:rFonts w:ascii="Calibri" w:eastAsiaTheme="majorEastAsia" w:hAnsi="Calibri" w:cs="Calibri"/>
          <w:sz w:val="24"/>
          <w:szCs w:val="24"/>
        </w:rPr>
        <w:t> quantitative survey design </w:t>
      </w:r>
      <w:r w:rsidRPr="00AD5037">
        <w:rPr>
          <w:rFonts w:ascii="Calibri" w:hAnsi="Calibri" w:cs="Calibri"/>
          <w:sz w:val="24"/>
          <w:szCs w:val="24"/>
        </w:rPr>
        <w:t>was selected as the most appropriate method for this study. Surveys are particularly effective for capturing attitudinal data across multiple dimensions in a structured and comparable format (Bryman, 2016; Creswell, 2014). The use of Likert</w:t>
      </w:r>
      <w:r w:rsidRPr="00AD5037">
        <w:rPr>
          <w:rFonts w:ascii="Calibri" w:hAnsi="Calibri" w:cs="Calibri"/>
          <w:sz w:val="24"/>
          <w:szCs w:val="24"/>
        </w:rPr>
        <w:noBreakHyphen/>
        <w:t>scale questions allowed for the measurement of officer perceptions on key themes such as safety, deterrence, escalation, and legitimacy, while also enabling descriptive statistical analysis (Field, 2018).</w:t>
      </w:r>
    </w:p>
    <w:p w14:paraId="4B653C12" w14:textId="09F11390" w:rsidR="00F54745" w:rsidRPr="00AD5037" w:rsidRDefault="00886B7F" w:rsidP="00F54745">
      <w:pPr>
        <w:spacing w:after="160" w:line="278" w:lineRule="auto"/>
        <w:rPr>
          <w:rFonts w:ascii="Calibri" w:hAnsi="Calibri" w:cs="Calibri"/>
          <w:sz w:val="24"/>
          <w:szCs w:val="24"/>
        </w:rPr>
      </w:pPr>
      <w:r w:rsidRPr="00886B7F">
        <w:rPr>
          <w:rFonts w:ascii="Calibri" w:hAnsi="Calibri" w:cs="Calibri"/>
          <w:sz w:val="24"/>
          <w:szCs w:val="24"/>
        </w:rPr>
        <w:lastRenderedPageBreak/>
        <w:t>Alternative approaches, such as semi</w:t>
      </w:r>
      <w:r>
        <w:rPr>
          <w:rFonts w:ascii="Calibri" w:hAnsi="Calibri" w:cs="Calibri"/>
          <w:sz w:val="24"/>
          <w:szCs w:val="24"/>
        </w:rPr>
        <w:t>-</w:t>
      </w:r>
      <w:r w:rsidRPr="00886B7F">
        <w:rPr>
          <w:rFonts w:ascii="Calibri" w:hAnsi="Calibri" w:cs="Calibri"/>
          <w:sz w:val="24"/>
          <w:szCs w:val="24"/>
        </w:rPr>
        <w:t>structured interviews, were considered. While interviews might have provided richer qualitative insights, they were deemed impractical within the time and resource constraints of this dissertation. A survey offered a more feasible means of gathering data from multiple participants while still producing findings that could be meaningfully compared with existing literature (Cohen, Manion and Morrison, 2018).</w:t>
      </w:r>
    </w:p>
    <w:p w14:paraId="05BE6E43" w14:textId="77777777" w:rsidR="00F54745" w:rsidRPr="00AD5037" w:rsidRDefault="00F54745" w:rsidP="00D34E47">
      <w:pPr>
        <w:pStyle w:val="Heading2"/>
      </w:pPr>
      <w:bookmarkStart w:id="32" w:name="_Toc209826962"/>
      <w:r w:rsidRPr="00AD5037">
        <w:t>3.3 Participants and Sampling</w:t>
      </w:r>
      <w:bookmarkEnd w:id="32"/>
    </w:p>
    <w:p w14:paraId="7598AD25" w14:textId="508DACF2" w:rsidR="00F54745" w:rsidRDefault="00F54745" w:rsidP="00F54745">
      <w:pPr>
        <w:spacing w:after="160" w:line="278" w:lineRule="auto"/>
        <w:rPr>
          <w:rFonts w:ascii="Calibri" w:hAnsi="Calibri" w:cs="Calibri"/>
          <w:sz w:val="24"/>
          <w:szCs w:val="24"/>
        </w:rPr>
      </w:pPr>
      <w:r w:rsidRPr="00AD5037">
        <w:rPr>
          <w:rFonts w:ascii="Calibri" w:hAnsi="Calibri" w:cs="Calibri"/>
          <w:sz w:val="24"/>
          <w:szCs w:val="24"/>
        </w:rPr>
        <w:t>The study recruited</w:t>
      </w:r>
      <w:r w:rsidRPr="00AD5037">
        <w:rPr>
          <w:rFonts w:ascii="Calibri" w:eastAsiaTheme="majorEastAsia" w:hAnsi="Calibri" w:cs="Calibri"/>
          <w:sz w:val="24"/>
          <w:szCs w:val="24"/>
        </w:rPr>
        <w:t> twelve serving Police officers </w:t>
      </w:r>
      <w:r w:rsidRPr="00AD5037">
        <w:rPr>
          <w:rFonts w:ascii="Calibri" w:hAnsi="Calibri" w:cs="Calibri"/>
          <w:sz w:val="24"/>
          <w:szCs w:val="24"/>
        </w:rPr>
        <w:t xml:space="preserve">from across </w:t>
      </w:r>
      <w:r w:rsidR="00886B7F">
        <w:rPr>
          <w:rFonts w:ascii="Calibri" w:hAnsi="Calibri" w:cs="Calibri"/>
          <w:sz w:val="24"/>
          <w:szCs w:val="24"/>
        </w:rPr>
        <w:t>Gwent Police</w:t>
      </w:r>
      <w:r w:rsidRPr="00AD5037">
        <w:rPr>
          <w:rFonts w:ascii="Calibri" w:hAnsi="Calibri" w:cs="Calibri"/>
          <w:sz w:val="24"/>
          <w:szCs w:val="24"/>
        </w:rPr>
        <w:t>. Participants represented a range of roles, years of service, and ethnic backgrounds, thereby providing some diversity of perspective. Recruitment was conducted through a combination of convenience and purposive sampling</w:t>
      </w:r>
      <w:r w:rsidR="00886B7F">
        <w:rPr>
          <w:rFonts w:ascii="Calibri" w:hAnsi="Calibri" w:cs="Calibri"/>
          <w:sz w:val="24"/>
          <w:szCs w:val="24"/>
        </w:rPr>
        <w:t xml:space="preserve"> </w:t>
      </w:r>
      <w:r w:rsidRPr="00AD5037">
        <w:rPr>
          <w:rFonts w:ascii="Calibri" w:hAnsi="Calibri" w:cs="Calibri"/>
          <w:sz w:val="24"/>
          <w:szCs w:val="24"/>
        </w:rPr>
        <w:t>(Cohen, Manion and Morrison, 2018).</w:t>
      </w:r>
    </w:p>
    <w:p w14:paraId="557CB143" w14:textId="5D9D2299" w:rsidR="00E35AB4" w:rsidRPr="00AD5037" w:rsidRDefault="00E35AB4" w:rsidP="00F54745">
      <w:pPr>
        <w:spacing w:after="160" w:line="278" w:lineRule="auto"/>
        <w:rPr>
          <w:rFonts w:ascii="Calibri" w:hAnsi="Calibri" w:cs="Calibri"/>
          <w:sz w:val="24"/>
          <w:szCs w:val="24"/>
        </w:rPr>
      </w:pPr>
      <w:r>
        <w:rPr>
          <w:rFonts w:ascii="Calibri" w:hAnsi="Calibri" w:cs="Calibri"/>
          <w:sz w:val="24"/>
          <w:szCs w:val="24"/>
        </w:rPr>
        <w:t>T</w:t>
      </w:r>
      <w:r w:rsidRPr="00E35AB4">
        <w:rPr>
          <w:rFonts w:ascii="Calibri" w:hAnsi="Calibri" w:cs="Calibri"/>
          <w:sz w:val="24"/>
          <w:szCs w:val="24"/>
        </w:rPr>
        <w:t>he Police officer survey was distributed electronically to serving officers within Gwent Police. While the sample was not statistically representative of the wider UK Police service, it was designed to capture a range of perspectives within Gwent by including officers from different roles, units, years of service, and ethnic backgrounds. Recruitment was conducted via internal Gwent Police communication channels and professional networks, using a combination of convenience and purposive sampling to encourage participation from officers with varied experiences.</w:t>
      </w:r>
    </w:p>
    <w:p w14:paraId="7D37561B"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While the sample size is small and not statistically representative of the wider Police service, it was sufficient for the exploratory aims of this dissertation (Bryman, 2016). The inclusion of officers from different backgrounds adds breadth to the findings, even if generalisability remains limited.</w:t>
      </w:r>
    </w:p>
    <w:p w14:paraId="4EEF38C7" w14:textId="77777777" w:rsidR="00F54745" w:rsidRPr="00AD5037" w:rsidRDefault="00F54745" w:rsidP="00F54745">
      <w:pPr>
        <w:spacing w:after="160" w:line="278" w:lineRule="auto"/>
        <w:rPr>
          <w:rFonts w:ascii="Calibri" w:hAnsi="Calibri" w:cs="Calibri"/>
          <w:sz w:val="24"/>
          <w:szCs w:val="24"/>
        </w:rPr>
      </w:pPr>
    </w:p>
    <w:p w14:paraId="4A620495" w14:textId="77777777" w:rsidR="00F54745" w:rsidRPr="00AD5037" w:rsidRDefault="00F54745" w:rsidP="00D34E47">
      <w:pPr>
        <w:pStyle w:val="Heading2"/>
      </w:pPr>
      <w:bookmarkStart w:id="33" w:name="_Toc209826963"/>
      <w:r w:rsidRPr="00AD5037">
        <w:t>3.4 Research Instrument</w:t>
      </w:r>
      <w:bookmarkEnd w:id="33"/>
    </w:p>
    <w:p w14:paraId="2D569D40" w14:textId="3AE5C6E1"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The research instrument consisted of a</w:t>
      </w:r>
      <w:r w:rsidRPr="00AD5037">
        <w:rPr>
          <w:rFonts w:ascii="Calibri" w:eastAsiaTheme="majorEastAsia" w:hAnsi="Calibri" w:cs="Calibri"/>
          <w:sz w:val="24"/>
          <w:szCs w:val="24"/>
        </w:rPr>
        <w:t> self</w:t>
      </w:r>
      <w:r w:rsidR="00886B7F">
        <w:rPr>
          <w:rFonts w:ascii="Calibri" w:eastAsiaTheme="majorEastAsia" w:hAnsi="Calibri" w:cs="Calibri"/>
          <w:sz w:val="24"/>
          <w:szCs w:val="24"/>
        </w:rPr>
        <w:t>-</w:t>
      </w:r>
      <w:r w:rsidRPr="00AD5037">
        <w:rPr>
          <w:rFonts w:ascii="Calibri" w:eastAsiaTheme="majorEastAsia" w:hAnsi="Calibri" w:cs="Calibri"/>
          <w:sz w:val="24"/>
          <w:szCs w:val="24"/>
        </w:rPr>
        <w:t>administered questionnaire </w:t>
      </w:r>
      <w:r w:rsidRPr="00AD5037">
        <w:rPr>
          <w:rFonts w:ascii="Calibri" w:hAnsi="Calibri" w:cs="Calibri"/>
          <w:sz w:val="24"/>
          <w:szCs w:val="24"/>
        </w:rPr>
        <w:t>comprising both closed and open</w:t>
      </w:r>
      <w:r w:rsidR="00886B7F">
        <w:rPr>
          <w:rFonts w:ascii="Calibri" w:hAnsi="Calibri" w:cs="Calibri"/>
          <w:sz w:val="24"/>
          <w:szCs w:val="24"/>
        </w:rPr>
        <w:t>-</w:t>
      </w:r>
      <w:r w:rsidRPr="00AD5037">
        <w:rPr>
          <w:rFonts w:ascii="Calibri" w:hAnsi="Calibri" w:cs="Calibri"/>
          <w:sz w:val="24"/>
          <w:szCs w:val="24"/>
        </w:rPr>
        <w:t>ended items. The core of the instrument was a series of Likert</w:t>
      </w:r>
      <w:r w:rsidRPr="00AD5037">
        <w:rPr>
          <w:rFonts w:ascii="Calibri" w:hAnsi="Calibri" w:cs="Calibri"/>
          <w:sz w:val="24"/>
          <w:szCs w:val="24"/>
        </w:rPr>
        <w:noBreakHyphen/>
        <w:t>scale questions (Q6–Q15) designed to measure officer attitudes across four key dimensions identified in the literature review:</w:t>
      </w:r>
    </w:p>
    <w:p w14:paraId="6EDB60E9" w14:textId="77777777" w:rsidR="00F54745" w:rsidRPr="00AD5037" w:rsidRDefault="00F54745" w:rsidP="00F54745">
      <w:pPr>
        <w:spacing w:after="160" w:line="278" w:lineRule="auto"/>
        <w:rPr>
          <w:rFonts w:ascii="Calibri" w:hAnsi="Calibri" w:cs="Calibri"/>
          <w:sz w:val="24"/>
          <w:szCs w:val="24"/>
        </w:rPr>
      </w:pPr>
      <w:r w:rsidRPr="00AD5037">
        <w:rPr>
          <w:rFonts w:ascii="Calibri" w:eastAsiaTheme="majorEastAsia" w:hAnsi="Calibri" w:cs="Calibri"/>
          <w:sz w:val="24"/>
          <w:szCs w:val="24"/>
        </w:rPr>
        <w:t>Safety </w:t>
      </w:r>
      <w:r w:rsidRPr="00AD5037">
        <w:rPr>
          <w:rFonts w:ascii="Calibri" w:hAnsi="Calibri" w:cs="Calibri"/>
          <w:sz w:val="24"/>
          <w:szCs w:val="24"/>
        </w:rPr>
        <w:t>(e.g. whether routine arming would improve officer protection).</w:t>
      </w:r>
    </w:p>
    <w:p w14:paraId="7121C17A" w14:textId="77777777" w:rsidR="00F54745" w:rsidRPr="00AD5037" w:rsidRDefault="00F54745" w:rsidP="00F54745">
      <w:pPr>
        <w:spacing w:after="160" w:line="278" w:lineRule="auto"/>
        <w:rPr>
          <w:rFonts w:ascii="Calibri" w:hAnsi="Calibri" w:cs="Calibri"/>
          <w:sz w:val="24"/>
          <w:szCs w:val="24"/>
        </w:rPr>
      </w:pPr>
      <w:r w:rsidRPr="00AD5037">
        <w:rPr>
          <w:rFonts w:ascii="Calibri" w:eastAsiaTheme="majorEastAsia" w:hAnsi="Calibri" w:cs="Calibri"/>
          <w:sz w:val="24"/>
          <w:szCs w:val="24"/>
        </w:rPr>
        <w:t>Deterrence </w:t>
      </w:r>
      <w:r w:rsidRPr="00AD5037">
        <w:rPr>
          <w:rFonts w:ascii="Calibri" w:hAnsi="Calibri" w:cs="Calibri"/>
          <w:sz w:val="24"/>
          <w:szCs w:val="24"/>
        </w:rPr>
        <w:t>(e.g. whether visible firearms would discourage violent crime).</w:t>
      </w:r>
    </w:p>
    <w:p w14:paraId="370868AC" w14:textId="77777777" w:rsidR="00F54745" w:rsidRPr="00AD5037" w:rsidRDefault="00F54745" w:rsidP="00F54745">
      <w:pPr>
        <w:spacing w:after="160" w:line="278" w:lineRule="auto"/>
        <w:rPr>
          <w:rFonts w:ascii="Calibri" w:hAnsi="Calibri" w:cs="Calibri"/>
          <w:sz w:val="24"/>
          <w:szCs w:val="24"/>
        </w:rPr>
      </w:pPr>
      <w:r w:rsidRPr="00AD5037">
        <w:rPr>
          <w:rFonts w:ascii="Calibri" w:eastAsiaTheme="majorEastAsia" w:hAnsi="Calibri" w:cs="Calibri"/>
          <w:sz w:val="24"/>
          <w:szCs w:val="24"/>
        </w:rPr>
        <w:t>Escalation </w:t>
      </w:r>
      <w:r w:rsidRPr="00AD5037">
        <w:rPr>
          <w:rFonts w:ascii="Calibri" w:hAnsi="Calibri" w:cs="Calibri"/>
          <w:sz w:val="24"/>
          <w:szCs w:val="24"/>
        </w:rPr>
        <w:t>(e.g. whether firearms increase the likelihood of confrontations).</w:t>
      </w:r>
    </w:p>
    <w:p w14:paraId="58A451FE" w14:textId="77777777" w:rsidR="00F54745" w:rsidRPr="00AD5037" w:rsidRDefault="00F54745" w:rsidP="00F54745">
      <w:pPr>
        <w:rPr>
          <w:rFonts w:ascii="Calibri" w:hAnsi="Calibri" w:cs="Calibri"/>
          <w:sz w:val="24"/>
          <w:szCs w:val="24"/>
        </w:rPr>
      </w:pPr>
      <w:r w:rsidRPr="00AD5037">
        <w:rPr>
          <w:rFonts w:ascii="Calibri" w:eastAsiaTheme="majorEastAsia" w:hAnsi="Calibri" w:cs="Calibri"/>
          <w:sz w:val="24"/>
          <w:szCs w:val="24"/>
        </w:rPr>
        <w:t>Legitimacy and trust </w:t>
      </w:r>
      <w:r w:rsidRPr="00AD5037">
        <w:rPr>
          <w:rFonts w:ascii="Calibri" w:hAnsi="Calibri" w:cs="Calibri"/>
          <w:sz w:val="24"/>
          <w:szCs w:val="24"/>
        </w:rPr>
        <w:t>(e.g. whether routine arming would undermine public confidence).</w:t>
      </w:r>
    </w:p>
    <w:p w14:paraId="32EA705D" w14:textId="77777777" w:rsidR="00F54745" w:rsidRPr="00AD5037" w:rsidRDefault="00F54745" w:rsidP="00F54745">
      <w:pPr>
        <w:spacing w:after="160" w:line="278" w:lineRule="auto"/>
        <w:ind w:left="720"/>
        <w:rPr>
          <w:rFonts w:ascii="Calibri" w:hAnsi="Calibri" w:cs="Calibri"/>
          <w:sz w:val="24"/>
          <w:szCs w:val="24"/>
        </w:rPr>
      </w:pPr>
    </w:p>
    <w:p w14:paraId="66E5799F" w14:textId="77777777"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Demographic questions were included to capture participant characteristics such as role, years of service, and ethnicity. These variables allowed for limited comparative analysis across subgroups.</w:t>
      </w:r>
    </w:p>
    <w:p w14:paraId="0C77C0CD" w14:textId="7E839572" w:rsidR="00F54745" w:rsidRPr="00AD5037" w:rsidRDefault="00F54745" w:rsidP="00F54745">
      <w:pPr>
        <w:rPr>
          <w:rFonts w:ascii="Calibri" w:hAnsi="Calibri" w:cs="Calibri"/>
          <w:sz w:val="24"/>
          <w:szCs w:val="24"/>
        </w:rPr>
      </w:pPr>
      <w:r w:rsidRPr="00AD5037">
        <w:rPr>
          <w:rFonts w:ascii="Calibri" w:hAnsi="Calibri" w:cs="Calibri"/>
          <w:sz w:val="24"/>
          <w:szCs w:val="24"/>
        </w:rPr>
        <w:lastRenderedPageBreak/>
        <w:t>The questionnaire was piloted informally with two non</w:t>
      </w:r>
      <w:r w:rsidR="00886B7F">
        <w:rPr>
          <w:rFonts w:ascii="Calibri" w:hAnsi="Calibri" w:cs="Calibri"/>
          <w:sz w:val="24"/>
          <w:szCs w:val="24"/>
        </w:rPr>
        <w:t>-</w:t>
      </w:r>
      <w:r w:rsidRPr="00AD5037">
        <w:rPr>
          <w:rFonts w:ascii="Calibri" w:hAnsi="Calibri" w:cs="Calibri"/>
          <w:sz w:val="24"/>
          <w:szCs w:val="24"/>
        </w:rPr>
        <w:t>participants to ensure clarity of wording and ease of completion. Feedback from this pilot informed minor adjustments to phrasing (Creswell, 2014).</w:t>
      </w:r>
    </w:p>
    <w:p w14:paraId="692C2B7F" w14:textId="77777777" w:rsidR="00F54745" w:rsidRPr="00AD5037" w:rsidRDefault="00F54745" w:rsidP="00F54745">
      <w:pPr>
        <w:spacing w:after="160" w:line="278" w:lineRule="auto"/>
        <w:rPr>
          <w:rFonts w:ascii="Calibri" w:hAnsi="Calibri" w:cs="Calibri"/>
          <w:sz w:val="24"/>
          <w:szCs w:val="24"/>
        </w:rPr>
      </w:pPr>
    </w:p>
    <w:p w14:paraId="5E8D9BB9" w14:textId="77777777" w:rsidR="00F54745" w:rsidRPr="00AD5037" w:rsidRDefault="00F54745" w:rsidP="00D34E47">
      <w:pPr>
        <w:pStyle w:val="Heading2"/>
      </w:pPr>
      <w:bookmarkStart w:id="34" w:name="_Toc209826964"/>
      <w:r w:rsidRPr="00AD5037">
        <w:t>3.5 Data Collection</w:t>
      </w:r>
      <w:bookmarkEnd w:id="34"/>
    </w:p>
    <w:p w14:paraId="799BFA52" w14:textId="77777777"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Data collection was conducted electronically using a secure online survey platform. Participants were provided with an information sheet outlining the purpose of the study, the voluntary nature of participation, and assurances of anonymity. Consent was obtained prior to completion (Bryman, 2016).</w:t>
      </w:r>
    </w:p>
    <w:p w14:paraId="6FDF0E21" w14:textId="103C4BB0" w:rsidR="00F54745" w:rsidRPr="00AD5037" w:rsidRDefault="00F54745" w:rsidP="00F54745">
      <w:pPr>
        <w:rPr>
          <w:rFonts w:ascii="Calibri" w:hAnsi="Calibri" w:cs="Calibri"/>
          <w:sz w:val="24"/>
          <w:szCs w:val="24"/>
        </w:rPr>
      </w:pPr>
      <w:r w:rsidRPr="00AD5037">
        <w:rPr>
          <w:rFonts w:ascii="Calibri" w:hAnsi="Calibri" w:cs="Calibri"/>
          <w:sz w:val="24"/>
          <w:szCs w:val="24"/>
        </w:rPr>
        <w:t>The survey was open for a two</w:t>
      </w:r>
      <w:r w:rsidR="00886B7F">
        <w:rPr>
          <w:rFonts w:ascii="Calibri" w:hAnsi="Calibri" w:cs="Calibri"/>
          <w:sz w:val="24"/>
          <w:szCs w:val="24"/>
        </w:rPr>
        <w:t>-</w:t>
      </w:r>
      <w:r w:rsidRPr="00AD5037">
        <w:rPr>
          <w:rFonts w:ascii="Calibri" w:hAnsi="Calibri" w:cs="Calibri"/>
          <w:sz w:val="24"/>
          <w:szCs w:val="24"/>
        </w:rPr>
        <w:t>week period, during which twelve responses were received. No identifying information was collected, and participants were able to withdraw at any stage prior to submission.</w:t>
      </w:r>
    </w:p>
    <w:p w14:paraId="5B2DE8DF" w14:textId="77777777" w:rsidR="00F54745" w:rsidRPr="00AD5037" w:rsidRDefault="00F54745" w:rsidP="00F54745">
      <w:pPr>
        <w:spacing w:after="160" w:line="278" w:lineRule="auto"/>
        <w:rPr>
          <w:rFonts w:ascii="Calibri" w:hAnsi="Calibri" w:cs="Calibri"/>
          <w:sz w:val="24"/>
          <w:szCs w:val="24"/>
        </w:rPr>
      </w:pPr>
    </w:p>
    <w:p w14:paraId="0B4B879C" w14:textId="77777777" w:rsidR="00F54745" w:rsidRPr="00AD5037" w:rsidRDefault="00F54745" w:rsidP="00D34E47">
      <w:pPr>
        <w:pStyle w:val="Heading2"/>
      </w:pPr>
      <w:bookmarkStart w:id="35" w:name="_Toc209826965"/>
      <w:r w:rsidRPr="00AD5037">
        <w:t>3.6 Data Analysis</w:t>
      </w:r>
      <w:bookmarkEnd w:id="35"/>
    </w:p>
    <w:p w14:paraId="6B9E21EB" w14:textId="1742E4CC" w:rsidR="00F54745" w:rsidRPr="00AD5037" w:rsidRDefault="00F54745" w:rsidP="00F54745">
      <w:pPr>
        <w:rPr>
          <w:rFonts w:ascii="Calibri" w:hAnsi="Calibri" w:cs="Calibri"/>
          <w:sz w:val="24"/>
          <w:szCs w:val="24"/>
        </w:rPr>
      </w:pPr>
      <w:r w:rsidRPr="00AD5037">
        <w:rPr>
          <w:rFonts w:ascii="Calibri" w:hAnsi="Calibri" w:cs="Calibri"/>
          <w:sz w:val="24"/>
          <w:szCs w:val="24"/>
        </w:rPr>
        <w:t xml:space="preserve">Given the small sample size, </w:t>
      </w:r>
      <w:r w:rsidR="00886B7F">
        <w:rPr>
          <w:rFonts w:ascii="Calibri" w:hAnsi="Calibri" w:cs="Calibri"/>
          <w:sz w:val="24"/>
          <w:szCs w:val="24"/>
        </w:rPr>
        <w:t xml:space="preserve">the </w:t>
      </w:r>
      <w:r w:rsidRPr="00AD5037">
        <w:rPr>
          <w:rFonts w:ascii="Calibri" w:hAnsi="Calibri" w:cs="Calibri"/>
          <w:sz w:val="24"/>
          <w:szCs w:val="24"/>
        </w:rPr>
        <w:t>analysis focused on</w:t>
      </w:r>
      <w:r w:rsidRPr="00AD5037">
        <w:rPr>
          <w:rFonts w:ascii="Calibri" w:eastAsiaTheme="majorEastAsia" w:hAnsi="Calibri" w:cs="Calibri"/>
          <w:sz w:val="24"/>
          <w:szCs w:val="24"/>
        </w:rPr>
        <w:t> descriptive statistics </w:t>
      </w:r>
      <w:r w:rsidRPr="00AD5037">
        <w:rPr>
          <w:rFonts w:ascii="Calibri" w:hAnsi="Calibri" w:cs="Calibri"/>
          <w:sz w:val="24"/>
          <w:szCs w:val="24"/>
        </w:rPr>
        <w:t>rather than inferential testing. Likert</w:t>
      </w:r>
      <w:r w:rsidRPr="00AD5037">
        <w:rPr>
          <w:rFonts w:ascii="Calibri" w:hAnsi="Calibri" w:cs="Calibri"/>
          <w:sz w:val="24"/>
          <w:szCs w:val="24"/>
        </w:rPr>
        <w:noBreakHyphen/>
        <w:t xml:space="preserve">scale responses were summarised using means and frequency distributions, allowing for the identification of patterns in officer attitudes (Field, 2018). </w:t>
      </w:r>
    </w:p>
    <w:p w14:paraId="2C8821B1" w14:textId="77777777" w:rsidR="00F54745" w:rsidRPr="00AD5037" w:rsidRDefault="00F54745" w:rsidP="00F54745">
      <w:pPr>
        <w:rPr>
          <w:rFonts w:ascii="Calibri" w:hAnsi="Calibri" w:cs="Calibri"/>
          <w:sz w:val="24"/>
          <w:szCs w:val="24"/>
        </w:rPr>
      </w:pPr>
    </w:p>
    <w:p w14:paraId="7D815DBC"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To illustrate the descriptive patterns in officer responses, the average Likert</w:t>
      </w:r>
      <w:r w:rsidRPr="00AD5037">
        <w:rPr>
          <w:rFonts w:ascii="Calibri" w:hAnsi="Calibri" w:cs="Calibri"/>
          <w:sz w:val="24"/>
          <w:szCs w:val="24"/>
        </w:rPr>
        <w:noBreakHyphen/>
        <w:t>scale scores for each participant are presented in Table 3.1. This provides a clear overview of how attitudes clustered across the four key dimensions of safety, deterrence, escalation, and legitimacy.</w:t>
      </w:r>
    </w:p>
    <w:p w14:paraId="66F5FEB7" w14:textId="5B5105A3" w:rsidR="00F54745" w:rsidRPr="00AD5037" w:rsidRDefault="00F54745" w:rsidP="00F54745">
      <w:pPr>
        <w:rPr>
          <w:rFonts w:ascii="Calibri" w:hAnsi="Calibri" w:cs="Calibri"/>
          <w:sz w:val="24"/>
          <w:szCs w:val="24"/>
        </w:rPr>
      </w:pPr>
      <w:r w:rsidRPr="00AD5037">
        <w:rPr>
          <w:rFonts w:ascii="Calibri" w:hAnsi="Calibri" w:cs="Calibri"/>
          <w:sz w:val="24"/>
          <w:szCs w:val="24"/>
        </w:rPr>
        <w:fldChar w:fldCharType="begin"/>
      </w:r>
      <w:r w:rsidRPr="00AD5037">
        <w:rPr>
          <w:rFonts w:ascii="Calibri" w:hAnsi="Calibri" w:cs="Calibri"/>
          <w:sz w:val="24"/>
          <w:szCs w:val="24"/>
        </w:rPr>
        <w:instrText xml:space="preserve"> INCLUDEPICTURE "/Users/milesolding/Library/Group Containers/UBF8T346G9.ms/WebArchiveCopyPasteTempFiles/com.microsoft.Word/BCO.0e4b4e7e-fae2-4849-8e4b-788f8cfabab1.png" \* MERGEFORMATINET </w:instrText>
      </w:r>
      <w:r w:rsidRPr="00AD5037">
        <w:rPr>
          <w:rFonts w:ascii="Calibri" w:hAnsi="Calibri" w:cs="Calibri"/>
          <w:sz w:val="24"/>
          <w:szCs w:val="24"/>
        </w:rPr>
        <w:fldChar w:fldCharType="separate"/>
      </w:r>
      <w:r w:rsidR="00000000">
        <w:rPr>
          <w:rFonts w:ascii="Calibri" w:hAnsi="Calibri" w:cs="Calibri"/>
          <w:noProof/>
          <w:sz w:val="24"/>
          <w:szCs w:val="24"/>
          <w14:ligatures w14:val="standardContextual"/>
        </w:rPr>
        <w:fldChar w:fldCharType="begin"/>
      </w:r>
      <w:r w:rsidR="00000000">
        <w:rPr>
          <w:rFonts w:ascii="Calibri" w:hAnsi="Calibri" w:cs="Calibri"/>
          <w:noProof/>
          <w:sz w:val="24"/>
          <w:szCs w:val="24"/>
          <w14:ligatures w14:val="standardContextual"/>
        </w:rPr>
        <w:instrText xml:space="preserve"> INCLUDEPICTURE  "/Users/milesolding/Library/Group Containers/UBF8T346G9.ms/WebArchiveCopyPasteTempFiles/com.microsoft.Word/BCO.0e4b4e7e-fae2-4849-8e4b-788f8cfabab1.png" \* MERGEFORMATINET </w:instrText>
      </w:r>
      <w:r w:rsidR="00000000">
        <w:rPr>
          <w:rFonts w:ascii="Calibri" w:hAnsi="Calibri" w:cs="Calibri"/>
          <w:noProof/>
          <w:sz w:val="24"/>
          <w:szCs w:val="24"/>
          <w14:ligatures w14:val="standardContextual"/>
        </w:rPr>
        <w:fldChar w:fldCharType="separate"/>
      </w:r>
      <w:r w:rsidR="004141D9" w:rsidRPr="004141D9">
        <w:rPr>
          <w:rFonts w:ascii="Calibri" w:hAnsi="Calibri" w:cs="Calibri"/>
          <w:noProof/>
          <w:sz w:val="24"/>
          <w:szCs w:val="24"/>
          <w14:ligatures w14:val="standardContextual"/>
        </w:rPr>
        <w:pict w14:anchorId="79640C2C">
          <v:shape id="_x0000_i1028" type="#_x0000_t75" alt="" style="width:451pt;height:301pt;mso-width-percent:0;mso-height-percent:0;mso-width-percent:0;mso-height-percent:0">
            <v:imagedata r:id="rId11" r:href="rId12"/>
          </v:shape>
        </w:pict>
      </w:r>
      <w:r w:rsidR="00000000">
        <w:rPr>
          <w:rFonts w:ascii="Calibri" w:hAnsi="Calibri" w:cs="Calibri"/>
          <w:noProof/>
          <w:sz w:val="24"/>
          <w:szCs w:val="24"/>
          <w14:ligatures w14:val="standardContextual"/>
        </w:rPr>
        <w:fldChar w:fldCharType="end"/>
      </w:r>
      <w:r w:rsidRPr="00AD5037">
        <w:rPr>
          <w:rFonts w:ascii="Calibri" w:hAnsi="Calibri" w:cs="Calibri"/>
          <w:sz w:val="24"/>
          <w:szCs w:val="24"/>
        </w:rPr>
        <w:fldChar w:fldCharType="end"/>
      </w:r>
    </w:p>
    <w:p w14:paraId="06399145" w14:textId="77777777" w:rsidR="00F54745" w:rsidRPr="00AD5037" w:rsidRDefault="00F54745" w:rsidP="00F54745">
      <w:pPr>
        <w:rPr>
          <w:rFonts w:ascii="Calibri" w:hAnsi="Calibri" w:cs="Calibri"/>
          <w:sz w:val="24"/>
          <w:szCs w:val="24"/>
        </w:rPr>
      </w:pPr>
    </w:p>
    <w:p w14:paraId="6986AEEC"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lastRenderedPageBreak/>
        <w:t>As shown in Table 3.1, responses varied across participants, but consistent patterns emerged: higher scores were generally associated with perceptions of officer safety and deterrence, while lower scores reflected concerns about escalation and legitimacy. These descriptive results formed the basis for the more detailed analysis presented in Chapter 4.</w:t>
      </w:r>
    </w:p>
    <w:p w14:paraId="6EF1900A" w14:textId="2C33D027"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Demographic variables were cross</w:t>
      </w:r>
      <w:r w:rsidR="00886B7F">
        <w:rPr>
          <w:rFonts w:ascii="Calibri" w:hAnsi="Calibri" w:cs="Calibri"/>
          <w:sz w:val="24"/>
          <w:szCs w:val="24"/>
        </w:rPr>
        <w:t>-</w:t>
      </w:r>
      <w:r w:rsidRPr="00AD5037">
        <w:rPr>
          <w:rFonts w:ascii="Calibri" w:hAnsi="Calibri" w:cs="Calibri"/>
          <w:sz w:val="24"/>
          <w:szCs w:val="24"/>
        </w:rPr>
        <w:t>tabulated with key items to explore potential differences across subgroups (Cohen, Manion and Morrison, 2018).</w:t>
      </w:r>
    </w:p>
    <w:p w14:paraId="442FB696" w14:textId="585A883F" w:rsidR="00F54745" w:rsidRPr="00AD5037" w:rsidRDefault="00F54745" w:rsidP="00F54745">
      <w:pPr>
        <w:rPr>
          <w:rFonts w:ascii="Calibri" w:hAnsi="Calibri" w:cs="Calibri"/>
          <w:sz w:val="24"/>
          <w:szCs w:val="24"/>
        </w:rPr>
      </w:pPr>
      <w:r w:rsidRPr="00AD5037">
        <w:rPr>
          <w:rFonts w:ascii="Calibri" w:hAnsi="Calibri" w:cs="Calibri"/>
          <w:sz w:val="24"/>
          <w:szCs w:val="24"/>
        </w:rPr>
        <w:t>Open</w:t>
      </w:r>
      <w:r w:rsidR="00886B7F">
        <w:rPr>
          <w:rFonts w:ascii="Calibri" w:hAnsi="Calibri" w:cs="Calibri"/>
          <w:sz w:val="24"/>
          <w:szCs w:val="24"/>
        </w:rPr>
        <w:t>-</w:t>
      </w:r>
      <w:r w:rsidRPr="00AD5037">
        <w:rPr>
          <w:rFonts w:ascii="Calibri" w:hAnsi="Calibri" w:cs="Calibri"/>
          <w:sz w:val="24"/>
          <w:szCs w:val="24"/>
        </w:rPr>
        <w:t>ended responses were analysed thematically, with recurring ideas grouped under categories such as “safety benefits,” “public trust concerns,” and “training needs.” This provided qualitative depth to complement the quantitative findings (Creswell, 2014).</w:t>
      </w:r>
    </w:p>
    <w:p w14:paraId="757C61FE" w14:textId="77777777" w:rsidR="00F54745" w:rsidRPr="00AD5037" w:rsidRDefault="00F54745" w:rsidP="00F54745">
      <w:pPr>
        <w:spacing w:after="160" w:line="278" w:lineRule="auto"/>
        <w:rPr>
          <w:rFonts w:ascii="Calibri" w:hAnsi="Calibri" w:cs="Calibri"/>
          <w:sz w:val="24"/>
          <w:szCs w:val="24"/>
        </w:rPr>
      </w:pPr>
    </w:p>
    <w:p w14:paraId="3FC854BE" w14:textId="77777777" w:rsidR="00F54745" w:rsidRPr="00AD5037" w:rsidRDefault="00F54745" w:rsidP="00D34E47">
      <w:pPr>
        <w:pStyle w:val="Heading2"/>
      </w:pPr>
      <w:bookmarkStart w:id="36" w:name="_Toc209826966"/>
      <w:r w:rsidRPr="00AD5037">
        <w:t>3.7 Ethical Considerations</w:t>
      </w:r>
      <w:bookmarkEnd w:id="36"/>
    </w:p>
    <w:p w14:paraId="0367E674" w14:textId="77777777" w:rsidR="00F54745" w:rsidRDefault="00F54745" w:rsidP="00F54745">
      <w:pPr>
        <w:spacing w:after="160" w:line="278" w:lineRule="auto"/>
        <w:rPr>
          <w:rFonts w:ascii="Calibri" w:hAnsi="Calibri" w:cs="Calibri"/>
          <w:sz w:val="24"/>
          <w:szCs w:val="24"/>
        </w:rPr>
      </w:pPr>
      <w:r w:rsidRPr="00AD5037">
        <w:rPr>
          <w:rFonts w:ascii="Calibri" w:hAnsi="Calibri" w:cs="Calibri"/>
          <w:sz w:val="24"/>
          <w:szCs w:val="24"/>
        </w:rPr>
        <w:t>Ethical approval for the study was obtained from the University’s Research Ethics Committee. The following safeguards were implemented:</w:t>
      </w:r>
    </w:p>
    <w:p w14:paraId="31AD97D2" w14:textId="77777777" w:rsidR="005E3761" w:rsidRPr="00AD5037" w:rsidRDefault="005E3761" w:rsidP="00F54745">
      <w:pPr>
        <w:spacing w:after="160" w:line="278" w:lineRule="auto"/>
        <w:rPr>
          <w:rFonts w:ascii="Calibri" w:hAnsi="Calibri" w:cs="Calibri"/>
          <w:sz w:val="24"/>
          <w:szCs w:val="24"/>
        </w:rPr>
      </w:pPr>
    </w:p>
    <w:p w14:paraId="187C45D8" w14:textId="58333E70" w:rsidR="00886B7F" w:rsidRDefault="00F54745" w:rsidP="00F54745">
      <w:pPr>
        <w:pStyle w:val="ListParagraph"/>
        <w:numPr>
          <w:ilvl w:val="0"/>
          <w:numId w:val="27"/>
        </w:numPr>
        <w:spacing w:after="160" w:line="278" w:lineRule="auto"/>
        <w:rPr>
          <w:rFonts w:ascii="Calibri" w:hAnsi="Calibri" w:cs="Calibri"/>
          <w:sz w:val="24"/>
          <w:szCs w:val="24"/>
        </w:rPr>
      </w:pPr>
      <w:r w:rsidRPr="00886B7F">
        <w:rPr>
          <w:rFonts w:ascii="Calibri" w:eastAsiaTheme="majorEastAsia" w:hAnsi="Calibri" w:cs="Calibri"/>
          <w:sz w:val="24"/>
          <w:szCs w:val="24"/>
        </w:rPr>
        <w:t>Informed consent: </w:t>
      </w:r>
      <w:r w:rsidRPr="00886B7F">
        <w:rPr>
          <w:rFonts w:ascii="Calibri" w:hAnsi="Calibri" w:cs="Calibri"/>
          <w:sz w:val="24"/>
          <w:szCs w:val="24"/>
        </w:rPr>
        <w:t xml:space="preserve">Participants </w:t>
      </w:r>
      <w:r w:rsidR="005E3761">
        <w:rPr>
          <w:rFonts w:ascii="Calibri" w:hAnsi="Calibri" w:cs="Calibri"/>
          <w:sz w:val="24"/>
          <w:szCs w:val="24"/>
        </w:rPr>
        <w:t>were provided with</w:t>
      </w:r>
      <w:r w:rsidRPr="00886B7F">
        <w:rPr>
          <w:rFonts w:ascii="Calibri" w:hAnsi="Calibri" w:cs="Calibri"/>
          <w:sz w:val="24"/>
          <w:szCs w:val="24"/>
        </w:rPr>
        <w:t xml:space="preserve"> a detailed information sheet and provided consent before completing the survey (Bryman, 2016).</w:t>
      </w:r>
    </w:p>
    <w:p w14:paraId="1869ED7B" w14:textId="77777777" w:rsidR="00886B7F" w:rsidRDefault="00F54745" w:rsidP="00F54745">
      <w:pPr>
        <w:pStyle w:val="ListParagraph"/>
        <w:numPr>
          <w:ilvl w:val="0"/>
          <w:numId w:val="27"/>
        </w:numPr>
        <w:spacing w:after="160" w:line="278" w:lineRule="auto"/>
        <w:rPr>
          <w:rFonts w:ascii="Calibri" w:hAnsi="Calibri" w:cs="Calibri"/>
          <w:sz w:val="24"/>
          <w:szCs w:val="24"/>
        </w:rPr>
      </w:pPr>
      <w:r w:rsidRPr="00886B7F">
        <w:rPr>
          <w:rFonts w:ascii="Calibri" w:eastAsiaTheme="majorEastAsia" w:hAnsi="Calibri" w:cs="Calibri"/>
          <w:sz w:val="24"/>
          <w:szCs w:val="24"/>
        </w:rPr>
        <w:t>Anonymity and confidentiality: </w:t>
      </w:r>
      <w:r w:rsidRPr="00886B7F">
        <w:rPr>
          <w:rFonts w:ascii="Calibri" w:hAnsi="Calibri" w:cs="Calibri"/>
          <w:sz w:val="24"/>
          <w:szCs w:val="24"/>
        </w:rPr>
        <w:t>No identifying information was collected, and responses were stored securely on a password-protected device.</w:t>
      </w:r>
    </w:p>
    <w:p w14:paraId="33192594" w14:textId="77777777" w:rsidR="00886B7F" w:rsidRDefault="00F54745" w:rsidP="00F54745">
      <w:pPr>
        <w:pStyle w:val="ListParagraph"/>
        <w:numPr>
          <w:ilvl w:val="0"/>
          <w:numId w:val="27"/>
        </w:numPr>
        <w:spacing w:after="160" w:line="278" w:lineRule="auto"/>
        <w:rPr>
          <w:rFonts w:ascii="Calibri" w:hAnsi="Calibri" w:cs="Calibri"/>
          <w:sz w:val="24"/>
          <w:szCs w:val="24"/>
        </w:rPr>
      </w:pPr>
      <w:r w:rsidRPr="00886B7F">
        <w:rPr>
          <w:rFonts w:ascii="Calibri" w:eastAsiaTheme="majorEastAsia" w:hAnsi="Calibri" w:cs="Calibri"/>
          <w:sz w:val="24"/>
          <w:szCs w:val="24"/>
        </w:rPr>
        <w:t>Right to withdraw: </w:t>
      </w:r>
      <w:r w:rsidRPr="00886B7F">
        <w:rPr>
          <w:rFonts w:ascii="Calibri" w:hAnsi="Calibri" w:cs="Calibri"/>
          <w:sz w:val="24"/>
          <w:szCs w:val="24"/>
        </w:rPr>
        <w:t>Participants were informed that they could withdraw at any time prior to submission.</w:t>
      </w:r>
    </w:p>
    <w:p w14:paraId="145CA0E1" w14:textId="2A9F0F42" w:rsidR="00F54745" w:rsidRPr="00886B7F" w:rsidRDefault="00F54745" w:rsidP="00F54745">
      <w:pPr>
        <w:pStyle w:val="ListParagraph"/>
        <w:numPr>
          <w:ilvl w:val="0"/>
          <w:numId w:val="27"/>
        </w:numPr>
        <w:spacing w:after="160" w:line="278" w:lineRule="auto"/>
        <w:rPr>
          <w:rFonts w:ascii="Calibri" w:hAnsi="Calibri" w:cs="Calibri"/>
          <w:sz w:val="24"/>
          <w:szCs w:val="24"/>
        </w:rPr>
      </w:pPr>
      <w:r w:rsidRPr="00886B7F">
        <w:rPr>
          <w:rFonts w:ascii="Calibri" w:eastAsiaTheme="majorEastAsia" w:hAnsi="Calibri" w:cs="Calibri"/>
          <w:sz w:val="24"/>
          <w:szCs w:val="24"/>
        </w:rPr>
        <w:t>Data storage: </w:t>
      </w:r>
      <w:r w:rsidRPr="00886B7F">
        <w:rPr>
          <w:rFonts w:ascii="Calibri" w:hAnsi="Calibri" w:cs="Calibri"/>
          <w:sz w:val="24"/>
          <w:szCs w:val="24"/>
        </w:rPr>
        <w:t>Data was retained only for the duration of the project and deleted following analysis.</w:t>
      </w:r>
    </w:p>
    <w:p w14:paraId="40948824" w14:textId="77777777" w:rsidR="00F54745" w:rsidRPr="00AD5037" w:rsidRDefault="00F54745" w:rsidP="00F54745">
      <w:pPr>
        <w:spacing w:after="160" w:line="278" w:lineRule="auto"/>
        <w:rPr>
          <w:rFonts w:ascii="Calibri" w:hAnsi="Calibri" w:cs="Calibri"/>
          <w:sz w:val="24"/>
          <w:szCs w:val="24"/>
        </w:rPr>
      </w:pPr>
    </w:p>
    <w:p w14:paraId="1D37B3F5" w14:textId="669644F8" w:rsidR="00F54745" w:rsidRPr="00AD5037" w:rsidRDefault="00F54745" w:rsidP="00F54745">
      <w:pPr>
        <w:rPr>
          <w:rFonts w:ascii="Calibri" w:hAnsi="Calibri" w:cs="Calibri"/>
          <w:sz w:val="24"/>
          <w:szCs w:val="24"/>
        </w:rPr>
      </w:pPr>
      <w:r w:rsidRPr="00AD5037">
        <w:rPr>
          <w:rFonts w:ascii="Calibri" w:hAnsi="Calibri" w:cs="Calibri"/>
          <w:sz w:val="24"/>
          <w:szCs w:val="24"/>
        </w:rPr>
        <w:t>These measures ensured that the research adhered to the principles of the College of Policing’s</w:t>
      </w:r>
      <w:r w:rsidRPr="00AD5037">
        <w:rPr>
          <w:rFonts w:ascii="Calibri" w:eastAsiaTheme="majorEastAsia" w:hAnsi="Calibri" w:cs="Calibri"/>
          <w:sz w:val="24"/>
          <w:szCs w:val="24"/>
        </w:rPr>
        <w:t> </w:t>
      </w:r>
      <w:r w:rsidRPr="00AD5037">
        <w:rPr>
          <w:rFonts w:ascii="Calibri" w:eastAsiaTheme="majorEastAsia" w:hAnsi="Calibri" w:cs="Calibri"/>
          <w:i/>
          <w:iCs/>
          <w:sz w:val="24"/>
          <w:szCs w:val="24"/>
        </w:rPr>
        <w:t>Code of Ethics</w:t>
      </w:r>
      <w:r w:rsidRPr="00AD5037">
        <w:rPr>
          <w:rFonts w:ascii="Calibri" w:eastAsiaTheme="majorEastAsia" w:hAnsi="Calibri" w:cs="Calibri"/>
          <w:sz w:val="24"/>
          <w:szCs w:val="24"/>
        </w:rPr>
        <w:t> </w:t>
      </w:r>
      <w:r w:rsidRPr="00AD5037">
        <w:rPr>
          <w:rFonts w:ascii="Calibri" w:hAnsi="Calibri" w:cs="Calibri"/>
          <w:sz w:val="24"/>
          <w:szCs w:val="24"/>
        </w:rPr>
        <w:t>(College of Policing, 2024) and the University’s ethical guidelines (U</w:t>
      </w:r>
      <w:r w:rsidR="005E3761">
        <w:rPr>
          <w:rFonts w:ascii="Calibri" w:hAnsi="Calibri" w:cs="Calibri"/>
          <w:sz w:val="24"/>
          <w:szCs w:val="24"/>
        </w:rPr>
        <w:t xml:space="preserve">niversity of </w:t>
      </w:r>
      <w:r w:rsidRPr="00AD5037">
        <w:rPr>
          <w:rFonts w:ascii="Calibri" w:hAnsi="Calibri" w:cs="Calibri"/>
          <w:sz w:val="24"/>
          <w:szCs w:val="24"/>
        </w:rPr>
        <w:t>W</w:t>
      </w:r>
      <w:r w:rsidR="005E3761">
        <w:rPr>
          <w:rFonts w:ascii="Calibri" w:hAnsi="Calibri" w:cs="Calibri"/>
          <w:sz w:val="24"/>
          <w:szCs w:val="24"/>
        </w:rPr>
        <w:t xml:space="preserve">ales </w:t>
      </w:r>
      <w:r w:rsidRPr="00AD5037">
        <w:rPr>
          <w:rFonts w:ascii="Calibri" w:hAnsi="Calibri" w:cs="Calibri"/>
          <w:sz w:val="24"/>
          <w:szCs w:val="24"/>
        </w:rPr>
        <w:t>T</w:t>
      </w:r>
      <w:r w:rsidR="005E3761">
        <w:rPr>
          <w:rFonts w:ascii="Calibri" w:hAnsi="Calibri" w:cs="Calibri"/>
          <w:sz w:val="24"/>
          <w:szCs w:val="24"/>
        </w:rPr>
        <w:t xml:space="preserve">rinity </w:t>
      </w:r>
      <w:r w:rsidRPr="00AD5037">
        <w:rPr>
          <w:rFonts w:ascii="Calibri" w:hAnsi="Calibri" w:cs="Calibri"/>
          <w:sz w:val="24"/>
          <w:szCs w:val="24"/>
        </w:rPr>
        <w:t>S</w:t>
      </w:r>
      <w:r w:rsidR="005E3761">
        <w:rPr>
          <w:rFonts w:ascii="Calibri" w:hAnsi="Calibri" w:cs="Calibri"/>
          <w:sz w:val="24"/>
          <w:szCs w:val="24"/>
        </w:rPr>
        <w:t xml:space="preserve">aint </w:t>
      </w:r>
      <w:r w:rsidRPr="00AD5037">
        <w:rPr>
          <w:rFonts w:ascii="Calibri" w:hAnsi="Calibri" w:cs="Calibri"/>
          <w:sz w:val="24"/>
          <w:szCs w:val="24"/>
        </w:rPr>
        <w:t>D</w:t>
      </w:r>
      <w:r w:rsidR="005E3761">
        <w:rPr>
          <w:rFonts w:ascii="Calibri" w:hAnsi="Calibri" w:cs="Calibri"/>
          <w:sz w:val="24"/>
          <w:szCs w:val="24"/>
        </w:rPr>
        <w:t>avid</w:t>
      </w:r>
      <w:r w:rsidRPr="00AD5037">
        <w:rPr>
          <w:rFonts w:ascii="Calibri" w:hAnsi="Calibri" w:cs="Calibri"/>
          <w:sz w:val="24"/>
          <w:szCs w:val="24"/>
        </w:rPr>
        <w:t>, 2023).</w:t>
      </w:r>
    </w:p>
    <w:p w14:paraId="7CFF8089" w14:textId="77777777" w:rsidR="00F54745" w:rsidRPr="00AD5037" w:rsidRDefault="00F54745" w:rsidP="00F54745">
      <w:pPr>
        <w:spacing w:after="160" w:line="278" w:lineRule="auto"/>
        <w:rPr>
          <w:rFonts w:ascii="Calibri" w:hAnsi="Calibri" w:cs="Calibri"/>
          <w:sz w:val="24"/>
          <w:szCs w:val="24"/>
        </w:rPr>
      </w:pPr>
    </w:p>
    <w:p w14:paraId="70F3135C" w14:textId="77777777" w:rsidR="00F54745" w:rsidRPr="00AD5037" w:rsidRDefault="00F54745" w:rsidP="00D34E47">
      <w:pPr>
        <w:pStyle w:val="Heading2"/>
      </w:pPr>
      <w:bookmarkStart w:id="37" w:name="_Toc209826967"/>
      <w:r w:rsidRPr="00AD5037">
        <w:t>3.8 Limitations</w:t>
      </w:r>
      <w:bookmarkEnd w:id="37"/>
    </w:p>
    <w:p w14:paraId="383A998C" w14:textId="645AB71F"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Several limitations of the methodology must be acknowledged. First, the</w:t>
      </w:r>
      <w:r w:rsidRPr="00AD5037">
        <w:rPr>
          <w:rFonts w:ascii="Calibri" w:eastAsiaTheme="majorEastAsia" w:hAnsi="Calibri" w:cs="Calibri"/>
          <w:sz w:val="24"/>
          <w:szCs w:val="24"/>
        </w:rPr>
        <w:t> small sample size </w:t>
      </w:r>
      <w:r w:rsidRPr="00AD5037">
        <w:rPr>
          <w:rFonts w:ascii="Calibri" w:hAnsi="Calibri" w:cs="Calibri"/>
          <w:sz w:val="24"/>
          <w:szCs w:val="24"/>
        </w:rPr>
        <w:t>limits the generalisability of the findings (Bryman, 2016). The results should therefore be interpreted as indicative rather than representative. Second, the use of</w:t>
      </w:r>
      <w:r w:rsidRPr="00AD5037">
        <w:rPr>
          <w:rFonts w:ascii="Calibri" w:eastAsiaTheme="majorEastAsia" w:hAnsi="Calibri" w:cs="Calibri"/>
          <w:sz w:val="24"/>
          <w:szCs w:val="24"/>
        </w:rPr>
        <w:t> convenience sampling </w:t>
      </w:r>
      <w:r w:rsidRPr="00AD5037">
        <w:rPr>
          <w:rFonts w:ascii="Calibri" w:hAnsi="Calibri" w:cs="Calibri"/>
          <w:sz w:val="24"/>
          <w:szCs w:val="24"/>
        </w:rPr>
        <w:t>introduces potential bias, as participants may not reflect the full diversity of the Police service (Cohen, Manion and Morrison, 2018). Third, the</w:t>
      </w:r>
      <w:r w:rsidRPr="00AD5037">
        <w:rPr>
          <w:rFonts w:ascii="Calibri" w:eastAsiaTheme="majorEastAsia" w:hAnsi="Calibri" w:cs="Calibri"/>
          <w:sz w:val="24"/>
          <w:szCs w:val="24"/>
        </w:rPr>
        <w:t> cross</w:t>
      </w:r>
      <w:r w:rsidR="005E3761">
        <w:rPr>
          <w:rFonts w:ascii="Calibri" w:eastAsiaTheme="majorEastAsia" w:hAnsi="Calibri" w:cs="Calibri"/>
          <w:sz w:val="24"/>
          <w:szCs w:val="24"/>
        </w:rPr>
        <w:t>-</w:t>
      </w:r>
      <w:r w:rsidRPr="00AD5037">
        <w:rPr>
          <w:rFonts w:ascii="Calibri" w:eastAsiaTheme="majorEastAsia" w:hAnsi="Calibri" w:cs="Calibri"/>
          <w:sz w:val="24"/>
          <w:szCs w:val="24"/>
        </w:rPr>
        <w:t>sectional design </w:t>
      </w:r>
      <w:r w:rsidRPr="00AD5037">
        <w:rPr>
          <w:rFonts w:ascii="Calibri" w:hAnsi="Calibri" w:cs="Calibri"/>
          <w:sz w:val="24"/>
          <w:szCs w:val="24"/>
        </w:rPr>
        <w:t>captures attitudes at a single point in time, without accounting for how views might shift in response to future events or policy changes (Creswell, 2014). Finally, the study focuses exclusively on officer perspectives, leaving public attitudes outside its scope.</w:t>
      </w:r>
    </w:p>
    <w:p w14:paraId="3B2163B4" w14:textId="5A439EF5" w:rsidR="00F54745" w:rsidRPr="00AD5037" w:rsidRDefault="00F54745" w:rsidP="00F54745">
      <w:pPr>
        <w:rPr>
          <w:rFonts w:ascii="Calibri" w:hAnsi="Calibri" w:cs="Calibri"/>
          <w:sz w:val="24"/>
          <w:szCs w:val="24"/>
        </w:rPr>
      </w:pPr>
      <w:r w:rsidRPr="00AD5037">
        <w:rPr>
          <w:rFonts w:ascii="Calibri" w:hAnsi="Calibri" w:cs="Calibri"/>
          <w:sz w:val="24"/>
          <w:szCs w:val="24"/>
        </w:rPr>
        <w:lastRenderedPageBreak/>
        <w:t>Despite these limitations, the methodology was appropriate for the exploratory aims of the dissertation and provides valuable insight into an under</w:t>
      </w:r>
      <w:r w:rsidR="005E3761">
        <w:rPr>
          <w:rFonts w:ascii="Calibri" w:hAnsi="Calibri" w:cs="Calibri"/>
          <w:sz w:val="24"/>
          <w:szCs w:val="24"/>
        </w:rPr>
        <w:t>-</w:t>
      </w:r>
      <w:r w:rsidRPr="00AD5037">
        <w:rPr>
          <w:rFonts w:ascii="Calibri" w:hAnsi="Calibri" w:cs="Calibri"/>
          <w:sz w:val="24"/>
          <w:szCs w:val="24"/>
        </w:rPr>
        <w:t>researched dimension of the debate.</w:t>
      </w:r>
    </w:p>
    <w:p w14:paraId="0AFAD40C" w14:textId="77777777" w:rsidR="00F54745" w:rsidRPr="00AD5037" w:rsidRDefault="00F54745" w:rsidP="00F54745">
      <w:pPr>
        <w:spacing w:after="160" w:line="278" w:lineRule="auto"/>
        <w:rPr>
          <w:rFonts w:ascii="Calibri" w:hAnsi="Calibri" w:cs="Calibri"/>
          <w:sz w:val="24"/>
          <w:szCs w:val="24"/>
        </w:rPr>
      </w:pPr>
    </w:p>
    <w:p w14:paraId="53A59A2A" w14:textId="77777777" w:rsidR="00F54745" w:rsidRPr="00AD5037" w:rsidRDefault="00F54745" w:rsidP="00D34E47">
      <w:pPr>
        <w:pStyle w:val="Heading2"/>
      </w:pPr>
      <w:bookmarkStart w:id="38" w:name="_Toc209826968"/>
      <w:r w:rsidRPr="00AD5037">
        <w:t>3.9 Planning and Timeline</w:t>
      </w:r>
      <w:bookmarkEnd w:id="38"/>
    </w:p>
    <w:p w14:paraId="131813E1" w14:textId="77777777"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The research process followed a structured timeline:</w:t>
      </w:r>
    </w:p>
    <w:p w14:paraId="4DEBB4A4" w14:textId="77777777" w:rsidR="005E3761" w:rsidRDefault="00F54745" w:rsidP="00F54745">
      <w:pPr>
        <w:pStyle w:val="ListParagraph"/>
        <w:numPr>
          <w:ilvl w:val="0"/>
          <w:numId w:val="27"/>
        </w:numPr>
        <w:spacing w:after="160" w:line="278" w:lineRule="auto"/>
        <w:rPr>
          <w:rFonts w:ascii="Calibri" w:hAnsi="Calibri" w:cs="Calibri"/>
          <w:sz w:val="24"/>
          <w:szCs w:val="24"/>
        </w:rPr>
      </w:pPr>
      <w:r w:rsidRPr="005E3761">
        <w:rPr>
          <w:rFonts w:ascii="Calibri" w:eastAsiaTheme="majorEastAsia" w:hAnsi="Calibri" w:cs="Calibri"/>
          <w:sz w:val="24"/>
          <w:szCs w:val="24"/>
        </w:rPr>
        <w:t>Proposal development and literature review </w:t>
      </w:r>
      <w:r w:rsidRPr="005E3761">
        <w:rPr>
          <w:rFonts w:ascii="Calibri" w:hAnsi="Calibri" w:cs="Calibri"/>
          <w:sz w:val="24"/>
          <w:szCs w:val="24"/>
        </w:rPr>
        <w:t>(October–December).</w:t>
      </w:r>
    </w:p>
    <w:p w14:paraId="69D1AB11" w14:textId="77777777" w:rsidR="005E3761" w:rsidRDefault="00F54745" w:rsidP="00F54745">
      <w:pPr>
        <w:pStyle w:val="ListParagraph"/>
        <w:numPr>
          <w:ilvl w:val="0"/>
          <w:numId w:val="27"/>
        </w:numPr>
        <w:spacing w:after="160" w:line="278" w:lineRule="auto"/>
        <w:rPr>
          <w:rFonts w:ascii="Calibri" w:hAnsi="Calibri" w:cs="Calibri"/>
          <w:sz w:val="24"/>
          <w:szCs w:val="24"/>
        </w:rPr>
      </w:pPr>
      <w:r w:rsidRPr="005E3761">
        <w:rPr>
          <w:rFonts w:ascii="Calibri" w:eastAsiaTheme="majorEastAsia" w:hAnsi="Calibri" w:cs="Calibri"/>
          <w:sz w:val="24"/>
          <w:szCs w:val="24"/>
        </w:rPr>
        <w:t>Ethics application and approval </w:t>
      </w:r>
      <w:r w:rsidRPr="005E3761">
        <w:rPr>
          <w:rFonts w:ascii="Calibri" w:hAnsi="Calibri" w:cs="Calibri"/>
          <w:sz w:val="24"/>
          <w:szCs w:val="24"/>
        </w:rPr>
        <w:t>(January).</w:t>
      </w:r>
    </w:p>
    <w:p w14:paraId="66D73401" w14:textId="77777777" w:rsidR="005E3761" w:rsidRDefault="00F54745" w:rsidP="00F54745">
      <w:pPr>
        <w:pStyle w:val="ListParagraph"/>
        <w:numPr>
          <w:ilvl w:val="0"/>
          <w:numId w:val="27"/>
        </w:numPr>
        <w:spacing w:after="160" w:line="278" w:lineRule="auto"/>
        <w:rPr>
          <w:rFonts w:ascii="Calibri" w:hAnsi="Calibri" w:cs="Calibri"/>
          <w:sz w:val="24"/>
          <w:szCs w:val="24"/>
        </w:rPr>
      </w:pPr>
      <w:r w:rsidRPr="005E3761">
        <w:rPr>
          <w:rFonts w:ascii="Calibri" w:eastAsiaTheme="majorEastAsia" w:hAnsi="Calibri" w:cs="Calibri"/>
          <w:sz w:val="24"/>
          <w:szCs w:val="24"/>
        </w:rPr>
        <w:t>Survey design and piloting </w:t>
      </w:r>
      <w:r w:rsidRPr="005E3761">
        <w:rPr>
          <w:rFonts w:ascii="Calibri" w:hAnsi="Calibri" w:cs="Calibri"/>
          <w:sz w:val="24"/>
          <w:szCs w:val="24"/>
        </w:rPr>
        <w:t>(February).</w:t>
      </w:r>
    </w:p>
    <w:p w14:paraId="354C45C5" w14:textId="77777777" w:rsidR="005E3761" w:rsidRDefault="00F54745" w:rsidP="00F54745">
      <w:pPr>
        <w:pStyle w:val="ListParagraph"/>
        <w:numPr>
          <w:ilvl w:val="0"/>
          <w:numId w:val="27"/>
        </w:numPr>
        <w:spacing w:after="160" w:line="278" w:lineRule="auto"/>
        <w:rPr>
          <w:rFonts w:ascii="Calibri" w:hAnsi="Calibri" w:cs="Calibri"/>
          <w:sz w:val="24"/>
          <w:szCs w:val="24"/>
        </w:rPr>
      </w:pPr>
      <w:r w:rsidRPr="005E3761">
        <w:rPr>
          <w:rFonts w:ascii="Calibri" w:eastAsiaTheme="majorEastAsia" w:hAnsi="Calibri" w:cs="Calibri"/>
          <w:sz w:val="24"/>
          <w:szCs w:val="24"/>
        </w:rPr>
        <w:t>Data collection </w:t>
      </w:r>
      <w:r w:rsidRPr="005E3761">
        <w:rPr>
          <w:rFonts w:ascii="Calibri" w:hAnsi="Calibri" w:cs="Calibri"/>
          <w:sz w:val="24"/>
          <w:szCs w:val="24"/>
        </w:rPr>
        <w:t>(March).</w:t>
      </w:r>
    </w:p>
    <w:p w14:paraId="1AAF8859" w14:textId="77777777" w:rsidR="005E3761" w:rsidRDefault="00F54745" w:rsidP="00F54745">
      <w:pPr>
        <w:pStyle w:val="ListParagraph"/>
        <w:numPr>
          <w:ilvl w:val="0"/>
          <w:numId w:val="27"/>
        </w:numPr>
        <w:spacing w:after="160" w:line="278" w:lineRule="auto"/>
        <w:rPr>
          <w:rFonts w:ascii="Calibri" w:hAnsi="Calibri" w:cs="Calibri"/>
          <w:sz w:val="24"/>
          <w:szCs w:val="24"/>
        </w:rPr>
      </w:pPr>
      <w:r w:rsidRPr="005E3761">
        <w:rPr>
          <w:rFonts w:ascii="Calibri" w:eastAsiaTheme="majorEastAsia" w:hAnsi="Calibri" w:cs="Calibri"/>
          <w:sz w:val="24"/>
          <w:szCs w:val="24"/>
        </w:rPr>
        <w:t>Data analysis </w:t>
      </w:r>
      <w:r w:rsidRPr="005E3761">
        <w:rPr>
          <w:rFonts w:ascii="Calibri" w:hAnsi="Calibri" w:cs="Calibri"/>
          <w:sz w:val="24"/>
          <w:szCs w:val="24"/>
        </w:rPr>
        <w:t>(April).</w:t>
      </w:r>
    </w:p>
    <w:p w14:paraId="1D3D31E6" w14:textId="77777777" w:rsidR="005E3761" w:rsidRDefault="00F54745" w:rsidP="00F54745">
      <w:pPr>
        <w:pStyle w:val="ListParagraph"/>
        <w:numPr>
          <w:ilvl w:val="0"/>
          <w:numId w:val="27"/>
        </w:numPr>
        <w:spacing w:after="160" w:line="278" w:lineRule="auto"/>
        <w:rPr>
          <w:rFonts w:ascii="Calibri" w:hAnsi="Calibri" w:cs="Calibri"/>
          <w:sz w:val="24"/>
          <w:szCs w:val="24"/>
        </w:rPr>
      </w:pPr>
      <w:r w:rsidRPr="005E3761">
        <w:rPr>
          <w:rFonts w:ascii="Calibri" w:eastAsiaTheme="majorEastAsia" w:hAnsi="Calibri" w:cs="Calibri"/>
          <w:sz w:val="24"/>
          <w:szCs w:val="24"/>
        </w:rPr>
        <w:t>Writing up findings and discussion </w:t>
      </w:r>
      <w:r w:rsidRPr="005E3761">
        <w:rPr>
          <w:rFonts w:ascii="Calibri" w:hAnsi="Calibri" w:cs="Calibri"/>
          <w:sz w:val="24"/>
          <w:szCs w:val="24"/>
        </w:rPr>
        <w:t>(May–June).</w:t>
      </w:r>
    </w:p>
    <w:p w14:paraId="4BE8BDC3" w14:textId="503BB28A" w:rsidR="00F54745" w:rsidRPr="005E3761" w:rsidRDefault="00F54745" w:rsidP="005E3761">
      <w:pPr>
        <w:spacing w:after="160" w:line="278" w:lineRule="auto"/>
        <w:rPr>
          <w:rFonts w:ascii="Calibri" w:hAnsi="Calibri" w:cs="Calibri"/>
          <w:sz w:val="24"/>
          <w:szCs w:val="24"/>
        </w:rPr>
      </w:pPr>
      <w:r w:rsidRPr="005E3761">
        <w:rPr>
          <w:rFonts w:ascii="Calibri" w:hAnsi="Calibri" w:cs="Calibri"/>
          <w:sz w:val="24"/>
          <w:szCs w:val="24"/>
        </w:rPr>
        <w:t>This staged approach ensured that the project remained on track and that sufficient time was allocated to each phase (Bryman, 2016).</w:t>
      </w:r>
    </w:p>
    <w:p w14:paraId="3AC4C9D7" w14:textId="77777777" w:rsidR="00F54745" w:rsidRPr="00AD5037" w:rsidRDefault="00F54745" w:rsidP="00AD5037">
      <w:pPr>
        <w:pStyle w:val="Heading2"/>
      </w:pPr>
    </w:p>
    <w:p w14:paraId="2A801B71" w14:textId="77777777" w:rsidR="00F54745" w:rsidRPr="00AD5037" w:rsidRDefault="00F54745" w:rsidP="00AD5037">
      <w:pPr>
        <w:pStyle w:val="Heading2"/>
      </w:pPr>
      <w:bookmarkStart w:id="39" w:name="_Toc209826969"/>
      <w:r w:rsidRPr="00AD5037">
        <w:t>3.10 Conclusion</w:t>
      </w:r>
      <w:bookmarkEnd w:id="39"/>
    </w:p>
    <w:p w14:paraId="0FA98BD4" w14:textId="3F4BCF7B" w:rsidR="00F54745" w:rsidRPr="00AD5037" w:rsidRDefault="00F54745" w:rsidP="00F54745">
      <w:pPr>
        <w:spacing w:after="160" w:line="278" w:lineRule="auto"/>
        <w:rPr>
          <w:rFonts w:ascii="Calibri" w:hAnsi="Calibri" w:cs="Calibri"/>
          <w:sz w:val="24"/>
          <w:szCs w:val="24"/>
        </w:rPr>
      </w:pPr>
      <w:r w:rsidRPr="00AD5037">
        <w:rPr>
          <w:rFonts w:ascii="Calibri" w:hAnsi="Calibri" w:cs="Calibri"/>
          <w:sz w:val="24"/>
          <w:szCs w:val="24"/>
        </w:rPr>
        <w:t>This chapter has outlined the methodological approach adopted for the study. A small</w:t>
      </w:r>
      <w:r w:rsidR="005E3761">
        <w:rPr>
          <w:rFonts w:ascii="Calibri" w:hAnsi="Calibri" w:cs="Calibri"/>
          <w:sz w:val="24"/>
          <w:szCs w:val="24"/>
        </w:rPr>
        <w:t>-</w:t>
      </w:r>
      <w:r w:rsidRPr="00AD5037">
        <w:rPr>
          <w:rFonts w:ascii="Calibri" w:hAnsi="Calibri" w:cs="Calibri"/>
          <w:sz w:val="24"/>
          <w:szCs w:val="24"/>
        </w:rPr>
        <w:t>scale quantitative survey was selected as the most appropriate design for capturing officer perspectives on routine arming, with questions grounded in the themes identified in the literature review. The chapter has detailed the sampling strategy, instrument design, data collection and analysis procedures, and ethical safeguards, while also acknowledging the limitations of the approach.</w:t>
      </w:r>
    </w:p>
    <w:p w14:paraId="76660C52"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By setting out these methodological choices transparently, the chapter demonstrates how the study was designed to generate valid, ethically sound, and contextually relevant insights. The next chapter presents the analysis of the survey results.</w:t>
      </w:r>
    </w:p>
    <w:p w14:paraId="59A79A1E" w14:textId="77777777" w:rsidR="00015055" w:rsidRPr="00AD5037" w:rsidRDefault="00015055" w:rsidP="00F54745">
      <w:pPr>
        <w:rPr>
          <w:rFonts w:ascii="Calibri" w:hAnsi="Calibri" w:cs="Calibri"/>
          <w:sz w:val="24"/>
          <w:szCs w:val="24"/>
        </w:rPr>
      </w:pPr>
    </w:p>
    <w:p w14:paraId="0F06014D" w14:textId="32CF50B1" w:rsidR="00015055" w:rsidRPr="00AD5037" w:rsidRDefault="00015055" w:rsidP="00F54745">
      <w:pPr>
        <w:rPr>
          <w:rFonts w:ascii="Calibri" w:hAnsi="Calibri" w:cs="Calibri"/>
          <w:sz w:val="24"/>
          <w:szCs w:val="24"/>
        </w:rPr>
      </w:pPr>
      <w:r w:rsidRPr="00AD5037">
        <w:rPr>
          <w:rFonts w:ascii="Calibri" w:hAnsi="Calibri" w:cs="Calibri"/>
          <w:sz w:val="24"/>
          <w:szCs w:val="24"/>
        </w:rPr>
        <w:t>The full questionnaire (Appendix A), participant information sheet and consent form (Appendix B), research proposal and ethical approval documentation (Appendix C), and the raw data tables and figures (Appendix D) are provided at the end of this dissertation. These appendices ensure transparency and allow the reader to review the survey instrument, ethical safeguards, and descriptive data that underpin the analysis presented in Chapter 4.</w:t>
      </w:r>
    </w:p>
    <w:p w14:paraId="4360C165" w14:textId="77777777" w:rsidR="001F19B3" w:rsidRPr="00AD5037" w:rsidRDefault="001F19B3" w:rsidP="001F19B3">
      <w:pPr>
        <w:rPr>
          <w:rFonts w:ascii="Calibri" w:hAnsi="Calibri" w:cs="Calibri"/>
          <w:sz w:val="24"/>
          <w:szCs w:val="24"/>
        </w:rPr>
      </w:pPr>
    </w:p>
    <w:p w14:paraId="4874ADBC" w14:textId="77777777" w:rsidR="00BC35FC" w:rsidRPr="00AD5037" w:rsidRDefault="00BC35FC" w:rsidP="00BC35FC">
      <w:pPr>
        <w:rPr>
          <w:rFonts w:ascii="Calibri" w:eastAsiaTheme="majorEastAsia" w:hAnsi="Calibri" w:cs="Calibri"/>
          <w:color w:val="auto"/>
          <w:sz w:val="24"/>
          <w:szCs w:val="24"/>
        </w:rPr>
      </w:pPr>
    </w:p>
    <w:p w14:paraId="6B608BEE" w14:textId="77777777" w:rsidR="00BC35FC" w:rsidRPr="00AD5037" w:rsidRDefault="00BC35FC" w:rsidP="00D34E47">
      <w:pPr>
        <w:pStyle w:val="Heading1"/>
      </w:pPr>
      <w:bookmarkStart w:id="40" w:name="_Toc209826970"/>
      <w:r w:rsidRPr="00AD5037">
        <w:t>Chapter 4: Analysis of Results</w:t>
      </w:r>
      <w:bookmarkEnd w:id="40"/>
    </w:p>
    <w:p w14:paraId="154E1AB7" w14:textId="77777777" w:rsidR="00F54745" w:rsidRPr="00AD5037" w:rsidRDefault="00F54745" w:rsidP="00AD5037">
      <w:pPr>
        <w:pStyle w:val="Heading2"/>
      </w:pPr>
      <w:bookmarkStart w:id="41" w:name="_Toc209826971"/>
      <w:r w:rsidRPr="00AD5037">
        <w:t>4.1 Introduction to the Data</w:t>
      </w:r>
      <w:bookmarkEnd w:id="41"/>
    </w:p>
    <w:p w14:paraId="70639BC5" w14:textId="77777777" w:rsidR="00F54745" w:rsidRDefault="00F54745" w:rsidP="00F54745">
      <w:pPr>
        <w:rPr>
          <w:rFonts w:ascii="Calibri" w:hAnsi="Calibri" w:cs="Calibri"/>
          <w:sz w:val="24"/>
          <w:szCs w:val="24"/>
        </w:rPr>
      </w:pPr>
      <w:r w:rsidRPr="00AD5037">
        <w:rPr>
          <w:rFonts w:ascii="Calibri" w:hAnsi="Calibri" w:cs="Calibri"/>
          <w:sz w:val="24"/>
          <w:szCs w:val="24"/>
        </w:rPr>
        <w:t xml:space="preserve">The survey was distributed to serving Police officers across a range of roles, ethnicities, and years of service, with the aim of exploring attitudes toward the routine arming of all Police </w:t>
      </w:r>
      <w:r w:rsidRPr="00AD5037">
        <w:rPr>
          <w:rFonts w:ascii="Calibri" w:hAnsi="Calibri" w:cs="Calibri"/>
          <w:sz w:val="24"/>
          <w:szCs w:val="24"/>
        </w:rPr>
        <w:lastRenderedPageBreak/>
        <w:t>officers in the United Kingdom. A total of 12 officers responded, representing a modest but diverse sample. Participants included 8 males and 4 females, aged between 22 and 45 years (mean ≈ 33), with years of service ranging from 1 to 20 years. Roles were distributed across Response Officers (5), Neighbourhood Officers (4), and Specialist Units (3). Ethnic diversity was also present, with respondents identifying as White, Black, Asian, Mixed, and Other.</w:t>
      </w:r>
    </w:p>
    <w:p w14:paraId="341C65A6" w14:textId="77777777" w:rsidR="005E3761" w:rsidRPr="00AD5037" w:rsidRDefault="005E3761" w:rsidP="00F54745">
      <w:pPr>
        <w:rPr>
          <w:rFonts w:ascii="Calibri" w:hAnsi="Calibri" w:cs="Calibri"/>
          <w:sz w:val="24"/>
          <w:szCs w:val="24"/>
        </w:rPr>
      </w:pPr>
    </w:p>
    <w:p w14:paraId="385BC4BC"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Although the sample size is limited, the responses provide valuable insight into officer perspectives on a contentious issue. The following analysis presents descriptive statistics, explores demographic patterns, and identifies key themes emerging from the data.</w:t>
      </w:r>
    </w:p>
    <w:p w14:paraId="339736FD" w14:textId="77777777" w:rsidR="00F54745" w:rsidRPr="00AD5037" w:rsidRDefault="00F54745" w:rsidP="00F54745">
      <w:pPr>
        <w:rPr>
          <w:rFonts w:ascii="Calibri" w:hAnsi="Calibri" w:cs="Calibri"/>
          <w:sz w:val="24"/>
          <w:szCs w:val="24"/>
        </w:rPr>
      </w:pPr>
    </w:p>
    <w:p w14:paraId="4B2567D1" w14:textId="77777777" w:rsidR="00F54745" w:rsidRPr="00AD5037" w:rsidRDefault="00F54745" w:rsidP="00AD5037">
      <w:pPr>
        <w:pStyle w:val="Heading2"/>
      </w:pPr>
      <w:bookmarkStart w:id="42" w:name="_Toc209826972"/>
      <w:r w:rsidRPr="00AD5037">
        <w:t>4.2 Descriptive Statistics</w:t>
      </w:r>
      <w:bookmarkEnd w:id="42"/>
    </w:p>
    <w:p w14:paraId="750CA9F2"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The survey included ten Likert</w:t>
      </w:r>
      <w:r w:rsidRPr="00AD5037">
        <w:rPr>
          <w:rFonts w:ascii="Calibri" w:hAnsi="Calibri" w:cs="Calibri"/>
          <w:sz w:val="24"/>
          <w:szCs w:val="24"/>
        </w:rPr>
        <w:noBreakHyphen/>
        <w:t>scale items (Q6–Q15), each rated from 1 (Strongly Disagree) to 5 (Strongly Agree). The mean scores are summarised below:</w:t>
      </w:r>
    </w:p>
    <w:tbl>
      <w:tblPr>
        <w:tblStyle w:val="TableGrid"/>
        <w:tblpPr w:leftFromText="180" w:rightFromText="180" w:vertAnchor="page" w:horzAnchor="margin" w:tblpY="3432"/>
        <w:tblW w:w="0" w:type="auto"/>
        <w:tblLook w:val="04A0" w:firstRow="1" w:lastRow="0" w:firstColumn="1" w:lastColumn="0" w:noHBand="0" w:noVBand="1"/>
      </w:tblPr>
      <w:tblGrid>
        <w:gridCol w:w="1105"/>
        <w:gridCol w:w="4643"/>
        <w:gridCol w:w="782"/>
        <w:gridCol w:w="2486"/>
      </w:tblGrid>
      <w:tr w:rsidR="00D13B1A" w:rsidRPr="00AD5037" w14:paraId="6A4213BD" w14:textId="77777777" w:rsidTr="00D13B1A">
        <w:tc>
          <w:tcPr>
            <w:tcW w:w="0" w:type="auto"/>
            <w:hideMark/>
          </w:tcPr>
          <w:p w14:paraId="20E8F315" w14:textId="77777777" w:rsidR="00D13B1A" w:rsidRPr="00AD5037" w:rsidRDefault="00D13B1A" w:rsidP="00D13B1A">
            <w:pPr>
              <w:jc w:val="center"/>
              <w:rPr>
                <w:rFonts w:ascii="Calibri" w:hAnsi="Calibri" w:cs="Calibri"/>
                <w:sz w:val="24"/>
                <w:szCs w:val="24"/>
              </w:rPr>
            </w:pPr>
            <w:r w:rsidRPr="00AD5037">
              <w:rPr>
                <w:rFonts w:ascii="Calibri" w:hAnsi="Calibri" w:cs="Calibri"/>
                <w:sz w:val="24"/>
                <w:szCs w:val="24"/>
              </w:rPr>
              <w:t>Question</w:t>
            </w:r>
          </w:p>
        </w:tc>
        <w:tc>
          <w:tcPr>
            <w:tcW w:w="0" w:type="auto"/>
            <w:hideMark/>
          </w:tcPr>
          <w:p w14:paraId="23C225E0" w14:textId="77777777" w:rsidR="00D13B1A" w:rsidRPr="00AD5037" w:rsidRDefault="00D13B1A" w:rsidP="00D13B1A">
            <w:pPr>
              <w:jc w:val="center"/>
              <w:rPr>
                <w:rFonts w:ascii="Calibri" w:hAnsi="Calibri" w:cs="Calibri"/>
                <w:sz w:val="24"/>
                <w:szCs w:val="24"/>
              </w:rPr>
            </w:pPr>
            <w:r w:rsidRPr="00AD5037">
              <w:rPr>
                <w:rFonts w:ascii="Calibri" w:hAnsi="Calibri" w:cs="Calibri"/>
                <w:sz w:val="24"/>
                <w:szCs w:val="24"/>
              </w:rPr>
              <w:t>Statement (shortened)</w:t>
            </w:r>
          </w:p>
        </w:tc>
        <w:tc>
          <w:tcPr>
            <w:tcW w:w="0" w:type="auto"/>
            <w:hideMark/>
          </w:tcPr>
          <w:p w14:paraId="6A33D385" w14:textId="77777777" w:rsidR="00D13B1A" w:rsidRPr="00AD5037" w:rsidRDefault="00D13B1A" w:rsidP="00D13B1A">
            <w:pPr>
              <w:jc w:val="center"/>
              <w:rPr>
                <w:rFonts w:ascii="Calibri" w:hAnsi="Calibri" w:cs="Calibri"/>
                <w:sz w:val="24"/>
                <w:szCs w:val="24"/>
              </w:rPr>
            </w:pPr>
            <w:r w:rsidRPr="00AD5037">
              <w:rPr>
                <w:rFonts w:ascii="Calibri" w:hAnsi="Calibri" w:cs="Calibri"/>
                <w:sz w:val="24"/>
                <w:szCs w:val="24"/>
              </w:rPr>
              <w:t>Mean</w:t>
            </w:r>
          </w:p>
        </w:tc>
        <w:tc>
          <w:tcPr>
            <w:tcW w:w="0" w:type="auto"/>
            <w:hideMark/>
          </w:tcPr>
          <w:p w14:paraId="61468AA7" w14:textId="77777777" w:rsidR="00D13B1A" w:rsidRPr="00AD5037" w:rsidRDefault="00D13B1A" w:rsidP="00D13B1A">
            <w:pPr>
              <w:jc w:val="center"/>
              <w:rPr>
                <w:rFonts w:ascii="Calibri" w:hAnsi="Calibri" w:cs="Calibri"/>
                <w:sz w:val="24"/>
                <w:szCs w:val="24"/>
              </w:rPr>
            </w:pPr>
            <w:r w:rsidRPr="00AD5037">
              <w:rPr>
                <w:rFonts w:ascii="Calibri" w:hAnsi="Calibri" w:cs="Calibri"/>
                <w:sz w:val="24"/>
                <w:szCs w:val="24"/>
              </w:rPr>
              <w:t>Trend</w:t>
            </w:r>
          </w:p>
        </w:tc>
      </w:tr>
      <w:tr w:rsidR="00D13B1A" w:rsidRPr="00AD5037" w14:paraId="788BDBD6" w14:textId="77777777" w:rsidTr="00D13B1A">
        <w:tc>
          <w:tcPr>
            <w:tcW w:w="0" w:type="auto"/>
            <w:hideMark/>
          </w:tcPr>
          <w:p w14:paraId="03FC2928"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Q6</w:t>
            </w:r>
          </w:p>
        </w:tc>
        <w:tc>
          <w:tcPr>
            <w:tcW w:w="0" w:type="auto"/>
            <w:hideMark/>
          </w:tcPr>
          <w:p w14:paraId="7BC3A1CB"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Arming increases officer safety</w:t>
            </w:r>
          </w:p>
        </w:tc>
        <w:tc>
          <w:tcPr>
            <w:tcW w:w="0" w:type="auto"/>
            <w:hideMark/>
          </w:tcPr>
          <w:p w14:paraId="1B22E6C7"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4.25</w:t>
            </w:r>
          </w:p>
        </w:tc>
        <w:tc>
          <w:tcPr>
            <w:tcW w:w="0" w:type="auto"/>
            <w:hideMark/>
          </w:tcPr>
          <w:p w14:paraId="24FC27B4"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Strong agreement</w:t>
            </w:r>
          </w:p>
        </w:tc>
      </w:tr>
      <w:tr w:rsidR="00D13B1A" w:rsidRPr="00AD5037" w14:paraId="40B5FFD9" w14:textId="77777777" w:rsidTr="00D13B1A">
        <w:tc>
          <w:tcPr>
            <w:tcW w:w="0" w:type="auto"/>
            <w:hideMark/>
          </w:tcPr>
          <w:p w14:paraId="287D8A78"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Q7</w:t>
            </w:r>
          </w:p>
        </w:tc>
        <w:tc>
          <w:tcPr>
            <w:tcW w:w="0" w:type="auto"/>
            <w:hideMark/>
          </w:tcPr>
          <w:p w14:paraId="7335DC75"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Arming makes public feel safer</w:t>
            </w:r>
          </w:p>
        </w:tc>
        <w:tc>
          <w:tcPr>
            <w:tcW w:w="0" w:type="auto"/>
            <w:hideMark/>
          </w:tcPr>
          <w:p w14:paraId="74575D8D"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4.33</w:t>
            </w:r>
          </w:p>
        </w:tc>
        <w:tc>
          <w:tcPr>
            <w:tcW w:w="0" w:type="auto"/>
            <w:hideMark/>
          </w:tcPr>
          <w:p w14:paraId="56ACDD63"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Strong agreement</w:t>
            </w:r>
          </w:p>
        </w:tc>
      </w:tr>
      <w:tr w:rsidR="00D13B1A" w:rsidRPr="00AD5037" w14:paraId="681B24EB" w14:textId="77777777" w:rsidTr="00D13B1A">
        <w:tc>
          <w:tcPr>
            <w:tcW w:w="0" w:type="auto"/>
            <w:hideMark/>
          </w:tcPr>
          <w:p w14:paraId="2124FC5A"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Q8</w:t>
            </w:r>
          </w:p>
        </w:tc>
        <w:tc>
          <w:tcPr>
            <w:tcW w:w="0" w:type="auto"/>
            <w:hideMark/>
          </w:tcPr>
          <w:p w14:paraId="22F1DE57"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Firearms improve response to terrorism/violent crime</w:t>
            </w:r>
          </w:p>
        </w:tc>
        <w:tc>
          <w:tcPr>
            <w:tcW w:w="0" w:type="auto"/>
            <w:hideMark/>
          </w:tcPr>
          <w:p w14:paraId="33EB7AAF"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4.25</w:t>
            </w:r>
          </w:p>
        </w:tc>
        <w:tc>
          <w:tcPr>
            <w:tcW w:w="0" w:type="auto"/>
            <w:hideMark/>
          </w:tcPr>
          <w:p w14:paraId="6BCE6590"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Strong agreement</w:t>
            </w:r>
          </w:p>
        </w:tc>
      </w:tr>
      <w:tr w:rsidR="00D13B1A" w:rsidRPr="00AD5037" w14:paraId="039C8FE9" w14:textId="77777777" w:rsidTr="00D13B1A">
        <w:tc>
          <w:tcPr>
            <w:tcW w:w="0" w:type="auto"/>
            <w:hideMark/>
          </w:tcPr>
          <w:p w14:paraId="746442E1"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Q9</w:t>
            </w:r>
          </w:p>
        </w:tc>
        <w:tc>
          <w:tcPr>
            <w:tcW w:w="0" w:type="auto"/>
            <w:hideMark/>
          </w:tcPr>
          <w:p w14:paraId="4566A713"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Routine arming increases risk of unnecessary force</w:t>
            </w:r>
          </w:p>
        </w:tc>
        <w:tc>
          <w:tcPr>
            <w:tcW w:w="0" w:type="auto"/>
            <w:hideMark/>
          </w:tcPr>
          <w:p w14:paraId="0E246EFA"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3.75</w:t>
            </w:r>
          </w:p>
        </w:tc>
        <w:tc>
          <w:tcPr>
            <w:tcW w:w="0" w:type="auto"/>
            <w:hideMark/>
          </w:tcPr>
          <w:p w14:paraId="26C235F4"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Moderate agreement</w:t>
            </w:r>
          </w:p>
        </w:tc>
      </w:tr>
      <w:tr w:rsidR="00D13B1A" w:rsidRPr="00AD5037" w14:paraId="78EEDC4D" w14:textId="77777777" w:rsidTr="00D13B1A">
        <w:tc>
          <w:tcPr>
            <w:tcW w:w="0" w:type="auto"/>
            <w:hideMark/>
          </w:tcPr>
          <w:p w14:paraId="28498EF3"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Q10</w:t>
            </w:r>
          </w:p>
        </w:tc>
        <w:tc>
          <w:tcPr>
            <w:tcW w:w="0" w:type="auto"/>
            <w:hideMark/>
          </w:tcPr>
          <w:p w14:paraId="28FDC7B0"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Community trust would decline</w:t>
            </w:r>
          </w:p>
        </w:tc>
        <w:tc>
          <w:tcPr>
            <w:tcW w:w="0" w:type="auto"/>
            <w:hideMark/>
          </w:tcPr>
          <w:p w14:paraId="2AE26263"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3.67</w:t>
            </w:r>
          </w:p>
        </w:tc>
        <w:tc>
          <w:tcPr>
            <w:tcW w:w="0" w:type="auto"/>
            <w:hideMark/>
          </w:tcPr>
          <w:p w14:paraId="49E53353"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Moderate agreement</w:t>
            </w:r>
          </w:p>
        </w:tc>
      </w:tr>
      <w:tr w:rsidR="00D13B1A" w:rsidRPr="00AD5037" w14:paraId="6476291E" w14:textId="77777777" w:rsidTr="00D13B1A">
        <w:tc>
          <w:tcPr>
            <w:tcW w:w="0" w:type="auto"/>
            <w:hideMark/>
          </w:tcPr>
          <w:p w14:paraId="7E867E6A"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Q11</w:t>
            </w:r>
          </w:p>
        </w:tc>
        <w:tc>
          <w:tcPr>
            <w:tcW w:w="0" w:type="auto"/>
            <w:hideMark/>
          </w:tcPr>
          <w:p w14:paraId="08AC9FDF"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Firearms escalate confrontations</w:t>
            </w:r>
          </w:p>
        </w:tc>
        <w:tc>
          <w:tcPr>
            <w:tcW w:w="0" w:type="auto"/>
            <w:hideMark/>
          </w:tcPr>
          <w:p w14:paraId="617DEF1F"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4.08</w:t>
            </w:r>
          </w:p>
        </w:tc>
        <w:tc>
          <w:tcPr>
            <w:tcW w:w="0" w:type="auto"/>
            <w:hideMark/>
          </w:tcPr>
          <w:p w14:paraId="374B728C"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Strong agreement</w:t>
            </w:r>
          </w:p>
        </w:tc>
      </w:tr>
      <w:tr w:rsidR="00D13B1A" w:rsidRPr="00AD5037" w14:paraId="527E2FAA" w14:textId="77777777" w:rsidTr="00D13B1A">
        <w:tc>
          <w:tcPr>
            <w:tcW w:w="0" w:type="auto"/>
            <w:hideMark/>
          </w:tcPr>
          <w:p w14:paraId="24144FF2"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Q12</w:t>
            </w:r>
          </w:p>
        </w:tc>
        <w:tc>
          <w:tcPr>
            <w:tcW w:w="0" w:type="auto"/>
            <w:hideMark/>
          </w:tcPr>
          <w:p w14:paraId="3A4BCDE8"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Arming deters violent criminals</w:t>
            </w:r>
          </w:p>
        </w:tc>
        <w:tc>
          <w:tcPr>
            <w:tcW w:w="0" w:type="auto"/>
            <w:hideMark/>
          </w:tcPr>
          <w:p w14:paraId="092712B4"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4.08</w:t>
            </w:r>
          </w:p>
        </w:tc>
        <w:tc>
          <w:tcPr>
            <w:tcW w:w="0" w:type="auto"/>
            <w:hideMark/>
          </w:tcPr>
          <w:p w14:paraId="3B053990"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Strong agreement</w:t>
            </w:r>
          </w:p>
        </w:tc>
      </w:tr>
      <w:tr w:rsidR="00D13B1A" w:rsidRPr="00AD5037" w14:paraId="642AC97C" w14:textId="77777777" w:rsidTr="00D13B1A">
        <w:tc>
          <w:tcPr>
            <w:tcW w:w="0" w:type="auto"/>
            <w:hideMark/>
          </w:tcPr>
          <w:p w14:paraId="4DF76B3E"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Q13</w:t>
            </w:r>
          </w:p>
        </w:tc>
        <w:tc>
          <w:tcPr>
            <w:tcW w:w="0" w:type="auto"/>
            <w:hideMark/>
          </w:tcPr>
          <w:p w14:paraId="27DA053D"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Firearms training increases confidence</w:t>
            </w:r>
          </w:p>
        </w:tc>
        <w:tc>
          <w:tcPr>
            <w:tcW w:w="0" w:type="auto"/>
            <w:hideMark/>
          </w:tcPr>
          <w:p w14:paraId="7207B539"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4.25</w:t>
            </w:r>
          </w:p>
        </w:tc>
        <w:tc>
          <w:tcPr>
            <w:tcW w:w="0" w:type="auto"/>
            <w:hideMark/>
          </w:tcPr>
          <w:p w14:paraId="2CC03129"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Strong agreement</w:t>
            </w:r>
          </w:p>
        </w:tc>
      </w:tr>
      <w:tr w:rsidR="00D13B1A" w:rsidRPr="00AD5037" w14:paraId="4064CADC" w14:textId="77777777" w:rsidTr="00D13B1A">
        <w:tc>
          <w:tcPr>
            <w:tcW w:w="0" w:type="auto"/>
            <w:hideMark/>
          </w:tcPr>
          <w:p w14:paraId="588080D9"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Q14</w:t>
            </w:r>
          </w:p>
        </w:tc>
        <w:tc>
          <w:tcPr>
            <w:tcW w:w="0" w:type="auto"/>
            <w:hideMark/>
          </w:tcPr>
          <w:p w14:paraId="54DBE6C3"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Risks outweigh benefits</w:t>
            </w:r>
          </w:p>
        </w:tc>
        <w:tc>
          <w:tcPr>
            <w:tcW w:w="0" w:type="auto"/>
            <w:hideMark/>
          </w:tcPr>
          <w:p w14:paraId="1330B031"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3.58</w:t>
            </w:r>
          </w:p>
        </w:tc>
        <w:tc>
          <w:tcPr>
            <w:tcW w:w="0" w:type="auto"/>
            <w:hideMark/>
          </w:tcPr>
          <w:p w14:paraId="4DE40A1D"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Moderate agreement</w:t>
            </w:r>
          </w:p>
        </w:tc>
      </w:tr>
      <w:tr w:rsidR="00D13B1A" w:rsidRPr="00AD5037" w14:paraId="5532C0A2" w14:textId="77777777" w:rsidTr="00D13B1A">
        <w:trPr>
          <w:trHeight w:val="81"/>
        </w:trPr>
        <w:tc>
          <w:tcPr>
            <w:tcW w:w="0" w:type="auto"/>
            <w:hideMark/>
          </w:tcPr>
          <w:p w14:paraId="75C728F8"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Q15</w:t>
            </w:r>
          </w:p>
        </w:tc>
        <w:tc>
          <w:tcPr>
            <w:tcW w:w="0" w:type="auto"/>
            <w:hideMark/>
          </w:tcPr>
          <w:p w14:paraId="747BA422"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Support for routine arming</w:t>
            </w:r>
          </w:p>
        </w:tc>
        <w:tc>
          <w:tcPr>
            <w:tcW w:w="0" w:type="auto"/>
            <w:hideMark/>
          </w:tcPr>
          <w:p w14:paraId="465497B9"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3.92</w:t>
            </w:r>
          </w:p>
        </w:tc>
        <w:tc>
          <w:tcPr>
            <w:tcW w:w="0" w:type="auto"/>
            <w:hideMark/>
          </w:tcPr>
          <w:p w14:paraId="364D7949" w14:textId="77777777" w:rsidR="00D13B1A" w:rsidRPr="00AD5037" w:rsidRDefault="00D13B1A" w:rsidP="00D13B1A">
            <w:pPr>
              <w:rPr>
                <w:rFonts w:ascii="Calibri" w:hAnsi="Calibri" w:cs="Calibri"/>
                <w:sz w:val="24"/>
                <w:szCs w:val="24"/>
              </w:rPr>
            </w:pPr>
            <w:r w:rsidRPr="00AD5037">
              <w:rPr>
                <w:rFonts w:ascii="Calibri" w:hAnsi="Calibri" w:cs="Calibri"/>
                <w:sz w:val="24"/>
                <w:szCs w:val="24"/>
              </w:rPr>
              <w:t>Leaning toward agreement</w:t>
            </w:r>
          </w:p>
        </w:tc>
      </w:tr>
    </w:tbl>
    <w:p w14:paraId="5B91119B" w14:textId="675D4917" w:rsidR="00015055" w:rsidRPr="00AD5037" w:rsidRDefault="00F54745" w:rsidP="00F54745">
      <w:pPr>
        <w:rPr>
          <w:rFonts w:ascii="Calibri" w:hAnsi="Calibri" w:cs="Calibri"/>
          <w:sz w:val="24"/>
          <w:szCs w:val="24"/>
        </w:rPr>
      </w:pPr>
      <w:r w:rsidRPr="00AD5037">
        <w:rPr>
          <w:rFonts w:ascii="Calibri" w:hAnsi="Calibri" w:cs="Calibri"/>
          <w:sz w:val="24"/>
          <w:szCs w:val="24"/>
        </w:rPr>
        <w:t>Mean scores (1 = Strongly Disagree, 5 = Strongly Agree) for each Likert</w:t>
      </w:r>
      <w:r w:rsidRPr="00AD5037">
        <w:rPr>
          <w:rFonts w:ascii="Calibri" w:hAnsi="Calibri" w:cs="Calibri"/>
          <w:sz w:val="24"/>
          <w:szCs w:val="24"/>
        </w:rPr>
        <w:noBreakHyphen/>
        <w:t>scale item:</w:t>
      </w:r>
    </w:p>
    <w:p w14:paraId="1EAB84C7" w14:textId="77777777" w:rsidR="00F54745" w:rsidRPr="00AD5037" w:rsidRDefault="00F54745" w:rsidP="00F54745">
      <w:pPr>
        <w:rPr>
          <w:rFonts w:ascii="Calibri" w:hAnsi="Calibri" w:cs="Calibri"/>
          <w:sz w:val="24"/>
          <w:szCs w:val="24"/>
        </w:rPr>
      </w:pPr>
    </w:p>
    <w:p w14:paraId="62337203" w14:textId="77777777" w:rsidR="00F54745" w:rsidRPr="00AD5037" w:rsidRDefault="00F54745" w:rsidP="00F54745">
      <w:pPr>
        <w:rPr>
          <w:rFonts w:ascii="Calibri" w:hAnsi="Calibri" w:cs="Calibri"/>
          <w:sz w:val="24"/>
          <w:szCs w:val="24"/>
        </w:rPr>
      </w:pPr>
    </w:p>
    <w:p w14:paraId="1644C041" w14:textId="77777777" w:rsidR="00D13B1A" w:rsidRDefault="00D13B1A" w:rsidP="00F54745">
      <w:pPr>
        <w:rPr>
          <w:rFonts w:ascii="Calibri" w:hAnsi="Calibri" w:cs="Calibri"/>
          <w:sz w:val="24"/>
          <w:szCs w:val="24"/>
        </w:rPr>
      </w:pPr>
    </w:p>
    <w:p w14:paraId="6AA9B79A" w14:textId="1714DBE6" w:rsidR="00F54745" w:rsidRPr="00AD5037" w:rsidRDefault="00F54745" w:rsidP="00F54745">
      <w:pPr>
        <w:rPr>
          <w:rFonts w:ascii="Calibri" w:hAnsi="Calibri" w:cs="Calibri"/>
          <w:sz w:val="24"/>
          <w:szCs w:val="24"/>
        </w:rPr>
      </w:pPr>
      <w:r w:rsidRPr="00AD5037">
        <w:rPr>
          <w:rFonts w:ascii="Calibri" w:hAnsi="Calibri" w:cs="Calibri"/>
          <w:sz w:val="24"/>
          <w:szCs w:val="24"/>
        </w:rPr>
        <w:t>The results reveal a complex picture: while officers strongly endorsed the benefits of arming in terms of safety, deterrence, and operational effectiveness, they also acknowledged significant risks relating to escalation and public trust.</w:t>
      </w:r>
    </w:p>
    <w:p w14:paraId="0BF578F9" w14:textId="77777777" w:rsidR="00F54745" w:rsidRPr="00AD5037" w:rsidRDefault="00F54745" w:rsidP="00F54745">
      <w:pPr>
        <w:rPr>
          <w:rFonts w:ascii="Calibri" w:hAnsi="Calibri" w:cs="Calibri"/>
          <w:sz w:val="24"/>
          <w:szCs w:val="24"/>
        </w:rPr>
      </w:pPr>
    </w:p>
    <w:p w14:paraId="632E9CC1" w14:textId="4A81DBAB" w:rsidR="00F54745" w:rsidRPr="00AD5037" w:rsidRDefault="00F54745" w:rsidP="00AD5037">
      <w:pPr>
        <w:pStyle w:val="Heading2"/>
      </w:pPr>
      <w:bookmarkStart w:id="43" w:name="_Toc209826973"/>
      <w:r w:rsidRPr="00AD5037">
        <w:t>4.3 Question</w:t>
      </w:r>
      <w:r w:rsidR="005E3761">
        <w:t>-by-</w:t>
      </w:r>
      <w:r w:rsidRPr="00AD5037">
        <w:t>Question Analysis</w:t>
      </w:r>
      <w:bookmarkEnd w:id="43"/>
    </w:p>
    <w:p w14:paraId="0E409014" w14:textId="3E808D2A" w:rsidR="00F54745" w:rsidRPr="00AD5037" w:rsidRDefault="00F54745" w:rsidP="00F54745">
      <w:pPr>
        <w:rPr>
          <w:rFonts w:ascii="Calibri" w:hAnsi="Calibri" w:cs="Calibri"/>
          <w:sz w:val="24"/>
          <w:szCs w:val="24"/>
        </w:rPr>
      </w:pPr>
      <w:r w:rsidRPr="00AD5037">
        <w:rPr>
          <w:rFonts w:ascii="Calibri" w:hAnsi="Calibri" w:cs="Calibri"/>
          <w:sz w:val="24"/>
          <w:szCs w:val="24"/>
        </w:rPr>
        <w:t>Q6 – Officer Safety: Officers strongly agreed (mean 4.25) that routine arming would enhance their safety. This reflects a professional concern that current equipment leaves officers vulnerable, particularly in high</w:t>
      </w:r>
      <w:r w:rsidR="005E3761">
        <w:rPr>
          <w:rFonts w:ascii="Calibri" w:hAnsi="Calibri" w:cs="Calibri"/>
          <w:sz w:val="24"/>
          <w:szCs w:val="24"/>
        </w:rPr>
        <w:t>-</w:t>
      </w:r>
      <w:r w:rsidRPr="00AD5037">
        <w:rPr>
          <w:rFonts w:ascii="Calibri" w:hAnsi="Calibri" w:cs="Calibri"/>
          <w:sz w:val="24"/>
          <w:szCs w:val="24"/>
        </w:rPr>
        <w:t>risk incidents such as knife crime or terrorism. The finding resonates with Waddington’s (2011) argument that frontline Police often perceive themselves as under</w:t>
      </w:r>
      <w:r w:rsidR="005E3761">
        <w:rPr>
          <w:rFonts w:ascii="Calibri" w:hAnsi="Calibri" w:cs="Calibri"/>
          <w:sz w:val="24"/>
          <w:szCs w:val="24"/>
        </w:rPr>
        <w:t>-</w:t>
      </w:r>
      <w:r w:rsidRPr="00AD5037">
        <w:rPr>
          <w:rFonts w:ascii="Calibri" w:hAnsi="Calibri" w:cs="Calibri"/>
          <w:sz w:val="24"/>
          <w:szCs w:val="24"/>
        </w:rPr>
        <w:t>resourced in the face of modern threats.</w:t>
      </w:r>
    </w:p>
    <w:p w14:paraId="5DE3FB52"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 xml:space="preserve">Q7 – Public Safety: The highest mean score (4.33) was recorded here, suggesting officers believe the public would feel safer if all officers were armed. This perception is noteworthy, </w:t>
      </w:r>
      <w:r w:rsidRPr="00AD5037">
        <w:rPr>
          <w:rFonts w:ascii="Calibri" w:hAnsi="Calibri" w:cs="Calibri"/>
          <w:sz w:val="24"/>
          <w:szCs w:val="24"/>
        </w:rPr>
        <w:lastRenderedPageBreak/>
        <w:t>as it contrasts with public opinion surveys that often show ambivalence or opposition to routine arming (Innes, 2020). The divergence highlights a potential gap between officer assumptions and community sentiment.</w:t>
      </w:r>
    </w:p>
    <w:p w14:paraId="0E2D7180"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Q8 – Response to Terrorism/Violent Crime: Officers agreed (4.25) that firearms would improve their ability to respond to serious threats. This aligns with Loader and Walker’s (2007) observation that contemporary Policing is increasingly framed around security and counter</w:t>
      </w:r>
      <w:r w:rsidRPr="00AD5037">
        <w:rPr>
          <w:rFonts w:ascii="Calibri" w:hAnsi="Calibri" w:cs="Calibri"/>
          <w:sz w:val="24"/>
          <w:szCs w:val="24"/>
        </w:rPr>
        <w:noBreakHyphen/>
        <w:t>terrorism imperatives.</w:t>
      </w:r>
    </w:p>
    <w:p w14:paraId="006806E2"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Q9 – Risk of Unnecessary Force: A mean of 3.75 indicates moderate concern that routine arming could increase the likelihood of excessive force. This demonstrates awareness of the potential for firearms to escalate situations unnecessarily, echoing Reiner’s (2010) caution that militarisation risks undermining restraint in Policing practice.</w:t>
      </w:r>
    </w:p>
    <w:p w14:paraId="31DCB53D"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Q10 – Community Trust: Officers moderately agreed (3.67) that public trust would decline if all officers were armed. This reflects recognition of the fragile legitimacy underpinning British Policing, which has historically relied on the principle of consent (Jackson et al., 2012).</w:t>
      </w:r>
    </w:p>
    <w:p w14:paraId="7B21B448"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Q11 – Escalation of Confrontations: With a mean of 4.08, officers acknowledged that firearms could escalate encounters with the public. This suggests that even those supportive of arming recognise the potential for unintended consequences, consistent with Bradford and Quinton’s (2014) findings on procedural justice and escalation.</w:t>
      </w:r>
    </w:p>
    <w:p w14:paraId="570E358D"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Q12 – Deterrence: Officers agreed (4.08) that arming would deter violent criminals. This belief reflects a common assumption in Policing that visible force can act as a preventative measure, though empirical evidence on deterrence remains mixed (Sherman, 2013).</w:t>
      </w:r>
    </w:p>
    <w:p w14:paraId="572944C1"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Q13 – Confidence Through Training: A mean of 4.25 indicates strong agreement that firearms training would increase officer confidence. This highlights the importance of professional development and preparedness in shaping officer attitudes, echoing Neyroud’s (2011) emphasis on training as central to modern Policing professionalism.</w:t>
      </w:r>
    </w:p>
    <w:p w14:paraId="653F747B"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Q14 – Risks vs. Benefits: Officers moderately agreed (3.58) that the risks of routine arming outweigh the benefits. This ambivalence underscores the complexity of the issue: while officers see clear advantages, they are not blind to the dangers.</w:t>
      </w:r>
    </w:p>
    <w:p w14:paraId="4E6480C1"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Q15 – Overall Support: The mean score of 3.92 suggests a leaning toward support for routine arming, but not an overwhelming consensus. This reflects a divided profession, with some officers strongly supportive and others more cautious.</w:t>
      </w:r>
    </w:p>
    <w:p w14:paraId="00AC3F70" w14:textId="77777777" w:rsidR="00F54745" w:rsidRPr="00AD5037" w:rsidRDefault="00F54745" w:rsidP="00F54745">
      <w:pPr>
        <w:rPr>
          <w:rFonts w:ascii="Calibri" w:hAnsi="Calibri" w:cs="Calibri"/>
          <w:sz w:val="24"/>
          <w:szCs w:val="24"/>
        </w:rPr>
      </w:pPr>
    </w:p>
    <w:p w14:paraId="6B0A5E90" w14:textId="77777777" w:rsidR="00F54745" w:rsidRPr="00AD5037" w:rsidRDefault="00F54745" w:rsidP="00AD5037">
      <w:pPr>
        <w:pStyle w:val="Heading2"/>
      </w:pPr>
      <w:bookmarkStart w:id="44" w:name="_Toc209826974"/>
      <w:r w:rsidRPr="00AD5037">
        <w:t>4.4 Demographic Patterns</w:t>
      </w:r>
      <w:bookmarkEnd w:id="44"/>
    </w:p>
    <w:p w14:paraId="07DAA0F8"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Specialist Unit officers expressed the strongest support for routine arming, often citing operational necessity. Response Officers were generally supportive but also highlighted risks of escalation. Neighbourhood Officers were the most cautious, reflecting their closer engagement with communities and concerns about legitimacy.</w:t>
      </w:r>
    </w:p>
    <w:p w14:paraId="695E0343"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Officers with over 15 years’ service tended to emphasise risks, scoring higher on Q9 and Q14. This suggests that experience may heighten awareness of escalation and reputational consequences. Conversely, early</w:t>
      </w:r>
      <w:r w:rsidRPr="00AD5037">
        <w:rPr>
          <w:rFonts w:ascii="Calibri" w:hAnsi="Calibri" w:cs="Calibri"/>
          <w:sz w:val="24"/>
          <w:szCs w:val="24"/>
        </w:rPr>
        <w:noBreakHyphen/>
        <w:t>career officers were more likely to emphasise safety and deterrence benefits.</w:t>
      </w:r>
    </w:p>
    <w:p w14:paraId="56B011E2"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Male and female respondents showed broadly similar patterns, though female officers were marginally more likely to stress risks to trust and escalation. Ethnic minority officers expressed slightly stronger concerns about community trust, though the small sample size limits firm conclusions.</w:t>
      </w:r>
    </w:p>
    <w:p w14:paraId="3BAADE33" w14:textId="77777777" w:rsidR="00F54745" w:rsidRPr="00AD5037" w:rsidRDefault="00F54745" w:rsidP="00F54745">
      <w:pPr>
        <w:rPr>
          <w:rFonts w:ascii="Calibri" w:hAnsi="Calibri" w:cs="Calibri"/>
          <w:sz w:val="24"/>
          <w:szCs w:val="24"/>
        </w:rPr>
      </w:pPr>
    </w:p>
    <w:p w14:paraId="251B0EDD" w14:textId="77777777" w:rsidR="00F54745" w:rsidRPr="00AD5037" w:rsidRDefault="00F54745" w:rsidP="00AD5037">
      <w:pPr>
        <w:pStyle w:val="Heading2"/>
      </w:pPr>
      <w:bookmarkStart w:id="45" w:name="_Toc209826975"/>
      <w:r w:rsidRPr="00AD5037">
        <w:t>4.5 Thematic Insights</w:t>
      </w:r>
      <w:bookmarkEnd w:id="45"/>
    </w:p>
    <w:p w14:paraId="1A1600F0"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From the quantitative and demographic analysis, several themes emerge:</w:t>
      </w:r>
    </w:p>
    <w:p w14:paraId="592ECA0F"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Officers recognise the operational advantages of routine arming but remain concerned about its impact on public trust. This tension reflects the broader debate in the literature between capability and legitimacy (Loader and Walker, 2007; Jackson et al., 2012).</w:t>
      </w:r>
    </w:p>
    <w:p w14:paraId="730A773D"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Strong agreement on Q6 and Q13 highlights the importance of officer safety and confidence. Firearms are seen not only as protective tools but also as psychological reassurance in dangerous situations (Waddington, 2011).</w:t>
      </w:r>
    </w:p>
    <w:p w14:paraId="738D5E89"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High scores on Q9 and Q11 indicate awareness that firearms could escalate confrontations and increase the risk of unnecessary force. This theme resonates with Reiner’s (2010) concerns about militarisation and its impact on Policing culture.</w:t>
      </w:r>
    </w:p>
    <w:p w14:paraId="1170A5E2"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Many officers appear to support arming in principle, but with caveats. Enhanced training, strict oversight, and clear operational guidelines are seen as essential safeguards (Neyroud, 2011).</w:t>
      </w:r>
    </w:p>
    <w:p w14:paraId="2998892C"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Specialist Unit officers, accustomed to high-risk environments, were more supportive of arming, while Neighbourhood Officers, embedded in community contexts, were more cautious. This divergence illustrates how a professional role shapes attitudes.</w:t>
      </w:r>
    </w:p>
    <w:p w14:paraId="5BD32E0E" w14:textId="77777777" w:rsidR="00F54745" w:rsidRPr="00AD5037" w:rsidRDefault="00F54745" w:rsidP="00F54745">
      <w:pPr>
        <w:rPr>
          <w:rFonts w:ascii="Calibri" w:hAnsi="Calibri" w:cs="Calibri"/>
          <w:sz w:val="24"/>
          <w:szCs w:val="24"/>
        </w:rPr>
      </w:pPr>
    </w:p>
    <w:p w14:paraId="4F9ABD74" w14:textId="77777777" w:rsidR="00F54745" w:rsidRPr="00AD5037" w:rsidRDefault="00F54745" w:rsidP="00AD5037">
      <w:pPr>
        <w:pStyle w:val="Heading2"/>
      </w:pPr>
      <w:bookmarkStart w:id="46" w:name="_Toc209826976"/>
      <w:r w:rsidRPr="00AD5037">
        <w:t>4.6 Summary</w:t>
      </w:r>
      <w:bookmarkEnd w:id="46"/>
    </w:p>
    <w:p w14:paraId="7E62FA55"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The analysis reveals a profession divided. Officers broadly agree that routine arming would enhance safety, deterrence, and operational effectiveness, yet they also recognise the risks of escalation and potential damage to community trust. The overall support (mean 3.92) indicates a leaning toward arming, but not a decisive consensus.</w:t>
      </w:r>
    </w:p>
    <w:p w14:paraId="362A7E00"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These findings highlight the central dilemma facing UK Policing: how to balance officer safety with the preservation of public legitimacy. The next chapter will interpret these results in light of the existing literature, exploring their implications for policy, practice, and the future of Policing by consent.</w:t>
      </w:r>
    </w:p>
    <w:p w14:paraId="2B5A2611" w14:textId="77777777" w:rsidR="00BC35FC" w:rsidRPr="00AD5037" w:rsidRDefault="00BC35FC" w:rsidP="00BC35FC">
      <w:pPr>
        <w:rPr>
          <w:rFonts w:ascii="Calibri" w:eastAsiaTheme="majorEastAsia" w:hAnsi="Calibri" w:cs="Calibri"/>
          <w:color w:val="auto"/>
          <w:sz w:val="24"/>
          <w:szCs w:val="24"/>
        </w:rPr>
      </w:pPr>
    </w:p>
    <w:p w14:paraId="7C09B821" w14:textId="77777777" w:rsidR="00BC35FC" w:rsidRPr="00AD5037" w:rsidRDefault="00BC35FC" w:rsidP="00D34E47">
      <w:pPr>
        <w:pStyle w:val="Heading1"/>
      </w:pPr>
      <w:bookmarkStart w:id="47" w:name="_Toc209826977"/>
      <w:r w:rsidRPr="00AD5037">
        <w:t>Chapter 5: Findings and Conclusion</w:t>
      </w:r>
      <w:bookmarkEnd w:id="47"/>
    </w:p>
    <w:p w14:paraId="7B53E1F1" w14:textId="77777777" w:rsidR="00F54745" w:rsidRPr="00AD5037" w:rsidRDefault="00F54745" w:rsidP="00AD5037">
      <w:pPr>
        <w:pStyle w:val="Heading2"/>
      </w:pPr>
      <w:bookmarkStart w:id="48" w:name="_Toc209826978"/>
      <w:r w:rsidRPr="00AD5037">
        <w:t>5.1 Introduction</w:t>
      </w:r>
      <w:bookmarkEnd w:id="48"/>
    </w:p>
    <w:p w14:paraId="5C0FC2B3"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This chapter interprets the survey results presented in Chapter 4, situating them within the wider academic and policy debates on the routine arming of Police officers in the United Kingdom. The findings highlight a profession that is neither wholly supportive nor wholly opposed to arming, but instead demonstrates ambivalence shaped by competing concerns: officer safety, operational effectiveness, public trust, and the risks of escalation. By comparing these results with the literature, this chapter identifies key areas of convergence and divergence, before drawing overall conclusions about the implications for UK Policing and addressing the research objectives.</w:t>
      </w:r>
    </w:p>
    <w:p w14:paraId="63AD394C" w14:textId="77777777" w:rsidR="00F54745" w:rsidRPr="00AD5037" w:rsidRDefault="00F54745" w:rsidP="00F54745">
      <w:pPr>
        <w:rPr>
          <w:rFonts w:ascii="Calibri" w:hAnsi="Calibri" w:cs="Calibri"/>
          <w:sz w:val="24"/>
          <w:szCs w:val="24"/>
        </w:rPr>
      </w:pPr>
    </w:p>
    <w:p w14:paraId="077C0483" w14:textId="77777777" w:rsidR="00F54745" w:rsidRPr="00AD5037" w:rsidRDefault="00F54745" w:rsidP="00AD5037">
      <w:pPr>
        <w:pStyle w:val="Heading2"/>
      </w:pPr>
      <w:bookmarkStart w:id="49" w:name="_Toc209826979"/>
      <w:r w:rsidRPr="00AD5037">
        <w:lastRenderedPageBreak/>
        <w:t>5.2 Officer Safety and Confidence</w:t>
      </w:r>
      <w:bookmarkEnd w:id="49"/>
    </w:p>
    <w:p w14:paraId="3BC5B848"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One of the clearest findings was the strong agreement that routine arming would enhance officer safety (mean 4.25) and increase confidence through training (mean 4.25). This reflects a professional concern that current equipment leaves officers vulnerable, particularly in high-risk incidents such as knife crime or terrorism. Waddington (2011) similarly notes that frontline Police often perceive themselves as under-resourced in the face of modern threats. Neyroud (2011) emphasises that officer safety and confidence are central to professional standards, and the survey results support this view.</w:t>
      </w:r>
    </w:p>
    <w:p w14:paraId="2B3B7FD1"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However, while officers perceive firearms as a means of reassurance, the literature warns against over-reliance on weaponry as a solution. Reiner (2010) argues that safety is as much about organisational culture and tactics as it is about equipment. The finding, therefore, highlights a tension: officers feel vulnerable and see firearms as a solution, but broader scholarship suggests that safety is multi</w:t>
      </w:r>
      <w:r w:rsidRPr="00AD5037">
        <w:rPr>
          <w:rFonts w:ascii="Calibri" w:hAnsi="Calibri" w:cs="Calibri"/>
          <w:sz w:val="24"/>
          <w:szCs w:val="24"/>
        </w:rPr>
        <w:noBreakHyphen/>
        <w:t>dimensional and cannot be guaranteed by arming alone.</w:t>
      </w:r>
    </w:p>
    <w:p w14:paraId="24A350B7" w14:textId="77777777" w:rsidR="00F54745" w:rsidRPr="00AD5037" w:rsidRDefault="00F54745" w:rsidP="00F54745">
      <w:pPr>
        <w:rPr>
          <w:rFonts w:ascii="Calibri" w:hAnsi="Calibri" w:cs="Calibri"/>
          <w:sz w:val="24"/>
          <w:szCs w:val="24"/>
        </w:rPr>
      </w:pPr>
    </w:p>
    <w:p w14:paraId="285C4384" w14:textId="77777777" w:rsidR="00F54745" w:rsidRPr="00AD5037" w:rsidRDefault="00F54745" w:rsidP="00AD5037">
      <w:pPr>
        <w:pStyle w:val="Heading2"/>
      </w:pPr>
      <w:bookmarkStart w:id="50" w:name="_Toc209826980"/>
      <w:r w:rsidRPr="00AD5037">
        <w:t>5.3 Public Safety and Perceptions</w:t>
      </w:r>
      <w:bookmarkEnd w:id="50"/>
    </w:p>
    <w:p w14:paraId="7696D9EB"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Officers also strongly agreed that arming would make the public feel safer (mean 4.33). This was the highest mean score across all items, suggesting a strong belief that firearms provide reassurance. Yet this perception diverges from much of the literature. Innes (2020) and Yesberg et al. (2021) highlight that public opinion in the UK is often ambivalent or opposed to routine arming, with concerns that it undermines the tradition of Policing by consent.</w:t>
      </w:r>
    </w:p>
    <w:p w14:paraId="14330AB4" w14:textId="7297CCF4" w:rsidR="00F54745" w:rsidRPr="00AD5037" w:rsidRDefault="00F54745" w:rsidP="00F54745">
      <w:pPr>
        <w:rPr>
          <w:rFonts w:ascii="Calibri" w:hAnsi="Calibri" w:cs="Calibri"/>
          <w:sz w:val="24"/>
          <w:szCs w:val="24"/>
        </w:rPr>
      </w:pPr>
      <w:r w:rsidRPr="00AD5037">
        <w:rPr>
          <w:rFonts w:ascii="Calibri" w:hAnsi="Calibri" w:cs="Calibri"/>
          <w:sz w:val="24"/>
          <w:szCs w:val="24"/>
        </w:rPr>
        <w:t>Officers assume that the public would welcome arming, but evidence suggests the opposite. Loader and Walker (2007) argue that legitimacy is not derived from displays of force but from fairness, accountability, and consent. The finding</w:t>
      </w:r>
      <w:r w:rsidR="002F431A">
        <w:rPr>
          <w:rFonts w:ascii="Calibri" w:hAnsi="Calibri" w:cs="Calibri"/>
          <w:sz w:val="24"/>
          <w:szCs w:val="24"/>
        </w:rPr>
        <w:t>,</w:t>
      </w:r>
      <w:r w:rsidRPr="00AD5037">
        <w:rPr>
          <w:rFonts w:ascii="Calibri" w:hAnsi="Calibri" w:cs="Calibri"/>
          <w:sz w:val="24"/>
          <w:szCs w:val="24"/>
        </w:rPr>
        <w:t xml:space="preserve"> therefore</w:t>
      </w:r>
      <w:r w:rsidR="002F431A">
        <w:rPr>
          <w:rFonts w:ascii="Calibri" w:hAnsi="Calibri" w:cs="Calibri"/>
          <w:sz w:val="24"/>
          <w:szCs w:val="24"/>
        </w:rPr>
        <w:t>,</w:t>
      </w:r>
      <w:r w:rsidRPr="00AD5037">
        <w:rPr>
          <w:rFonts w:ascii="Calibri" w:hAnsi="Calibri" w:cs="Calibri"/>
          <w:sz w:val="24"/>
          <w:szCs w:val="24"/>
        </w:rPr>
        <w:t xml:space="preserve"> reveals a potential disconnect between officer perceptions and community sentiment, which could have implications for trust if arming were introduced.</w:t>
      </w:r>
    </w:p>
    <w:p w14:paraId="052E5850" w14:textId="77777777" w:rsidR="00F54745" w:rsidRPr="00AD5037" w:rsidRDefault="00F54745" w:rsidP="00AD5037">
      <w:pPr>
        <w:pStyle w:val="Heading2"/>
      </w:pPr>
    </w:p>
    <w:p w14:paraId="5DFE9C06" w14:textId="77777777" w:rsidR="00F54745" w:rsidRPr="00AD5037" w:rsidRDefault="00F54745" w:rsidP="00AD5037">
      <w:pPr>
        <w:pStyle w:val="Heading2"/>
      </w:pPr>
      <w:bookmarkStart w:id="51" w:name="_Toc209826981"/>
      <w:r w:rsidRPr="00AD5037">
        <w:t>5.4 Operational Effectiveness and Counter</w:t>
      </w:r>
      <w:r w:rsidRPr="00AD5037">
        <w:noBreakHyphen/>
        <w:t>Terrorism</w:t>
      </w:r>
      <w:bookmarkEnd w:id="51"/>
    </w:p>
    <w:p w14:paraId="0BB47D68"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The survey also revealed strong agreement that firearms would improve responses to terrorism and violent crime (mean 4.25). This aligns with Loader and Walker’s (2007) observation that contemporary Policing is increasingly framed around security imperatives, and with Innes’ (2020) analysis of counter</w:t>
      </w:r>
      <w:r w:rsidRPr="00AD5037">
        <w:rPr>
          <w:rFonts w:ascii="Calibri" w:hAnsi="Calibri" w:cs="Calibri"/>
          <w:sz w:val="24"/>
          <w:szCs w:val="24"/>
        </w:rPr>
        <w:noBreakHyphen/>
        <w:t>terrorism as a defining feature of modern Policing.</w:t>
      </w:r>
    </w:p>
    <w:p w14:paraId="263BAF7D"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While this belief is understandable, it raises questions about proportionality. Terrorist incidents remain rare, and routine arming may be a disproportionate response to a relatively limited threat. Reiner (2010) cautions that policy should not be driven by exceptional cases, but by broader considerations of legitimacy and everyday Policing practice. The finding, therefore, highlights a tension between preparedness for extreme threats and the risks of normalising militarisation.</w:t>
      </w:r>
    </w:p>
    <w:p w14:paraId="5AC8046F" w14:textId="77777777" w:rsidR="00F54745" w:rsidRPr="00AD5037" w:rsidRDefault="00F54745" w:rsidP="00F54745">
      <w:pPr>
        <w:rPr>
          <w:rFonts w:ascii="Calibri" w:hAnsi="Calibri" w:cs="Calibri"/>
          <w:sz w:val="24"/>
          <w:szCs w:val="24"/>
        </w:rPr>
      </w:pPr>
    </w:p>
    <w:p w14:paraId="465EEEBD" w14:textId="77777777" w:rsidR="00F54745" w:rsidRPr="00AD5037" w:rsidRDefault="00F54745" w:rsidP="00AD5037">
      <w:pPr>
        <w:pStyle w:val="Heading2"/>
      </w:pPr>
      <w:bookmarkStart w:id="52" w:name="_Toc209826982"/>
      <w:r w:rsidRPr="00AD5037">
        <w:lastRenderedPageBreak/>
        <w:t>5.5 Risks of Escalation and Use of Force</w:t>
      </w:r>
      <w:bookmarkEnd w:id="52"/>
    </w:p>
    <w:p w14:paraId="42F9AF63"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Officers moderately agreed that routine arming could increase the risk of unnecessary force (mean 3.75) and escalate confrontations (mean 4.08). This demonstrates awareness of the potential dangers of firearms, even among those supportive of arming. Bradford and Quinton (2014) argue that visible force can intensify conflict, while Taylor (2015) highlights how the presence of firearms can alter officer decision-making, increasing the likelihood of escalation.</w:t>
      </w:r>
    </w:p>
    <w:p w14:paraId="7FCA43ED" w14:textId="1475BC4D" w:rsidR="00F54745" w:rsidRPr="00AD5037" w:rsidRDefault="00F54745" w:rsidP="00F54745">
      <w:pPr>
        <w:rPr>
          <w:rFonts w:ascii="Calibri" w:hAnsi="Calibri" w:cs="Calibri"/>
          <w:sz w:val="24"/>
          <w:szCs w:val="24"/>
        </w:rPr>
      </w:pPr>
      <w:r w:rsidRPr="00AD5037">
        <w:rPr>
          <w:rFonts w:ascii="Calibri" w:hAnsi="Calibri" w:cs="Calibri"/>
          <w:sz w:val="24"/>
          <w:szCs w:val="24"/>
        </w:rPr>
        <w:t xml:space="preserve">This recognition of risk is </w:t>
      </w:r>
      <w:r w:rsidR="004E1F12">
        <w:rPr>
          <w:rFonts w:ascii="Calibri" w:hAnsi="Calibri" w:cs="Calibri"/>
          <w:sz w:val="24"/>
          <w:szCs w:val="24"/>
        </w:rPr>
        <w:t>essential</w:t>
      </w:r>
      <w:r w:rsidRPr="00AD5037">
        <w:rPr>
          <w:rFonts w:ascii="Calibri" w:hAnsi="Calibri" w:cs="Calibri"/>
          <w:sz w:val="24"/>
          <w:szCs w:val="24"/>
        </w:rPr>
        <w:t>. It suggests that officers are not na</w:t>
      </w:r>
      <w:r w:rsidR="002F431A">
        <w:rPr>
          <w:rFonts w:ascii="Calibri" w:hAnsi="Calibri" w:cs="Calibri"/>
          <w:sz w:val="24"/>
          <w:szCs w:val="24"/>
        </w:rPr>
        <w:t>i</w:t>
      </w:r>
      <w:r w:rsidRPr="00AD5037">
        <w:rPr>
          <w:rFonts w:ascii="Calibri" w:hAnsi="Calibri" w:cs="Calibri"/>
          <w:sz w:val="24"/>
          <w:szCs w:val="24"/>
        </w:rPr>
        <w:t xml:space="preserve">ve about the consequences of arming, but instead weigh potential benefits against potential harms. The </w:t>
      </w:r>
      <w:r w:rsidR="002F431A" w:rsidRPr="00AD5037">
        <w:rPr>
          <w:rFonts w:ascii="Calibri" w:hAnsi="Calibri" w:cs="Calibri"/>
          <w:sz w:val="24"/>
          <w:szCs w:val="24"/>
        </w:rPr>
        <w:t>doubt</w:t>
      </w:r>
      <w:r w:rsidRPr="00AD5037">
        <w:rPr>
          <w:rFonts w:ascii="Calibri" w:hAnsi="Calibri" w:cs="Calibri"/>
          <w:sz w:val="24"/>
          <w:szCs w:val="24"/>
        </w:rPr>
        <w:t xml:space="preserve"> reflects Loader and Walker’s (2007) concern that enhancing security can come at the expense of legitimacy, and Reiner’s (2010) warning that militarisation risks undermining </w:t>
      </w:r>
      <w:r w:rsidR="002F431A" w:rsidRPr="00AD5037">
        <w:rPr>
          <w:rFonts w:ascii="Calibri" w:hAnsi="Calibri" w:cs="Calibri"/>
          <w:sz w:val="24"/>
          <w:szCs w:val="24"/>
        </w:rPr>
        <w:t>control</w:t>
      </w:r>
      <w:r w:rsidRPr="00AD5037">
        <w:rPr>
          <w:rFonts w:ascii="Calibri" w:hAnsi="Calibri" w:cs="Calibri"/>
          <w:sz w:val="24"/>
          <w:szCs w:val="24"/>
        </w:rPr>
        <w:t xml:space="preserve"> in Policing.</w:t>
      </w:r>
    </w:p>
    <w:p w14:paraId="0D9CC892" w14:textId="77777777" w:rsidR="00F54745" w:rsidRPr="00AD5037" w:rsidRDefault="00F54745" w:rsidP="00AD5037">
      <w:pPr>
        <w:pStyle w:val="Heading2"/>
      </w:pPr>
    </w:p>
    <w:p w14:paraId="52C74B0D" w14:textId="77777777" w:rsidR="00F54745" w:rsidRPr="00AD5037" w:rsidRDefault="00F54745" w:rsidP="00AD5037">
      <w:pPr>
        <w:pStyle w:val="Heading2"/>
      </w:pPr>
      <w:bookmarkStart w:id="53" w:name="_Toc209826983"/>
      <w:r w:rsidRPr="00AD5037">
        <w:t>5.6 Community Trust and Legitimacy</w:t>
      </w:r>
      <w:bookmarkEnd w:id="53"/>
    </w:p>
    <w:p w14:paraId="42970C89"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Officers moderately agreed that public trust would decline if all officers were armed (mean 3.67). This reflects recognition of the fragile legitimacy underpinning British Policing, which has historically relied on the principle of consent (Jackson et al., 2012). Bradford and Quinton (2014) emphasise that procedural justice and perceptions of fairness are central to sustaining trust, and that visible militarisation can undermine these foundations.</w:t>
      </w:r>
    </w:p>
    <w:p w14:paraId="37C8C34E" w14:textId="5F554588" w:rsidR="00F54745" w:rsidRPr="00AD5037" w:rsidRDefault="00F54745" w:rsidP="00F54745">
      <w:pPr>
        <w:rPr>
          <w:rFonts w:ascii="Calibri" w:hAnsi="Calibri" w:cs="Calibri"/>
          <w:sz w:val="24"/>
          <w:szCs w:val="24"/>
        </w:rPr>
      </w:pPr>
      <w:r w:rsidRPr="00AD5037">
        <w:rPr>
          <w:rFonts w:ascii="Calibri" w:hAnsi="Calibri" w:cs="Calibri"/>
          <w:sz w:val="24"/>
          <w:szCs w:val="24"/>
        </w:rPr>
        <w:t xml:space="preserve">The finding is consistent with </w:t>
      </w:r>
      <w:r w:rsidR="004E1F12">
        <w:rPr>
          <w:rFonts w:ascii="Calibri" w:hAnsi="Calibri" w:cs="Calibri"/>
          <w:sz w:val="24"/>
          <w:szCs w:val="24"/>
        </w:rPr>
        <w:t>more exhaustive</w:t>
      </w:r>
      <w:r w:rsidRPr="00AD5037">
        <w:rPr>
          <w:rFonts w:ascii="Calibri" w:hAnsi="Calibri" w:cs="Calibri"/>
          <w:sz w:val="24"/>
          <w:szCs w:val="24"/>
        </w:rPr>
        <w:t xml:space="preserve"> research showing that </w:t>
      </w:r>
      <w:r w:rsidR="004E1F12">
        <w:rPr>
          <w:rFonts w:ascii="Calibri" w:hAnsi="Calibri" w:cs="Calibri"/>
          <w:sz w:val="24"/>
          <w:szCs w:val="24"/>
        </w:rPr>
        <w:t>displays of force do not enhance legitimacy</w:t>
      </w:r>
      <w:r w:rsidRPr="00AD5037">
        <w:rPr>
          <w:rFonts w:ascii="Calibri" w:hAnsi="Calibri" w:cs="Calibri"/>
          <w:sz w:val="24"/>
          <w:szCs w:val="24"/>
        </w:rPr>
        <w:t>, but by fairness, accountability, and community engagement (Yesberg et al., 2021). It highlights the risk that routine arming could erode one of the defining features of British Policing: its reliance on public consent rather than coercion.</w:t>
      </w:r>
    </w:p>
    <w:p w14:paraId="2BF95184" w14:textId="77777777" w:rsidR="00F54745" w:rsidRPr="00AD5037" w:rsidRDefault="00F54745" w:rsidP="00F54745">
      <w:pPr>
        <w:rPr>
          <w:rFonts w:ascii="Calibri" w:hAnsi="Calibri" w:cs="Calibri"/>
          <w:sz w:val="24"/>
          <w:szCs w:val="24"/>
        </w:rPr>
      </w:pPr>
    </w:p>
    <w:p w14:paraId="16B9080D" w14:textId="77777777" w:rsidR="00F54745" w:rsidRPr="00AD5037" w:rsidRDefault="00F54745" w:rsidP="00AD5037">
      <w:pPr>
        <w:pStyle w:val="Heading2"/>
      </w:pPr>
      <w:bookmarkStart w:id="54" w:name="_Toc209826984"/>
      <w:r w:rsidRPr="00AD5037">
        <w:t>5.7 Deterrence</w:t>
      </w:r>
      <w:bookmarkEnd w:id="54"/>
    </w:p>
    <w:p w14:paraId="53769F0E"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Officers agreed that arming would deter violent criminals (mean 4.08). This belief reflects a common assumption in Policing that visible force can act as a preventative measure. However, the literature is divided. Sherman (2013) argues that deterrence effects are often situational and short-lived, while Sanders et al. (2024) caution that deterrence without legitimacy can backfire, eroding long-term compliance. Yesberg et al. (2021) similarly stress that deterrence is unstable if it undermines trust.</w:t>
      </w:r>
    </w:p>
    <w:p w14:paraId="08C0CF1B"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The finding, therefore, highlights a potential overestimation of deterrence effects among officers. While firearms may deter some offenders, they may also escalate risks or undermine trust, producing unintended consequences.</w:t>
      </w:r>
    </w:p>
    <w:p w14:paraId="67D5EB50" w14:textId="77777777" w:rsidR="00F54745" w:rsidRPr="00AD5037" w:rsidRDefault="00F54745" w:rsidP="00F54745">
      <w:pPr>
        <w:rPr>
          <w:rFonts w:ascii="Calibri" w:hAnsi="Calibri" w:cs="Calibri"/>
          <w:sz w:val="24"/>
          <w:szCs w:val="24"/>
        </w:rPr>
      </w:pPr>
    </w:p>
    <w:p w14:paraId="14B15839" w14:textId="77777777" w:rsidR="00F54745" w:rsidRPr="00AD5037" w:rsidRDefault="00F54745" w:rsidP="00AD5037">
      <w:pPr>
        <w:pStyle w:val="Heading2"/>
      </w:pPr>
      <w:bookmarkStart w:id="55" w:name="_Toc209826985"/>
      <w:r w:rsidRPr="00AD5037">
        <w:t>5.8 Demographic Patterns</w:t>
      </w:r>
      <w:bookmarkEnd w:id="55"/>
    </w:p>
    <w:p w14:paraId="7292355B"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Specialist Unit officers were the most supportive of arming, reflecting their exposure to high-risk environments. Neighbourhood Officers were the most cautious, reflecting their reliance on community trust and daily engagement with the public. This supports Bradford and Quinton’s (2014) argument that occupational context shapes attitudes toward legitimacy and force.</w:t>
      </w:r>
    </w:p>
    <w:p w14:paraId="6E15DC2B"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lastRenderedPageBreak/>
        <w:t>More experienced officers emphasised risks, while early</w:t>
      </w:r>
      <w:r w:rsidRPr="00AD5037">
        <w:rPr>
          <w:rFonts w:ascii="Calibri" w:hAnsi="Calibri" w:cs="Calibri"/>
          <w:sz w:val="24"/>
          <w:szCs w:val="24"/>
        </w:rPr>
        <w:noBreakHyphen/>
        <w:t>career officers emphasised safety and deterrence. This supports Neyroud’s (2011) observation that professional socialisation influences officer perspectives, with longer service producing greater awareness of reputational consequences.</w:t>
      </w:r>
    </w:p>
    <w:p w14:paraId="57AC3E0D"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Gender and ethnicity differences were less pronounced, though female and minority officers expressed slightly stronger concerns about trust and escalation. This echoes Jackson et al.’s (2012) emphasis on the importance of legitimacy across diverse communities, suggesting that officers from under</w:t>
      </w:r>
      <w:r w:rsidRPr="00AD5037">
        <w:rPr>
          <w:rFonts w:ascii="Calibri" w:hAnsi="Calibri" w:cs="Calibri"/>
          <w:sz w:val="24"/>
          <w:szCs w:val="24"/>
        </w:rPr>
        <w:noBreakHyphen/>
        <w:t>represented groups may be more attuned to the risks of eroding public confidence.</w:t>
      </w:r>
    </w:p>
    <w:p w14:paraId="05D5703D" w14:textId="77777777" w:rsidR="00F54745" w:rsidRPr="00AD5037" w:rsidRDefault="00F54745" w:rsidP="00F54745">
      <w:pPr>
        <w:rPr>
          <w:rFonts w:ascii="Calibri" w:hAnsi="Calibri" w:cs="Calibri"/>
          <w:sz w:val="24"/>
          <w:szCs w:val="24"/>
        </w:rPr>
      </w:pPr>
    </w:p>
    <w:p w14:paraId="683F7CC5" w14:textId="77777777" w:rsidR="00F54745" w:rsidRPr="00AD5037" w:rsidRDefault="00F54745" w:rsidP="00AD5037">
      <w:pPr>
        <w:pStyle w:val="Heading2"/>
      </w:pPr>
      <w:bookmarkStart w:id="56" w:name="_Toc209826986"/>
      <w:r w:rsidRPr="00AD5037">
        <w:t>5.9 Overall Findings</w:t>
      </w:r>
      <w:bookmarkEnd w:id="56"/>
    </w:p>
    <w:p w14:paraId="66A27CA3" w14:textId="77777777" w:rsidR="00F54745" w:rsidRDefault="00F54745" w:rsidP="00F54745">
      <w:pPr>
        <w:rPr>
          <w:rFonts w:ascii="Calibri" w:hAnsi="Calibri" w:cs="Calibri"/>
          <w:sz w:val="24"/>
          <w:szCs w:val="24"/>
        </w:rPr>
      </w:pPr>
      <w:r w:rsidRPr="00AD5037">
        <w:rPr>
          <w:rFonts w:ascii="Calibri" w:hAnsi="Calibri" w:cs="Calibri"/>
          <w:sz w:val="24"/>
          <w:szCs w:val="24"/>
        </w:rPr>
        <w:t>The findings reveal a profession caught between competing imperatives. On the one hand, officers strongly value safety, confidence, and operational effectiveness, and see firearms as a means of achieving these goals. On the other hand, they recognise the risks of escalation, the fragility of public trust, and the potential erosion of legitimacy.</w:t>
      </w:r>
    </w:p>
    <w:p w14:paraId="55873E84" w14:textId="77777777" w:rsidR="00612DF0" w:rsidRDefault="00612DF0" w:rsidP="00F54745">
      <w:pPr>
        <w:rPr>
          <w:rFonts w:ascii="Calibri" w:hAnsi="Calibri" w:cs="Calibri"/>
          <w:sz w:val="24"/>
          <w:szCs w:val="24"/>
        </w:rPr>
      </w:pPr>
    </w:p>
    <w:p w14:paraId="39EF7AF4" w14:textId="3294E254" w:rsidR="00612DF0" w:rsidRDefault="00612DF0" w:rsidP="00F54745">
      <w:pPr>
        <w:rPr>
          <w:rFonts w:ascii="Calibri" w:hAnsi="Calibri" w:cs="Calibri"/>
          <w:sz w:val="24"/>
          <w:szCs w:val="24"/>
        </w:rPr>
      </w:pPr>
      <w:r>
        <w:rPr>
          <w:rFonts w:ascii="Calibri" w:hAnsi="Calibri" w:cs="Calibri"/>
          <w:sz w:val="24"/>
          <w:szCs w:val="24"/>
        </w:rPr>
        <w:t>The findings</w:t>
      </w:r>
      <w:r w:rsidRPr="00612DF0">
        <w:rPr>
          <w:rFonts w:ascii="Calibri" w:hAnsi="Calibri" w:cs="Calibri"/>
          <w:sz w:val="24"/>
          <w:szCs w:val="24"/>
        </w:rPr>
        <w:t xml:space="preserve"> expose a critical gap between operational perspectives and community sentiment. While officers assume that routine arming would reassure the public, existing evidence suggests the opposite. This misalignment represents a significant challenge for policymakers, as reforms based on officer perceptions alone may inadvertently undermine the very consent on which British policing depends.</w:t>
      </w:r>
    </w:p>
    <w:p w14:paraId="0F041261" w14:textId="77777777" w:rsidR="00612DF0" w:rsidRPr="00AD5037" w:rsidRDefault="00612DF0" w:rsidP="00F54745">
      <w:pPr>
        <w:rPr>
          <w:rFonts w:ascii="Calibri" w:hAnsi="Calibri" w:cs="Calibri"/>
          <w:sz w:val="24"/>
          <w:szCs w:val="24"/>
        </w:rPr>
      </w:pPr>
    </w:p>
    <w:p w14:paraId="029468B6" w14:textId="65596605" w:rsidR="00F54745" w:rsidRPr="00AD5037" w:rsidRDefault="00F54745" w:rsidP="00F54745">
      <w:pPr>
        <w:rPr>
          <w:rFonts w:ascii="Calibri" w:hAnsi="Calibri" w:cs="Calibri"/>
          <w:sz w:val="24"/>
          <w:szCs w:val="24"/>
        </w:rPr>
      </w:pPr>
      <w:r w:rsidRPr="00AD5037">
        <w:rPr>
          <w:rFonts w:ascii="Calibri" w:hAnsi="Calibri" w:cs="Calibri"/>
          <w:sz w:val="24"/>
          <w:szCs w:val="24"/>
        </w:rPr>
        <w:t xml:space="preserve">This ambivalence reflects the broader debates in the literature. Loader and Walker (2007) highlight the tension between security and legitimacy; Reiner (2010) warns of the risks of militarisation; Jackson et al. (2012) emphasise the centrality of consent; and Waddington (2011) notes the cultural resistance to routine arming. The survey results support </w:t>
      </w:r>
      <w:r w:rsidR="002F431A" w:rsidRPr="00AD5037">
        <w:rPr>
          <w:rFonts w:ascii="Calibri" w:hAnsi="Calibri" w:cs="Calibri"/>
          <w:sz w:val="24"/>
          <w:szCs w:val="24"/>
        </w:rPr>
        <w:t>all</w:t>
      </w:r>
      <w:r w:rsidRPr="00AD5037">
        <w:rPr>
          <w:rFonts w:ascii="Calibri" w:hAnsi="Calibri" w:cs="Calibri"/>
          <w:sz w:val="24"/>
          <w:szCs w:val="24"/>
        </w:rPr>
        <w:t xml:space="preserve"> these perspectives, showing that officers are divided and cautious.</w:t>
      </w:r>
    </w:p>
    <w:p w14:paraId="1281CC63" w14:textId="77777777" w:rsidR="00F54745" w:rsidRPr="00AD5037" w:rsidRDefault="00F54745" w:rsidP="00F54745">
      <w:pPr>
        <w:rPr>
          <w:rFonts w:ascii="Calibri" w:hAnsi="Calibri" w:cs="Calibri"/>
          <w:sz w:val="24"/>
          <w:szCs w:val="24"/>
        </w:rPr>
      </w:pPr>
    </w:p>
    <w:p w14:paraId="188AA346" w14:textId="77777777" w:rsidR="00F54745" w:rsidRPr="00AD5037" w:rsidRDefault="00F54745" w:rsidP="00AD5037">
      <w:pPr>
        <w:pStyle w:val="Heading2"/>
      </w:pPr>
      <w:bookmarkStart w:id="57" w:name="_Toc209826987"/>
      <w:r w:rsidRPr="00AD5037">
        <w:t>5.10 Conclusion</w:t>
      </w:r>
      <w:bookmarkEnd w:id="57"/>
    </w:p>
    <w:p w14:paraId="25019F81" w14:textId="232BB928" w:rsidR="00F54745" w:rsidRPr="00AD5037" w:rsidRDefault="00F54745" w:rsidP="00F54745">
      <w:pPr>
        <w:rPr>
          <w:rFonts w:ascii="Calibri" w:hAnsi="Calibri" w:cs="Calibri"/>
          <w:sz w:val="24"/>
          <w:szCs w:val="24"/>
        </w:rPr>
      </w:pPr>
      <w:r w:rsidRPr="00AD5037">
        <w:rPr>
          <w:rFonts w:ascii="Calibri" w:hAnsi="Calibri" w:cs="Calibri"/>
          <w:sz w:val="24"/>
          <w:szCs w:val="24"/>
        </w:rPr>
        <w:t>This dissertation s</w:t>
      </w:r>
      <w:r w:rsidR="004E1F12">
        <w:rPr>
          <w:rFonts w:ascii="Calibri" w:hAnsi="Calibri" w:cs="Calibri"/>
          <w:sz w:val="24"/>
          <w:szCs w:val="24"/>
        </w:rPr>
        <w:t>ough</w:t>
      </w:r>
      <w:r w:rsidRPr="00AD5037">
        <w:rPr>
          <w:rFonts w:ascii="Calibri" w:hAnsi="Calibri" w:cs="Calibri"/>
          <w:sz w:val="24"/>
          <w:szCs w:val="24"/>
        </w:rPr>
        <w:t>t to answer the question: Should all UK Police officers be routinely armed? The research aimed to examine officer attitudes toward routine arming, assess perceived impacts on safety, trust, and legitimacy, and evaluate whether the benefits outweigh the risks.</w:t>
      </w:r>
      <w:r w:rsidR="008A37FC">
        <w:rPr>
          <w:rFonts w:ascii="Calibri" w:hAnsi="Calibri" w:cs="Calibri"/>
          <w:sz w:val="24"/>
          <w:szCs w:val="24"/>
        </w:rPr>
        <w:t xml:space="preserve"> </w:t>
      </w:r>
      <w:r w:rsidRPr="00AD5037">
        <w:rPr>
          <w:rFonts w:ascii="Calibri" w:hAnsi="Calibri" w:cs="Calibri"/>
          <w:sz w:val="24"/>
          <w:szCs w:val="24"/>
        </w:rPr>
        <w:t>The survey findings show that officers believe arming would enhance safety and confidence. They assume it would reassure the public, though literature suggests otherwise. They recognise risks of escalation and erosion of trust. Their support for arming is conditional and divided, shaped by role and experience.</w:t>
      </w:r>
      <w:r w:rsidR="008A37FC">
        <w:rPr>
          <w:rFonts w:ascii="Calibri" w:hAnsi="Calibri" w:cs="Calibri"/>
          <w:sz w:val="24"/>
          <w:szCs w:val="24"/>
        </w:rPr>
        <w:t xml:space="preserve"> </w:t>
      </w:r>
      <w:r w:rsidRPr="00AD5037">
        <w:rPr>
          <w:rFonts w:ascii="Calibri" w:hAnsi="Calibri" w:cs="Calibri"/>
          <w:sz w:val="24"/>
          <w:szCs w:val="24"/>
        </w:rPr>
        <w:t xml:space="preserve">These findings suggest that routine arming is not a straightforward solution. While it may offer operational benefits, it risks undermining the legitimacy of British Policing. </w:t>
      </w:r>
      <w:r w:rsidR="004E1F12">
        <w:rPr>
          <w:rFonts w:ascii="Calibri" w:hAnsi="Calibri" w:cs="Calibri"/>
          <w:sz w:val="24"/>
          <w:szCs w:val="24"/>
        </w:rPr>
        <w:t>Therefore, a</w:t>
      </w:r>
      <w:r w:rsidRPr="00AD5037">
        <w:rPr>
          <w:rFonts w:ascii="Calibri" w:hAnsi="Calibri" w:cs="Calibri"/>
          <w:sz w:val="24"/>
          <w:szCs w:val="24"/>
        </w:rPr>
        <w:t>ny move toward arming would require robust safeguards</w:t>
      </w:r>
      <w:r w:rsidR="002F431A">
        <w:rPr>
          <w:rFonts w:ascii="Calibri" w:hAnsi="Calibri" w:cs="Calibri"/>
          <w:sz w:val="24"/>
          <w:szCs w:val="24"/>
        </w:rPr>
        <w:t xml:space="preserve">, </w:t>
      </w:r>
      <w:r w:rsidRPr="00AD5037">
        <w:rPr>
          <w:rFonts w:ascii="Calibri" w:hAnsi="Calibri" w:cs="Calibri"/>
          <w:sz w:val="24"/>
          <w:szCs w:val="24"/>
        </w:rPr>
        <w:t>enhanced training, strict oversight, and a continued emphasis on community engagement.</w:t>
      </w:r>
      <w:r w:rsidR="008A37FC">
        <w:rPr>
          <w:rFonts w:ascii="Calibri" w:hAnsi="Calibri" w:cs="Calibri"/>
          <w:sz w:val="24"/>
          <w:szCs w:val="24"/>
        </w:rPr>
        <w:t xml:space="preserve"> </w:t>
      </w:r>
      <w:r w:rsidRPr="00AD5037">
        <w:rPr>
          <w:rFonts w:ascii="Calibri" w:hAnsi="Calibri" w:cs="Calibri"/>
          <w:sz w:val="24"/>
          <w:szCs w:val="24"/>
        </w:rPr>
        <w:t>Ultimately, the results reinforce the uniqueness of British Policing. The tradition of Policing by consent remains central, and while officers recognise the operational benefits of arming, they also recognise that legitimacy cannot be taken for granted. The conclusion is therefore one of caution</w:t>
      </w:r>
      <w:r w:rsidR="004E1F12">
        <w:rPr>
          <w:rFonts w:ascii="Calibri" w:hAnsi="Calibri" w:cs="Calibri"/>
          <w:sz w:val="24"/>
          <w:szCs w:val="24"/>
        </w:rPr>
        <w:t>;</w:t>
      </w:r>
      <w:r w:rsidR="002F431A">
        <w:rPr>
          <w:rFonts w:ascii="Calibri" w:hAnsi="Calibri" w:cs="Calibri"/>
          <w:sz w:val="24"/>
          <w:szCs w:val="24"/>
        </w:rPr>
        <w:t xml:space="preserve"> </w:t>
      </w:r>
      <w:r w:rsidRPr="00AD5037">
        <w:rPr>
          <w:rFonts w:ascii="Calibri" w:hAnsi="Calibri" w:cs="Calibri"/>
          <w:sz w:val="24"/>
          <w:szCs w:val="24"/>
        </w:rPr>
        <w:t>routine arming may offer short-term benefits</w:t>
      </w:r>
      <w:r w:rsidR="004E1F12">
        <w:rPr>
          <w:rFonts w:ascii="Calibri" w:hAnsi="Calibri" w:cs="Calibri"/>
          <w:sz w:val="24"/>
          <w:szCs w:val="24"/>
        </w:rPr>
        <w:t>. Still,</w:t>
      </w:r>
      <w:r w:rsidRPr="00AD5037">
        <w:rPr>
          <w:rFonts w:ascii="Calibri" w:hAnsi="Calibri" w:cs="Calibri"/>
          <w:sz w:val="24"/>
          <w:szCs w:val="24"/>
        </w:rPr>
        <w:t xml:space="preserve"> it carries long-term risks that could fundamentally alter the character of Policing in the United Kingdom.</w:t>
      </w:r>
    </w:p>
    <w:p w14:paraId="2A2F342C" w14:textId="77777777" w:rsidR="00BC35FC" w:rsidRPr="00AD5037" w:rsidRDefault="00BC35FC" w:rsidP="00BC35FC">
      <w:pPr>
        <w:rPr>
          <w:rFonts w:ascii="Calibri" w:eastAsiaTheme="majorEastAsia" w:hAnsi="Calibri" w:cs="Calibri"/>
          <w:color w:val="auto"/>
          <w:sz w:val="24"/>
          <w:szCs w:val="24"/>
        </w:rPr>
      </w:pPr>
    </w:p>
    <w:p w14:paraId="72D08D9D" w14:textId="77777777" w:rsidR="00BC35FC" w:rsidRPr="00AD5037" w:rsidRDefault="00BC35FC" w:rsidP="00D34E47">
      <w:pPr>
        <w:pStyle w:val="Heading1"/>
      </w:pPr>
      <w:bookmarkStart w:id="58" w:name="_Toc209826988"/>
      <w:r w:rsidRPr="00AD5037">
        <w:t>Chapter 6: Recommendations</w:t>
      </w:r>
      <w:bookmarkEnd w:id="58"/>
    </w:p>
    <w:p w14:paraId="0BBB96DA" w14:textId="77777777" w:rsidR="00F54745" w:rsidRPr="00AD5037" w:rsidRDefault="00F54745" w:rsidP="00AD5037">
      <w:pPr>
        <w:pStyle w:val="Heading2"/>
      </w:pPr>
      <w:bookmarkStart w:id="59" w:name="_Toc209826989"/>
      <w:r w:rsidRPr="00AD5037">
        <w:t>6.1 Introduction</w:t>
      </w:r>
      <w:bookmarkEnd w:id="59"/>
    </w:p>
    <w:p w14:paraId="3696DDB9" w14:textId="0BFD5502" w:rsidR="00F54745" w:rsidRPr="00AD5037" w:rsidRDefault="00F54745" w:rsidP="00F54745">
      <w:pPr>
        <w:rPr>
          <w:rFonts w:ascii="Calibri" w:hAnsi="Calibri" w:cs="Calibri"/>
          <w:sz w:val="24"/>
          <w:szCs w:val="24"/>
        </w:rPr>
      </w:pPr>
      <w:r w:rsidRPr="00AD5037">
        <w:rPr>
          <w:rFonts w:ascii="Calibri" w:hAnsi="Calibri" w:cs="Calibri"/>
          <w:sz w:val="24"/>
          <w:szCs w:val="24"/>
        </w:rPr>
        <w:t xml:space="preserve">The findings of this dissertation highlight the complex and ambivalent attitudes of UK Police officers toward routine arming. While officers recognise potential benefits </w:t>
      </w:r>
      <w:r w:rsidR="004E1F12">
        <w:rPr>
          <w:rFonts w:ascii="Calibri" w:hAnsi="Calibri" w:cs="Calibri"/>
          <w:sz w:val="24"/>
          <w:szCs w:val="24"/>
        </w:rPr>
        <w:t>regarding</w:t>
      </w:r>
      <w:r w:rsidRPr="00AD5037">
        <w:rPr>
          <w:rFonts w:ascii="Calibri" w:hAnsi="Calibri" w:cs="Calibri"/>
          <w:sz w:val="24"/>
          <w:szCs w:val="24"/>
        </w:rPr>
        <w:t xml:space="preserve"> safety, deterrence, and operational effectiveness, they also acknowledge risks of escalation, </w:t>
      </w:r>
      <w:r w:rsidR="004E1F12">
        <w:rPr>
          <w:rFonts w:ascii="Calibri" w:hAnsi="Calibri" w:cs="Calibri"/>
          <w:sz w:val="24"/>
          <w:szCs w:val="24"/>
        </w:rPr>
        <w:t>trust erosion, and legitimacy challenges</w:t>
      </w:r>
      <w:r w:rsidRPr="00AD5037">
        <w:rPr>
          <w:rFonts w:ascii="Calibri" w:hAnsi="Calibri" w:cs="Calibri"/>
          <w:sz w:val="24"/>
          <w:szCs w:val="24"/>
        </w:rPr>
        <w:t>. Based on these insights, and supported by the wider literature, this chapter sets out recommendations for policy, practice, and future research.</w:t>
      </w:r>
    </w:p>
    <w:p w14:paraId="54C4C258" w14:textId="77777777" w:rsidR="00F54745" w:rsidRPr="00AD5037" w:rsidRDefault="00F54745" w:rsidP="00F54745">
      <w:pPr>
        <w:rPr>
          <w:rFonts w:ascii="Calibri" w:hAnsi="Calibri" w:cs="Calibri"/>
          <w:sz w:val="24"/>
          <w:szCs w:val="24"/>
        </w:rPr>
      </w:pPr>
    </w:p>
    <w:p w14:paraId="1B609664" w14:textId="77777777" w:rsidR="00F54745" w:rsidRPr="00AD5037" w:rsidRDefault="00F54745" w:rsidP="00AD5037">
      <w:pPr>
        <w:pStyle w:val="Heading2"/>
      </w:pPr>
      <w:bookmarkStart w:id="60" w:name="_Toc209826990"/>
      <w:r w:rsidRPr="00AD5037">
        <w:t>6.2 Policy Recommendations</w:t>
      </w:r>
      <w:bookmarkEnd w:id="60"/>
    </w:p>
    <w:p w14:paraId="63764DCC" w14:textId="10B2E82D" w:rsidR="00F54745" w:rsidRPr="00AD5037" w:rsidRDefault="00F54745" w:rsidP="00F54745">
      <w:pPr>
        <w:rPr>
          <w:rFonts w:ascii="Calibri" w:hAnsi="Calibri" w:cs="Calibri"/>
          <w:sz w:val="24"/>
          <w:szCs w:val="24"/>
        </w:rPr>
      </w:pPr>
      <w:r w:rsidRPr="00AD5037">
        <w:rPr>
          <w:rFonts w:ascii="Calibri" w:hAnsi="Calibri" w:cs="Calibri"/>
          <w:sz w:val="24"/>
          <w:szCs w:val="24"/>
        </w:rPr>
        <w:t>The survey results indicate that consensus on routine arming is lacking. Given the risks to legitimacy and public trust, the UK should retain its model of specialist firearms units rather than moving toward universal arming. This preserves the tradition of Policing by consent while ensuring armed capability remains available when necessary (Jackson et al., 2012; Waddington, 2011).</w:t>
      </w:r>
    </w:p>
    <w:p w14:paraId="4C937249"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Concerns about officer vulnerability can be addressed without resorting to routine arming. Investment in body armour, tasers, and advanced protective equipment should be prioritised. This aligns with Reiner’s (2010) argument that safety is multi</w:t>
      </w:r>
      <w:r w:rsidRPr="00AD5037">
        <w:rPr>
          <w:rFonts w:ascii="Calibri" w:hAnsi="Calibri" w:cs="Calibri"/>
          <w:sz w:val="24"/>
          <w:szCs w:val="24"/>
        </w:rPr>
        <w:noBreakHyphen/>
        <w:t>dimensional and not solely dependent on firearms.</w:t>
      </w:r>
    </w:p>
    <w:p w14:paraId="4F9438EE"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Where firearms are deployed, training should be rigorous, ongoing, and focused on decision-making under pressure. This would build confidence (as highlighted in Q13) while minimising escalation risks (Taylor, 2015). Training should also emphasise de-escalation and proportionality, reinforcing legitimacy.</w:t>
      </w:r>
    </w:p>
    <w:p w14:paraId="0458D735" w14:textId="77777777" w:rsidR="00F54745" w:rsidRPr="00AD5037" w:rsidRDefault="00F54745" w:rsidP="00F54745">
      <w:pPr>
        <w:rPr>
          <w:rFonts w:ascii="Calibri" w:hAnsi="Calibri" w:cs="Calibri"/>
          <w:sz w:val="24"/>
          <w:szCs w:val="24"/>
        </w:rPr>
      </w:pPr>
    </w:p>
    <w:p w14:paraId="5F44D070" w14:textId="77777777" w:rsidR="00F54745" w:rsidRPr="00AD5037" w:rsidRDefault="00F54745" w:rsidP="00AD5037">
      <w:pPr>
        <w:pStyle w:val="Heading2"/>
      </w:pPr>
      <w:bookmarkStart w:id="61" w:name="_Toc209826991"/>
      <w:r w:rsidRPr="00AD5037">
        <w:t>6.3 Practice Recommendations</w:t>
      </w:r>
      <w:bookmarkEnd w:id="61"/>
    </w:p>
    <w:p w14:paraId="6DFD3DC3" w14:textId="1BEB3A89" w:rsidR="00F54745" w:rsidRPr="00AD5037" w:rsidRDefault="00F54745" w:rsidP="00F54745">
      <w:pPr>
        <w:rPr>
          <w:rFonts w:ascii="Calibri" w:hAnsi="Calibri" w:cs="Calibri"/>
          <w:sz w:val="24"/>
          <w:szCs w:val="24"/>
        </w:rPr>
      </w:pPr>
      <w:r w:rsidRPr="00AD5037">
        <w:rPr>
          <w:rFonts w:ascii="Calibri" w:hAnsi="Calibri" w:cs="Calibri"/>
          <w:sz w:val="24"/>
          <w:szCs w:val="24"/>
        </w:rPr>
        <w:t>The survey revealed officers’ awareness that firearms could escalate confrontations (Q9, Q11). To mitigate this, all officers should receive enhanced de-escalation, negotiation, and conflict resolution</w:t>
      </w:r>
      <w:r w:rsidR="004E1F12">
        <w:rPr>
          <w:rFonts w:ascii="Calibri" w:hAnsi="Calibri" w:cs="Calibri"/>
          <w:sz w:val="24"/>
          <w:szCs w:val="24"/>
        </w:rPr>
        <w:t xml:space="preserve"> training</w:t>
      </w:r>
      <w:r w:rsidRPr="00AD5037">
        <w:rPr>
          <w:rFonts w:ascii="Calibri" w:hAnsi="Calibri" w:cs="Calibri"/>
          <w:sz w:val="24"/>
          <w:szCs w:val="24"/>
        </w:rPr>
        <w:t>. This supports Bradford and Quinton’s (2014) emphasis on procedural justice as a foundation of trust.</w:t>
      </w:r>
    </w:p>
    <w:p w14:paraId="27376351"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Given concerns about public trust (Q10), Police forces should invest in community engagement strategies that explain the rationale for current arming policies and reassure the public about safety. This aligns with Yesberg et al. (2021), who stress that legitimacy is built through transparency and accountability.</w:t>
      </w:r>
    </w:p>
    <w:p w14:paraId="12E9EF79" w14:textId="43E85378" w:rsidR="00F54745" w:rsidRPr="00AD5037" w:rsidRDefault="00F54745" w:rsidP="00F54745">
      <w:pPr>
        <w:rPr>
          <w:rFonts w:ascii="Calibri" w:hAnsi="Calibri" w:cs="Calibri"/>
          <w:sz w:val="24"/>
          <w:szCs w:val="24"/>
        </w:rPr>
      </w:pPr>
      <w:r w:rsidRPr="00AD5037">
        <w:rPr>
          <w:rFonts w:ascii="Calibri" w:hAnsi="Calibri" w:cs="Calibri"/>
          <w:sz w:val="24"/>
          <w:szCs w:val="24"/>
        </w:rPr>
        <w:t>The demographic analysis revealed differences between Specialist, Response, and Neighbourhood Officers</w:t>
      </w:r>
      <w:r w:rsidR="004E1F12">
        <w:rPr>
          <w:rFonts w:ascii="Calibri" w:hAnsi="Calibri" w:cs="Calibri"/>
          <w:sz w:val="24"/>
          <w:szCs w:val="24"/>
        </w:rPr>
        <w:t xml:space="preserve"> and</w:t>
      </w:r>
      <w:r w:rsidRPr="00AD5037">
        <w:rPr>
          <w:rFonts w:ascii="Calibri" w:hAnsi="Calibri" w:cs="Calibri"/>
          <w:sz w:val="24"/>
          <w:szCs w:val="24"/>
        </w:rPr>
        <w:t xml:space="preserve"> between early</w:t>
      </w:r>
      <w:r w:rsidRPr="00AD5037">
        <w:rPr>
          <w:rFonts w:ascii="Calibri" w:hAnsi="Calibri" w:cs="Calibri"/>
          <w:sz w:val="24"/>
          <w:szCs w:val="24"/>
        </w:rPr>
        <w:noBreakHyphen/>
        <w:t>career and experienced staff. Training and support should therefore be tailored: for example, Neighbourhood Officers may benefit from additional community-focused training, while Specialist Units may require advanced tactical preparation.</w:t>
      </w:r>
    </w:p>
    <w:p w14:paraId="3394AEA7" w14:textId="77777777" w:rsidR="00F54745" w:rsidRPr="00AD5037" w:rsidRDefault="00F54745" w:rsidP="00F54745">
      <w:pPr>
        <w:rPr>
          <w:rFonts w:ascii="Calibri" w:hAnsi="Calibri" w:cs="Calibri"/>
          <w:sz w:val="24"/>
          <w:szCs w:val="24"/>
        </w:rPr>
      </w:pPr>
    </w:p>
    <w:p w14:paraId="69FD1143" w14:textId="77777777" w:rsidR="00F54745" w:rsidRPr="00AD5037" w:rsidRDefault="00F54745" w:rsidP="00AD5037">
      <w:pPr>
        <w:pStyle w:val="Heading2"/>
      </w:pPr>
      <w:bookmarkStart w:id="62" w:name="_Toc209826992"/>
      <w:r w:rsidRPr="00AD5037">
        <w:lastRenderedPageBreak/>
        <w:t>6.4 Research Recommendations</w:t>
      </w:r>
      <w:bookmarkEnd w:id="62"/>
    </w:p>
    <w:p w14:paraId="2C8C13F4"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This study was limited by its small sample size. Future research should expand to include larger and more diverse samples, incorporating public perspectives alongside officer views. Comparative studies with other jurisdictions (e.g. Ireland, New Zealand) could also provide valuable insights into alternative models of unarmed Policing.</w:t>
      </w:r>
    </w:p>
    <w:p w14:paraId="14E63E9A" w14:textId="77777777" w:rsidR="00F54745" w:rsidRPr="00AD5037" w:rsidRDefault="00F54745" w:rsidP="00F54745">
      <w:pPr>
        <w:rPr>
          <w:rFonts w:ascii="Calibri" w:hAnsi="Calibri" w:cs="Calibri"/>
          <w:sz w:val="24"/>
          <w:szCs w:val="24"/>
        </w:rPr>
      </w:pPr>
      <w:r w:rsidRPr="00AD5037">
        <w:rPr>
          <w:rFonts w:ascii="Calibri" w:hAnsi="Calibri" w:cs="Calibri"/>
          <w:sz w:val="24"/>
          <w:szCs w:val="24"/>
        </w:rPr>
        <w:t>Further research should explore the long-term consequences of arming on legitimacy, trust, and officer behaviour. Sherman (2013) and Sanders et al. (2024) highlight that deterrence effects are often unstable; longitudinal studies could test whether arming produces sustainable benefits or unintended harms.</w:t>
      </w:r>
    </w:p>
    <w:p w14:paraId="5FFC4DF2" w14:textId="77777777" w:rsidR="00F54745" w:rsidRPr="00AD5037" w:rsidRDefault="00F54745" w:rsidP="00F54745">
      <w:pPr>
        <w:rPr>
          <w:rFonts w:ascii="Calibri" w:hAnsi="Calibri" w:cs="Calibri"/>
          <w:sz w:val="24"/>
          <w:szCs w:val="24"/>
        </w:rPr>
      </w:pPr>
    </w:p>
    <w:p w14:paraId="6D471900" w14:textId="77777777" w:rsidR="00F54745" w:rsidRPr="00AD5037" w:rsidRDefault="00F54745" w:rsidP="00AD5037">
      <w:pPr>
        <w:pStyle w:val="Heading2"/>
      </w:pPr>
      <w:bookmarkStart w:id="63" w:name="_Toc209826993"/>
      <w:r w:rsidRPr="00AD5037">
        <w:t>6.5 Conclusion</w:t>
      </w:r>
      <w:bookmarkEnd w:id="63"/>
    </w:p>
    <w:p w14:paraId="246C08BD" w14:textId="224D5ABD" w:rsidR="00903D01" w:rsidRDefault="00F54745" w:rsidP="00F54745">
      <w:pPr>
        <w:rPr>
          <w:rFonts w:ascii="Calibri" w:hAnsi="Calibri" w:cs="Calibri"/>
          <w:sz w:val="24"/>
          <w:szCs w:val="24"/>
        </w:rPr>
      </w:pPr>
      <w:r w:rsidRPr="00AD5037">
        <w:rPr>
          <w:rFonts w:ascii="Calibri" w:hAnsi="Calibri" w:cs="Calibri"/>
          <w:sz w:val="24"/>
          <w:szCs w:val="24"/>
        </w:rPr>
        <w:t>The recommendations presented here reflect the ambivalence revealed in the findings. Officers value safety and effectiveness but remain cautious about the risks to trust and legitimacy. By maintaining the current model of specialist arming, enhancing non-lethal protections, strengthening training, and investing in community engagement, UK Policing can address officer concerns while preserving its distinctive tradition of Policing by consent. Future research will ensure that policy decisions remain evidence-based and responsive to officer and public perspectives.</w:t>
      </w:r>
      <w:r w:rsidR="00903D01" w:rsidRPr="00AD5037">
        <w:rPr>
          <w:rFonts w:ascii="Calibri" w:hAnsi="Calibri" w:cs="Calibri"/>
          <w:sz w:val="24"/>
          <w:szCs w:val="24"/>
        </w:rPr>
        <w:t xml:space="preserve"> </w:t>
      </w:r>
    </w:p>
    <w:p w14:paraId="471E4E93" w14:textId="77777777" w:rsidR="004E1F12" w:rsidRDefault="004E1F12" w:rsidP="00F54745">
      <w:pPr>
        <w:rPr>
          <w:rFonts w:ascii="Calibri" w:hAnsi="Calibri" w:cs="Calibri"/>
          <w:sz w:val="24"/>
          <w:szCs w:val="24"/>
        </w:rPr>
      </w:pPr>
    </w:p>
    <w:p w14:paraId="0F1879B6" w14:textId="77777777" w:rsidR="004E1F12" w:rsidRDefault="004E1F12" w:rsidP="00F54745">
      <w:pPr>
        <w:rPr>
          <w:rFonts w:ascii="Calibri" w:hAnsi="Calibri" w:cs="Calibri"/>
          <w:sz w:val="24"/>
          <w:szCs w:val="24"/>
        </w:rPr>
      </w:pPr>
    </w:p>
    <w:p w14:paraId="3CDB3AE7" w14:textId="77777777" w:rsidR="004E1F12" w:rsidRDefault="004E1F12" w:rsidP="00F54745">
      <w:pPr>
        <w:rPr>
          <w:rFonts w:ascii="Calibri" w:hAnsi="Calibri" w:cs="Calibri"/>
          <w:sz w:val="24"/>
          <w:szCs w:val="24"/>
        </w:rPr>
      </w:pPr>
    </w:p>
    <w:p w14:paraId="71100E73" w14:textId="77777777" w:rsidR="004E1F12" w:rsidRDefault="004E1F12" w:rsidP="00F54745">
      <w:pPr>
        <w:rPr>
          <w:rFonts w:ascii="Calibri" w:hAnsi="Calibri" w:cs="Calibri"/>
          <w:sz w:val="24"/>
          <w:szCs w:val="24"/>
        </w:rPr>
      </w:pPr>
    </w:p>
    <w:p w14:paraId="4A790920" w14:textId="77777777" w:rsidR="004E1F12" w:rsidRDefault="004E1F12" w:rsidP="00F54745">
      <w:pPr>
        <w:rPr>
          <w:rFonts w:ascii="Calibri" w:hAnsi="Calibri" w:cs="Calibri"/>
          <w:sz w:val="24"/>
          <w:szCs w:val="24"/>
        </w:rPr>
      </w:pPr>
    </w:p>
    <w:p w14:paraId="7264D850" w14:textId="77777777" w:rsidR="004E1F12" w:rsidRDefault="004E1F12" w:rsidP="00F54745">
      <w:pPr>
        <w:rPr>
          <w:rFonts w:ascii="Calibri" w:hAnsi="Calibri" w:cs="Calibri"/>
          <w:sz w:val="24"/>
          <w:szCs w:val="24"/>
        </w:rPr>
      </w:pPr>
    </w:p>
    <w:p w14:paraId="1AE056E9" w14:textId="77777777" w:rsidR="004E1F12" w:rsidRDefault="004E1F12" w:rsidP="00F54745">
      <w:pPr>
        <w:rPr>
          <w:rFonts w:ascii="Calibri" w:hAnsi="Calibri" w:cs="Calibri"/>
          <w:sz w:val="24"/>
          <w:szCs w:val="24"/>
        </w:rPr>
      </w:pPr>
    </w:p>
    <w:p w14:paraId="604FC3AB" w14:textId="77777777" w:rsidR="004E1F12" w:rsidRDefault="004E1F12" w:rsidP="00F54745">
      <w:pPr>
        <w:rPr>
          <w:rFonts w:ascii="Calibri" w:hAnsi="Calibri" w:cs="Calibri"/>
          <w:sz w:val="24"/>
          <w:szCs w:val="24"/>
        </w:rPr>
      </w:pPr>
    </w:p>
    <w:p w14:paraId="5F318A30" w14:textId="77777777" w:rsidR="004E1F12" w:rsidRDefault="004E1F12" w:rsidP="00F54745">
      <w:pPr>
        <w:rPr>
          <w:rFonts w:ascii="Calibri" w:hAnsi="Calibri" w:cs="Calibri"/>
          <w:sz w:val="24"/>
          <w:szCs w:val="24"/>
        </w:rPr>
      </w:pPr>
    </w:p>
    <w:p w14:paraId="1857B717" w14:textId="77777777" w:rsidR="004E1F12" w:rsidRDefault="004E1F12" w:rsidP="00F54745">
      <w:pPr>
        <w:rPr>
          <w:rFonts w:ascii="Calibri" w:hAnsi="Calibri" w:cs="Calibri"/>
          <w:sz w:val="24"/>
          <w:szCs w:val="24"/>
        </w:rPr>
      </w:pPr>
    </w:p>
    <w:p w14:paraId="41EDB9E3" w14:textId="77777777" w:rsidR="004E1F12" w:rsidRDefault="004E1F12" w:rsidP="00F54745">
      <w:pPr>
        <w:rPr>
          <w:rFonts w:ascii="Calibri" w:hAnsi="Calibri" w:cs="Calibri"/>
          <w:sz w:val="24"/>
          <w:szCs w:val="24"/>
        </w:rPr>
      </w:pPr>
    </w:p>
    <w:p w14:paraId="44F63EA5" w14:textId="77777777" w:rsidR="004E1F12" w:rsidRDefault="004E1F12" w:rsidP="00F54745">
      <w:pPr>
        <w:rPr>
          <w:rFonts w:ascii="Calibri" w:hAnsi="Calibri" w:cs="Calibri"/>
          <w:sz w:val="24"/>
          <w:szCs w:val="24"/>
        </w:rPr>
      </w:pPr>
    </w:p>
    <w:p w14:paraId="1D236553" w14:textId="77777777" w:rsidR="004E1F12" w:rsidRDefault="004E1F12" w:rsidP="00F54745">
      <w:pPr>
        <w:rPr>
          <w:rFonts w:ascii="Calibri" w:hAnsi="Calibri" w:cs="Calibri"/>
          <w:sz w:val="24"/>
          <w:szCs w:val="24"/>
        </w:rPr>
      </w:pPr>
    </w:p>
    <w:p w14:paraId="6B6CF61B" w14:textId="77777777" w:rsidR="004E1F12" w:rsidRDefault="004E1F12" w:rsidP="00F54745">
      <w:pPr>
        <w:rPr>
          <w:rFonts w:ascii="Calibri" w:hAnsi="Calibri" w:cs="Calibri"/>
          <w:sz w:val="24"/>
          <w:szCs w:val="24"/>
        </w:rPr>
      </w:pPr>
    </w:p>
    <w:p w14:paraId="7A43736A" w14:textId="77777777" w:rsidR="004E1F12" w:rsidRDefault="004E1F12" w:rsidP="00F54745">
      <w:pPr>
        <w:rPr>
          <w:rFonts w:ascii="Calibri" w:hAnsi="Calibri" w:cs="Calibri"/>
          <w:sz w:val="24"/>
          <w:szCs w:val="24"/>
        </w:rPr>
      </w:pPr>
    </w:p>
    <w:p w14:paraId="24CCEF07" w14:textId="77777777" w:rsidR="004E1F12" w:rsidRDefault="004E1F12" w:rsidP="00F54745">
      <w:pPr>
        <w:rPr>
          <w:rFonts w:ascii="Calibri" w:hAnsi="Calibri" w:cs="Calibri"/>
          <w:sz w:val="24"/>
          <w:szCs w:val="24"/>
        </w:rPr>
      </w:pPr>
    </w:p>
    <w:p w14:paraId="6D46035C" w14:textId="77777777" w:rsidR="004E1F12" w:rsidRDefault="004E1F12" w:rsidP="00F54745">
      <w:pPr>
        <w:rPr>
          <w:rFonts w:ascii="Calibri" w:hAnsi="Calibri" w:cs="Calibri"/>
          <w:sz w:val="24"/>
          <w:szCs w:val="24"/>
        </w:rPr>
      </w:pPr>
    </w:p>
    <w:p w14:paraId="77DB08A5" w14:textId="77777777" w:rsidR="004E1F12" w:rsidRDefault="004E1F12" w:rsidP="00F54745">
      <w:pPr>
        <w:rPr>
          <w:rFonts w:ascii="Calibri" w:hAnsi="Calibri" w:cs="Calibri"/>
          <w:sz w:val="24"/>
          <w:szCs w:val="24"/>
        </w:rPr>
      </w:pPr>
    </w:p>
    <w:p w14:paraId="2BAD860D" w14:textId="77777777" w:rsidR="004E1F12" w:rsidRDefault="004E1F12" w:rsidP="00F54745">
      <w:pPr>
        <w:rPr>
          <w:rFonts w:ascii="Calibri" w:hAnsi="Calibri" w:cs="Calibri"/>
          <w:sz w:val="24"/>
          <w:szCs w:val="24"/>
        </w:rPr>
      </w:pPr>
    </w:p>
    <w:p w14:paraId="36E779D6" w14:textId="77777777" w:rsidR="004E1F12" w:rsidRDefault="004E1F12" w:rsidP="00F54745">
      <w:pPr>
        <w:rPr>
          <w:rFonts w:ascii="Calibri" w:hAnsi="Calibri" w:cs="Calibri"/>
          <w:sz w:val="24"/>
          <w:szCs w:val="24"/>
        </w:rPr>
      </w:pPr>
    </w:p>
    <w:p w14:paraId="6B148D4F" w14:textId="77777777" w:rsidR="004E1F12" w:rsidRDefault="004E1F12" w:rsidP="00F54745">
      <w:pPr>
        <w:rPr>
          <w:rFonts w:ascii="Calibri" w:hAnsi="Calibri" w:cs="Calibri"/>
          <w:sz w:val="24"/>
          <w:szCs w:val="24"/>
        </w:rPr>
      </w:pPr>
    </w:p>
    <w:p w14:paraId="30613147" w14:textId="77777777" w:rsidR="004E1F12" w:rsidRDefault="004E1F12" w:rsidP="00F54745">
      <w:pPr>
        <w:rPr>
          <w:rFonts w:ascii="Calibri" w:hAnsi="Calibri" w:cs="Calibri"/>
          <w:sz w:val="24"/>
          <w:szCs w:val="24"/>
        </w:rPr>
      </w:pPr>
    </w:p>
    <w:p w14:paraId="487D0B4E" w14:textId="77777777" w:rsidR="004E1F12" w:rsidRDefault="004E1F12" w:rsidP="00F54745">
      <w:pPr>
        <w:rPr>
          <w:rFonts w:ascii="Calibri" w:hAnsi="Calibri" w:cs="Calibri"/>
          <w:sz w:val="24"/>
          <w:szCs w:val="24"/>
        </w:rPr>
      </w:pPr>
    </w:p>
    <w:p w14:paraId="44DF7D27" w14:textId="77777777" w:rsidR="004E1F12" w:rsidRDefault="004E1F12" w:rsidP="00F54745">
      <w:pPr>
        <w:rPr>
          <w:rFonts w:ascii="Calibri" w:hAnsi="Calibri" w:cs="Calibri"/>
          <w:sz w:val="24"/>
          <w:szCs w:val="24"/>
        </w:rPr>
      </w:pPr>
    </w:p>
    <w:p w14:paraId="318CA81D" w14:textId="77777777" w:rsidR="004E1F12" w:rsidRDefault="004E1F12" w:rsidP="00F54745">
      <w:pPr>
        <w:rPr>
          <w:rFonts w:ascii="Calibri" w:hAnsi="Calibri" w:cs="Calibri"/>
          <w:sz w:val="24"/>
          <w:szCs w:val="24"/>
        </w:rPr>
      </w:pPr>
    </w:p>
    <w:p w14:paraId="0F7B5D44" w14:textId="77777777" w:rsidR="004E1F12" w:rsidRDefault="004E1F12" w:rsidP="00F54745">
      <w:pPr>
        <w:rPr>
          <w:rFonts w:ascii="Calibri" w:hAnsi="Calibri" w:cs="Calibri"/>
          <w:sz w:val="24"/>
          <w:szCs w:val="24"/>
        </w:rPr>
      </w:pPr>
    </w:p>
    <w:p w14:paraId="2BC80F45" w14:textId="77777777" w:rsidR="004E1F12" w:rsidRDefault="004E1F12" w:rsidP="00F54745">
      <w:pPr>
        <w:rPr>
          <w:rFonts w:ascii="Calibri" w:hAnsi="Calibri" w:cs="Calibri"/>
          <w:sz w:val="24"/>
          <w:szCs w:val="24"/>
        </w:rPr>
      </w:pPr>
    </w:p>
    <w:p w14:paraId="2DC5E00D" w14:textId="77777777" w:rsidR="004E1F12" w:rsidRPr="00AD5037" w:rsidRDefault="004E1F12" w:rsidP="00F54745">
      <w:pPr>
        <w:rPr>
          <w:rFonts w:ascii="Calibri" w:hAnsi="Calibri" w:cs="Calibri"/>
          <w:sz w:val="24"/>
          <w:szCs w:val="24"/>
        </w:rPr>
      </w:pPr>
    </w:p>
    <w:p w14:paraId="3A396197" w14:textId="06BADF61" w:rsidR="00C34C93" w:rsidRDefault="000B41E3" w:rsidP="001B26CB">
      <w:pPr>
        <w:pStyle w:val="Heading1"/>
        <w:jc w:val="center"/>
        <w:rPr>
          <w:color w:val="auto"/>
        </w:rPr>
      </w:pPr>
      <w:bookmarkStart w:id="64" w:name="_Bibliography"/>
      <w:bookmarkStart w:id="65" w:name="_Toc209826994"/>
      <w:bookmarkEnd w:id="64"/>
      <w:r w:rsidRPr="0038734E">
        <w:rPr>
          <w:color w:val="auto"/>
        </w:rPr>
        <w:t>Bibliography</w:t>
      </w:r>
      <w:bookmarkStart w:id="66" w:name="_Appendix"/>
      <w:bookmarkEnd w:id="65"/>
      <w:bookmarkEnd w:id="66"/>
    </w:p>
    <w:p w14:paraId="21A14683" w14:textId="77777777" w:rsidR="001B26CB" w:rsidRPr="001B26CB" w:rsidRDefault="001B26CB" w:rsidP="001B26CB"/>
    <w:p w14:paraId="697233B0"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Alderden, M.A. and Mastrofski, S.D. (2007) ‘Police officers’ perceptions of armed response units’, </w:t>
      </w:r>
      <w:r w:rsidRPr="00903D01">
        <w:rPr>
          <w:rFonts w:ascii="Calibri" w:hAnsi="Calibri" w:cs="Calibri"/>
          <w:i/>
          <w:iCs/>
          <w:sz w:val="24"/>
          <w:szCs w:val="24"/>
        </w:rPr>
        <w:t>Journal of Criminal Justice</w:t>
      </w:r>
      <w:r w:rsidRPr="00903D01">
        <w:rPr>
          <w:rFonts w:ascii="Calibri" w:hAnsi="Calibri" w:cs="Calibri"/>
          <w:sz w:val="24"/>
          <w:szCs w:val="24"/>
        </w:rPr>
        <w:t>, 35(4), pp. 411–421.</w:t>
      </w:r>
    </w:p>
    <w:p w14:paraId="5CB11479" w14:textId="77777777" w:rsidR="00903D01" w:rsidRPr="00903D01" w:rsidRDefault="00903D01" w:rsidP="00903D01">
      <w:pPr>
        <w:spacing w:before="240"/>
        <w:rPr>
          <w:rFonts w:ascii="Calibri" w:hAnsi="Calibri" w:cs="Calibri"/>
          <w:sz w:val="24"/>
          <w:szCs w:val="24"/>
        </w:rPr>
      </w:pPr>
    </w:p>
    <w:p w14:paraId="5D35DB3A"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Braakmann, N. (2025) ‘Racial disparities in civilian response to Police use of force: Evidence from London’, </w:t>
      </w:r>
      <w:r w:rsidRPr="00903D01">
        <w:rPr>
          <w:rFonts w:ascii="Calibri" w:hAnsi="Calibri" w:cs="Calibri"/>
          <w:i/>
          <w:iCs/>
          <w:sz w:val="24"/>
          <w:szCs w:val="24"/>
        </w:rPr>
        <w:t>The British Journal of Criminology</w:t>
      </w:r>
      <w:r w:rsidRPr="00903D01">
        <w:rPr>
          <w:rFonts w:ascii="Calibri" w:hAnsi="Calibri" w:cs="Calibri"/>
          <w:sz w:val="24"/>
          <w:szCs w:val="24"/>
        </w:rPr>
        <w:t>, 65(1), pp. 182–201.</w:t>
      </w:r>
    </w:p>
    <w:p w14:paraId="04562240" w14:textId="77777777" w:rsidR="00903D01" w:rsidRPr="00903D01" w:rsidRDefault="00903D01" w:rsidP="00903D01">
      <w:pPr>
        <w:pStyle w:val="ListParagraph"/>
        <w:rPr>
          <w:rFonts w:ascii="Calibri" w:hAnsi="Calibri" w:cs="Calibri"/>
          <w:sz w:val="24"/>
          <w:szCs w:val="24"/>
        </w:rPr>
      </w:pPr>
    </w:p>
    <w:p w14:paraId="367A13CB" w14:textId="77777777" w:rsidR="00903D01" w:rsidRPr="00903D01" w:rsidRDefault="00903D01" w:rsidP="00903D01">
      <w:pPr>
        <w:spacing w:before="240"/>
        <w:rPr>
          <w:rFonts w:ascii="Calibri" w:hAnsi="Calibri" w:cs="Calibri"/>
          <w:sz w:val="24"/>
          <w:szCs w:val="24"/>
        </w:rPr>
      </w:pPr>
    </w:p>
    <w:p w14:paraId="7628164F"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Bradford, B. and Quinton, P. (2014) ‘Self-legitimacy, Police culture and support for democratic Policing in an English constabulary’, </w:t>
      </w:r>
      <w:r w:rsidRPr="00903D01">
        <w:rPr>
          <w:rFonts w:ascii="Calibri" w:hAnsi="Calibri" w:cs="Calibri"/>
          <w:i/>
          <w:iCs/>
          <w:sz w:val="24"/>
          <w:szCs w:val="24"/>
        </w:rPr>
        <w:t>British Journal of Criminology</w:t>
      </w:r>
      <w:r w:rsidRPr="00903D01">
        <w:rPr>
          <w:rFonts w:ascii="Calibri" w:hAnsi="Calibri" w:cs="Calibri"/>
          <w:sz w:val="24"/>
          <w:szCs w:val="24"/>
        </w:rPr>
        <w:t>, 54(6), pp. 1023–1046.</w:t>
      </w:r>
    </w:p>
    <w:p w14:paraId="16305AF6" w14:textId="77777777" w:rsidR="00903D01" w:rsidRPr="00903D01" w:rsidRDefault="00903D01" w:rsidP="00903D01">
      <w:pPr>
        <w:spacing w:before="240"/>
        <w:rPr>
          <w:rFonts w:ascii="Calibri" w:hAnsi="Calibri" w:cs="Calibri"/>
          <w:sz w:val="24"/>
          <w:szCs w:val="24"/>
        </w:rPr>
      </w:pPr>
    </w:p>
    <w:p w14:paraId="7AECD785"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Brown, M. and Newburn, T. (2009) ‘Police use of force’, </w:t>
      </w:r>
      <w:r w:rsidRPr="00903D01">
        <w:rPr>
          <w:rFonts w:ascii="Calibri" w:hAnsi="Calibri" w:cs="Calibri"/>
          <w:i/>
          <w:iCs/>
          <w:sz w:val="24"/>
          <w:szCs w:val="24"/>
        </w:rPr>
        <w:t>Journal of Policing, Intelligence and Counter Terrorism</w:t>
      </w:r>
      <w:r w:rsidRPr="00903D01">
        <w:rPr>
          <w:rFonts w:ascii="Calibri" w:hAnsi="Calibri" w:cs="Calibri"/>
          <w:sz w:val="24"/>
          <w:szCs w:val="24"/>
        </w:rPr>
        <w:t>, 4(2), pp. 127–145.</w:t>
      </w:r>
    </w:p>
    <w:p w14:paraId="1962C00B" w14:textId="77777777" w:rsidR="00903D01" w:rsidRPr="00903D01" w:rsidRDefault="00903D01" w:rsidP="00903D01">
      <w:pPr>
        <w:pStyle w:val="ListParagraph"/>
        <w:rPr>
          <w:rFonts w:ascii="Calibri" w:hAnsi="Calibri" w:cs="Calibri"/>
          <w:sz w:val="24"/>
          <w:szCs w:val="24"/>
        </w:rPr>
      </w:pPr>
    </w:p>
    <w:p w14:paraId="605E36A2" w14:textId="77777777" w:rsidR="00903D01" w:rsidRPr="00903D01" w:rsidRDefault="00903D01" w:rsidP="00903D01">
      <w:pPr>
        <w:spacing w:before="240"/>
        <w:rPr>
          <w:rFonts w:ascii="Calibri" w:hAnsi="Calibri" w:cs="Calibri"/>
          <w:sz w:val="24"/>
          <w:szCs w:val="24"/>
        </w:rPr>
      </w:pPr>
    </w:p>
    <w:p w14:paraId="6B150F10" w14:textId="1ECD8486"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Bryman, A. (2016) </w:t>
      </w:r>
      <w:r w:rsidR="004E1F12">
        <w:rPr>
          <w:rFonts w:ascii="Calibri" w:hAnsi="Calibri" w:cs="Calibri"/>
          <w:sz w:val="24"/>
          <w:szCs w:val="24"/>
        </w:rPr>
        <w:t xml:space="preserve">. </w:t>
      </w:r>
      <w:r w:rsidRPr="00903D01">
        <w:rPr>
          <w:rFonts w:ascii="Calibri" w:hAnsi="Calibri" w:cs="Calibri"/>
          <w:i/>
          <w:iCs/>
          <w:sz w:val="24"/>
          <w:szCs w:val="24"/>
        </w:rPr>
        <w:t>Social research methods</w:t>
      </w:r>
      <w:r w:rsidRPr="00903D01">
        <w:rPr>
          <w:rFonts w:ascii="Calibri" w:hAnsi="Calibri" w:cs="Calibri"/>
          <w:sz w:val="24"/>
          <w:szCs w:val="24"/>
        </w:rPr>
        <w:t>. 5th edn. Oxford: Oxford University Press.</w:t>
      </w:r>
    </w:p>
    <w:p w14:paraId="5E001ED5" w14:textId="77777777" w:rsidR="00903D01" w:rsidRPr="00903D01" w:rsidRDefault="00903D01" w:rsidP="00903D01">
      <w:pPr>
        <w:spacing w:before="240"/>
        <w:rPr>
          <w:rFonts w:ascii="Calibri" w:hAnsi="Calibri" w:cs="Calibri"/>
          <w:sz w:val="24"/>
          <w:szCs w:val="24"/>
        </w:rPr>
      </w:pPr>
    </w:p>
    <w:p w14:paraId="21EFBB7F"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CAAT (n.d.) </w:t>
      </w:r>
      <w:r w:rsidRPr="00903D01">
        <w:rPr>
          <w:rFonts w:ascii="Calibri" w:hAnsi="Calibri" w:cs="Calibri"/>
          <w:i/>
          <w:iCs/>
          <w:sz w:val="24"/>
          <w:szCs w:val="24"/>
        </w:rPr>
        <w:t>A very British problem: The evolution of Britain’s militarised Policing industrial complex</w:t>
      </w:r>
      <w:r w:rsidRPr="00903D01">
        <w:rPr>
          <w:rFonts w:ascii="Calibri" w:hAnsi="Calibri" w:cs="Calibri"/>
          <w:sz w:val="24"/>
          <w:szCs w:val="24"/>
        </w:rPr>
        <w:t>. CAAT Reports. [online] Available at: &lt;https://caat.org.uk/reports/policing&gt; [Accessed 12 July 2025].</w:t>
      </w:r>
    </w:p>
    <w:p w14:paraId="4685940D" w14:textId="77777777" w:rsidR="00903D01" w:rsidRPr="00903D01" w:rsidRDefault="00903D01" w:rsidP="00903D01">
      <w:pPr>
        <w:pStyle w:val="ListParagraph"/>
        <w:rPr>
          <w:rFonts w:ascii="Calibri" w:hAnsi="Calibri" w:cs="Calibri"/>
          <w:sz w:val="24"/>
          <w:szCs w:val="24"/>
        </w:rPr>
      </w:pPr>
    </w:p>
    <w:p w14:paraId="7A69C3B3" w14:textId="77777777" w:rsidR="00903D01" w:rsidRPr="00903D01" w:rsidRDefault="00903D01" w:rsidP="00903D01">
      <w:pPr>
        <w:spacing w:before="240"/>
        <w:rPr>
          <w:rFonts w:ascii="Calibri" w:hAnsi="Calibri" w:cs="Calibri"/>
          <w:sz w:val="24"/>
          <w:szCs w:val="24"/>
        </w:rPr>
      </w:pPr>
    </w:p>
    <w:p w14:paraId="04F8B329"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Clark, S. and Bennett, R. (2010) ‘Police legitimacy and the public: A case study of UK Policing policies’, </w:t>
      </w:r>
      <w:r w:rsidRPr="00903D01">
        <w:rPr>
          <w:rFonts w:ascii="Calibri" w:hAnsi="Calibri" w:cs="Calibri"/>
          <w:i/>
          <w:iCs/>
          <w:sz w:val="24"/>
          <w:szCs w:val="24"/>
        </w:rPr>
        <w:t>Policing &amp; Society</w:t>
      </w:r>
      <w:r w:rsidRPr="00903D01">
        <w:rPr>
          <w:rFonts w:ascii="Calibri" w:hAnsi="Calibri" w:cs="Calibri"/>
          <w:sz w:val="24"/>
          <w:szCs w:val="24"/>
        </w:rPr>
        <w:t>, 20(1), pp. 76–96.</w:t>
      </w:r>
    </w:p>
    <w:p w14:paraId="1160F55B" w14:textId="77777777" w:rsidR="00903D01" w:rsidRPr="00903D01" w:rsidRDefault="00903D01" w:rsidP="00903D01">
      <w:pPr>
        <w:spacing w:before="240"/>
        <w:rPr>
          <w:rFonts w:ascii="Calibri" w:hAnsi="Calibri" w:cs="Calibri"/>
          <w:sz w:val="24"/>
          <w:szCs w:val="24"/>
        </w:rPr>
      </w:pPr>
    </w:p>
    <w:p w14:paraId="53FDCBF7" w14:textId="3A427348"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Cohen, L., Manion, L. and Morrison, K. (2018) </w:t>
      </w:r>
      <w:r w:rsidR="004E1F12">
        <w:rPr>
          <w:rFonts w:ascii="Calibri" w:hAnsi="Calibri" w:cs="Calibri"/>
          <w:sz w:val="24"/>
          <w:szCs w:val="24"/>
        </w:rPr>
        <w:t xml:space="preserve">. </w:t>
      </w:r>
      <w:r w:rsidRPr="00903D01">
        <w:rPr>
          <w:rFonts w:ascii="Calibri" w:hAnsi="Calibri" w:cs="Calibri"/>
          <w:i/>
          <w:iCs/>
          <w:sz w:val="24"/>
          <w:szCs w:val="24"/>
        </w:rPr>
        <w:t>Research methods in education</w:t>
      </w:r>
      <w:r w:rsidRPr="00903D01">
        <w:rPr>
          <w:rFonts w:ascii="Calibri" w:hAnsi="Calibri" w:cs="Calibri"/>
          <w:sz w:val="24"/>
          <w:szCs w:val="24"/>
        </w:rPr>
        <w:t>. 8th edn. London: Routledge.</w:t>
      </w:r>
    </w:p>
    <w:p w14:paraId="77B5DC1F" w14:textId="77777777" w:rsidR="00903D01" w:rsidRPr="00903D01" w:rsidRDefault="00903D01" w:rsidP="00903D01">
      <w:pPr>
        <w:pStyle w:val="ListParagraph"/>
        <w:rPr>
          <w:rFonts w:ascii="Calibri" w:hAnsi="Calibri" w:cs="Calibri"/>
          <w:sz w:val="24"/>
          <w:szCs w:val="24"/>
        </w:rPr>
      </w:pPr>
    </w:p>
    <w:p w14:paraId="13B090F6" w14:textId="77777777" w:rsidR="00903D01" w:rsidRPr="00903D01" w:rsidRDefault="00903D01" w:rsidP="00903D01">
      <w:pPr>
        <w:spacing w:before="240"/>
        <w:rPr>
          <w:rFonts w:ascii="Calibri" w:hAnsi="Calibri" w:cs="Calibri"/>
          <w:sz w:val="24"/>
          <w:szCs w:val="24"/>
        </w:rPr>
      </w:pPr>
    </w:p>
    <w:p w14:paraId="4A8692AE"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College of Policing (2024) </w:t>
      </w:r>
      <w:r w:rsidRPr="00903D01">
        <w:rPr>
          <w:rFonts w:ascii="Calibri" w:hAnsi="Calibri" w:cs="Calibri"/>
          <w:i/>
          <w:iCs/>
          <w:sz w:val="24"/>
          <w:szCs w:val="24"/>
        </w:rPr>
        <w:t>Armed policing: authorised professional practice</w:t>
      </w:r>
      <w:r w:rsidRPr="00903D01">
        <w:rPr>
          <w:rFonts w:ascii="Calibri" w:hAnsi="Calibri" w:cs="Calibri"/>
          <w:sz w:val="24"/>
          <w:szCs w:val="24"/>
        </w:rPr>
        <w:t>. [online] Available at: &lt;https://www.college.police.uk/app/armed-policing&gt; [Accessed 8 August 2025].</w:t>
      </w:r>
    </w:p>
    <w:p w14:paraId="6545724F" w14:textId="77777777" w:rsidR="00903D01" w:rsidRPr="00903D01" w:rsidRDefault="00903D01" w:rsidP="00903D01">
      <w:pPr>
        <w:spacing w:before="240"/>
        <w:rPr>
          <w:rFonts w:ascii="Calibri" w:hAnsi="Calibri" w:cs="Calibri"/>
          <w:sz w:val="24"/>
          <w:szCs w:val="24"/>
        </w:rPr>
      </w:pPr>
    </w:p>
    <w:p w14:paraId="27B5EFC9"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College of Policing (2024) </w:t>
      </w:r>
      <w:r w:rsidRPr="00903D01">
        <w:rPr>
          <w:rFonts w:ascii="Calibri" w:hAnsi="Calibri" w:cs="Calibri"/>
          <w:i/>
          <w:iCs/>
          <w:sz w:val="24"/>
          <w:szCs w:val="24"/>
        </w:rPr>
        <w:t>National Decision Model</w:t>
      </w:r>
      <w:r w:rsidRPr="00903D01">
        <w:rPr>
          <w:rFonts w:ascii="Calibri" w:hAnsi="Calibri" w:cs="Calibri"/>
          <w:sz w:val="24"/>
          <w:szCs w:val="24"/>
        </w:rPr>
        <w:t>. [online] Available at: &lt;https://www.college.police.uk/national-decision-model&gt; [Accessed 15 September 2025].</w:t>
      </w:r>
    </w:p>
    <w:p w14:paraId="1A6EFC51" w14:textId="77777777" w:rsidR="00903D01" w:rsidRPr="00903D01" w:rsidRDefault="00903D01" w:rsidP="00903D01">
      <w:pPr>
        <w:spacing w:before="240"/>
        <w:rPr>
          <w:rFonts w:ascii="Calibri" w:hAnsi="Calibri" w:cs="Calibri"/>
          <w:sz w:val="24"/>
          <w:szCs w:val="24"/>
        </w:rPr>
      </w:pPr>
    </w:p>
    <w:p w14:paraId="09BCABF1"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Creswell, J.W. (2014) </w:t>
      </w:r>
      <w:r w:rsidRPr="00903D01">
        <w:rPr>
          <w:rFonts w:ascii="Calibri" w:hAnsi="Calibri" w:cs="Calibri"/>
          <w:i/>
          <w:iCs/>
          <w:sz w:val="24"/>
          <w:szCs w:val="24"/>
        </w:rPr>
        <w:t>Research design: qualitative, quantitative, and mixed methods approaches</w:t>
      </w:r>
      <w:r w:rsidRPr="00903D01">
        <w:rPr>
          <w:rFonts w:ascii="Calibri" w:hAnsi="Calibri" w:cs="Calibri"/>
          <w:sz w:val="24"/>
          <w:szCs w:val="24"/>
        </w:rPr>
        <w:t>. 4th edn. Thousand Oaks, CA: SAGE Publications.</w:t>
      </w:r>
    </w:p>
    <w:p w14:paraId="4F9F5BCF" w14:textId="77777777" w:rsidR="00903D01" w:rsidRPr="00903D01" w:rsidRDefault="00903D01" w:rsidP="00903D01">
      <w:pPr>
        <w:spacing w:before="240"/>
        <w:rPr>
          <w:rFonts w:ascii="Calibri" w:hAnsi="Calibri" w:cs="Calibri"/>
          <w:sz w:val="24"/>
          <w:szCs w:val="24"/>
        </w:rPr>
      </w:pPr>
    </w:p>
    <w:p w14:paraId="261CFFB0"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Edwards, J. (2021) </w:t>
      </w:r>
      <w:r w:rsidRPr="00903D01">
        <w:rPr>
          <w:rFonts w:ascii="Calibri" w:hAnsi="Calibri" w:cs="Calibri"/>
          <w:i/>
          <w:iCs/>
          <w:sz w:val="24"/>
          <w:szCs w:val="24"/>
        </w:rPr>
        <w:t>Practitioner perspectives of the utility of the National Decision Model in relation to criminal investigations and response policing</w:t>
      </w:r>
      <w:r w:rsidRPr="00903D01">
        <w:rPr>
          <w:rFonts w:ascii="Calibri" w:hAnsi="Calibri" w:cs="Calibri"/>
          <w:sz w:val="24"/>
          <w:szCs w:val="24"/>
        </w:rPr>
        <w:t>. Master’s thesis. Canterbury Christ Church University.</w:t>
      </w:r>
    </w:p>
    <w:p w14:paraId="7F9F80FB" w14:textId="77777777" w:rsidR="00903D01" w:rsidRPr="00903D01" w:rsidRDefault="00903D01" w:rsidP="00903D01">
      <w:pPr>
        <w:spacing w:before="240"/>
        <w:rPr>
          <w:rFonts w:ascii="Calibri" w:hAnsi="Calibri" w:cs="Calibri"/>
          <w:sz w:val="24"/>
          <w:szCs w:val="24"/>
        </w:rPr>
      </w:pPr>
    </w:p>
    <w:p w14:paraId="4189D330"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Field, A.P. (2018) </w:t>
      </w:r>
      <w:r w:rsidRPr="00903D01">
        <w:rPr>
          <w:rFonts w:ascii="Calibri" w:hAnsi="Calibri" w:cs="Calibri"/>
          <w:i/>
          <w:iCs/>
          <w:sz w:val="24"/>
          <w:szCs w:val="24"/>
        </w:rPr>
        <w:t>Discovering statistics using IBM SPSS statistics</w:t>
      </w:r>
      <w:r w:rsidRPr="00903D01">
        <w:rPr>
          <w:rFonts w:ascii="Calibri" w:hAnsi="Calibri" w:cs="Calibri"/>
          <w:sz w:val="24"/>
          <w:szCs w:val="24"/>
        </w:rPr>
        <w:t>. 5th edn. London: SAGE Publications.</w:t>
      </w:r>
    </w:p>
    <w:p w14:paraId="04AA6D2A" w14:textId="77777777" w:rsidR="00903D01" w:rsidRPr="00903D01" w:rsidRDefault="00903D01" w:rsidP="00903D01">
      <w:pPr>
        <w:spacing w:before="240"/>
        <w:rPr>
          <w:rFonts w:ascii="Calibri" w:hAnsi="Calibri" w:cs="Calibri"/>
          <w:sz w:val="24"/>
          <w:szCs w:val="24"/>
        </w:rPr>
      </w:pPr>
    </w:p>
    <w:p w14:paraId="5F77A084"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Go, J. (2023) </w:t>
      </w:r>
      <w:r w:rsidRPr="00903D01">
        <w:rPr>
          <w:rFonts w:ascii="Calibri" w:hAnsi="Calibri" w:cs="Calibri"/>
          <w:i/>
          <w:iCs/>
          <w:sz w:val="24"/>
          <w:szCs w:val="24"/>
        </w:rPr>
        <w:t>Policing empires: Militarisation, race, and the imperial boomerang in Britain and the US</w:t>
      </w:r>
      <w:r w:rsidRPr="00903D01">
        <w:rPr>
          <w:rFonts w:ascii="Calibri" w:hAnsi="Calibri" w:cs="Calibri"/>
          <w:sz w:val="24"/>
          <w:szCs w:val="24"/>
        </w:rPr>
        <w:t>. Oxford: Oxford University Press.</w:t>
      </w:r>
    </w:p>
    <w:p w14:paraId="1C4280B6" w14:textId="77777777" w:rsidR="00903D01" w:rsidRPr="00903D01" w:rsidRDefault="00903D01" w:rsidP="00903D01">
      <w:pPr>
        <w:spacing w:before="240"/>
        <w:rPr>
          <w:rFonts w:ascii="Calibri" w:hAnsi="Calibri" w:cs="Calibri"/>
          <w:sz w:val="24"/>
          <w:szCs w:val="24"/>
        </w:rPr>
      </w:pPr>
    </w:p>
    <w:p w14:paraId="0B55DE1E"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Innes, M. (2020) </w:t>
      </w:r>
      <w:r w:rsidRPr="00903D01">
        <w:rPr>
          <w:rFonts w:ascii="Calibri" w:hAnsi="Calibri" w:cs="Calibri"/>
          <w:i/>
          <w:iCs/>
          <w:sz w:val="24"/>
          <w:szCs w:val="24"/>
        </w:rPr>
        <w:t>Policing uncertainty: Countering terrorism, maintaining order</w:t>
      </w:r>
      <w:r w:rsidRPr="00903D01">
        <w:rPr>
          <w:rFonts w:ascii="Calibri" w:hAnsi="Calibri" w:cs="Calibri"/>
          <w:sz w:val="24"/>
          <w:szCs w:val="24"/>
        </w:rPr>
        <w:t>. Oxford: Oxford University Press.</w:t>
      </w:r>
    </w:p>
    <w:p w14:paraId="3318AE14" w14:textId="77777777" w:rsidR="00903D01" w:rsidRPr="00903D01" w:rsidRDefault="00903D01" w:rsidP="00903D01">
      <w:pPr>
        <w:spacing w:before="240"/>
        <w:rPr>
          <w:rFonts w:ascii="Calibri" w:hAnsi="Calibri" w:cs="Calibri"/>
          <w:sz w:val="24"/>
          <w:szCs w:val="24"/>
        </w:rPr>
      </w:pPr>
    </w:p>
    <w:p w14:paraId="33B97F10" w14:textId="1CBE640D" w:rsidR="00903D01" w:rsidRP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Jackson, J., Bradford, B., Hough, M. and Murray, K. (2012) ‘Compliance with the law and Policing by consent: Notes on Police and legal legitimacy’, in Crawford, A. and Hucklesby, A. (eds.) </w:t>
      </w:r>
      <w:r w:rsidRPr="00903D01">
        <w:rPr>
          <w:rFonts w:ascii="Calibri" w:hAnsi="Calibri" w:cs="Calibri"/>
          <w:i/>
          <w:iCs/>
          <w:sz w:val="24"/>
          <w:szCs w:val="24"/>
        </w:rPr>
        <w:t>Legitimacy and compliance in criminal justice</w:t>
      </w:r>
      <w:r w:rsidRPr="00903D01">
        <w:rPr>
          <w:rFonts w:ascii="Calibri" w:hAnsi="Calibri" w:cs="Calibri"/>
          <w:sz w:val="24"/>
          <w:szCs w:val="24"/>
        </w:rPr>
        <w:t>. Abingdon: Routledge, pp. 29–49.</w:t>
      </w:r>
    </w:p>
    <w:p w14:paraId="2077EC85" w14:textId="77777777" w:rsidR="00903D01" w:rsidRPr="00903D01" w:rsidRDefault="00903D01" w:rsidP="00903D01">
      <w:pPr>
        <w:spacing w:before="240"/>
        <w:rPr>
          <w:rFonts w:ascii="Calibri" w:hAnsi="Calibri" w:cs="Calibri"/>
          <w:sz w:val="24"/>
          <w:szCs w:val="24"/>
        </w:rPr>
      </w:pPr>
    </w:p>
    <w:p w14:paraId="6DA9EEEE"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Jones, A. and Roberts, P. (2013) ‘Community trust in UK Police: The role of armed Policing’, </w:t>
      </w:r>
      <w:r w:rsidRPr="00903D01">
        <w:rPr>
          <w:rFonts w:ascii="Calibri" w:hAnsi="Calibri" w:cs="Calibri"/>
          <w:i/>
          <w:iCs/>
          <w:sz w:val="24"/>
          <w:szCs w:val="24"/>
        </w:rPr>
        <w:t>British Journal of Criminology</w:t>
      </w:r>
      <w:r w:rsidRPr="00903D01">
        <w:rPr>
          <w:rFonts w:ascii="Calibri" w:hAnsi="Calibri" w:cs="Calibri"/>
          <w:sz w:val="24"/>
          <w:szCs w:val="24"/>
        </w:rPr>
        <w:t>, 53(6), pp. 938–956.</w:t>
      </w:r>
    </w:p>
    <w:p w14:paraId="4E481308" w14:textId="77777777" w:rsidR="00903D01" w:rsidRPr="00903D01" w:rsidRDefault="00903D01" w:rsidP="00903D01">
      <w:pPr>
        <w:spacing w:before="240"/>
        <w:rPr>
          <w:rFonts w:ascii="Calibri" w:hAnsi="Calibri" w:cs="Calibri"/>
          <w:sz w:val="24"/>
          <w:szCs w:val="24"/>
        </w:rPr>
      </w:pPr>
    </w:p>
    <w:p w14:paraId="2B40094A"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Liederbach, J. (2008) ‘Police militarisation and the use of force in the United States’, </w:t>
      </w:r>
      <w:r w:rsidRPr="00903D01">
        <w:rPr>
          <w:rFonts w:ascii="Calibri" w:hAnsi="Calibri" w:cs="Calibri"/>
          <w:i/>
          <w:iCs/>
          <w:sz w:val="24"/>
          <w:szCs w:val="24"/>
        </w:rPr>
        <w:t>Policing: An International Journal of Police Strategies &amp; Management</w:t>
      </w:r>
      <w:r w:rsidRPr="00903D01">
        <w:rPr>
          <w:rFonts w:ascii="Calibri" w:hAnsi="Calibri" w:cs="Calibri"/>
          <w:sz w:val="24"/>
          <w:szCs w:val="24"/>
        </w:rPr>
        <w:t>, 31(2), pp. 179–197.</w:t>
      </w:r>
    </w:p>
    <w:p w14:paraId="550C5D2E" w14:textId="77777777" w:rsidR="00903D01" w:rsidRPr="00903D01" w:rsidRDefault="00903D01" w:rsidP="00903D01">
      <w:pPr>
        <w:spacing w:before="240"/>
        <w:rPr>
          <w:rFonts w:ascii="Calibri" w:hAnsi="Calibri" w:cs="Calibri"/>
          <w:sz w:val="24"/>
          <w:szCs w:val="24"/>
        </w:rPr>
      </w:pPr>
    </w:p>
    <w:p w14:paraId="52B113DA"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Loader, I. and Walker, N. (2007) </w:t>
      </w:r>
      <w:r w:rsidRPr="00903D01">
        <w:rPr>
          <w:rFonts w:ascii="Calibri" w:hAnsi="Calibri" w:cs="Calibri"/>
          <w:i/>
          <w:iCs/>
          <w:sz w:val="24"/>
          <w:szCs w:val="24"/>
        </w:rPr>
        <w:t>Civilizing security</w:t>
      </w:r>
      <w:r w:rsidRPr="00903D01">
        <w:rPr>
          <w:rFonts w:ascii="Calibri" w:hAnsi="Calibri" w:cs="Calibri"/>
          <w:sz w:val="24"/>
          <w:szCs w:val="24"/>
        </w:rPr>
        <w:t>. Cambridge: Cambridge University Press.</w:t>
      </w:r>
    </w:p>
    <w:p w14:paraId="1635CEC5" w14:textId="77777777" w:rsidR="00903D01" w:rsidRPr="00903D01" w:rsidRDefault="00903D01" w:rsidP="00903D01">
      <w:pPr>
        <w:spacing w:before="240"/>
        <w:rPr>
          <w:rFonts w:ascii="Calibri" w:hAnsi="Calibri" w:cs="Calibri"/>
          <w:sz w:val="24"/>
          <w:szCs w:val="24"/>
        </w:rPr>
      </w:pPr>
    </w:p>
    <w:p w14:paraId="6E538655"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Maile, A., Ritzenthaler, S., Thompson, A. and Kristjánsson, K. (2023) ‘Professional Police and the role of autonomy and discretion in decision-making: A qualitative study from a virtue ethical perspective’, </w:t>
      </w:r>
      <w:r w:rsidRPr="00903D01">
        <w:rPr>
          <w:rFonts w:ascii="Calibri" w:hAnsi="Calibri" w:cs="Calibri"/>
          <w:i/>
          <w:iCs/>
          <w:sz w:val="24"/>
          <w:szCs w:val="24"/>
        </w:rPr>
        <w:t>Policing: A Journal of Policy and Practice</w:t>
      </w:r>
      <w:r w:rsidRPr="00903D01">
        <w:rPr>
          <w:rFonts w:ascii="Calibri" w:hAnsi="Calibri" w:cs="Calibri"/>
          <w:sz w:val="24"/>
          <w:szCs w:val="24"/>
        </w:rPr>
        <w:t>.</w:t>
      </w:r>
    </w:p>
    <w:p w14:paraId="0CAA1BDF" w14:textId="77777777" w:rsidR="00903D01" w:rsidRPr="00903D01" w:rsidRDefault="00903D01" w:rsidP="00903D01">
      <w:pPr>
        <w:pStyle w:val="ListParagraph"/>
        <w:rPr>
          <w:rFonts w:ascii="Calibri" w:hAnsi="Calibri" w:cs="Calibri"/>
          <w:sz w:val="24"/>
          <w:szCs w:val="24"/>
        </w:rPr>
      </w:pPr>
    </w:p>
    <w:p w14:paraId="7FE4EECD" w14:textId="77777777" w:rsidR="00903D01" w:rsidRPr="00903D01" w:rsidRDefault="00903D01" w:rsidP="00903D01">
      <w:pPr>
        <w:pStyle w:val="ListParagraph"/>
        <w:spacing w:before="240"/>
        <w:rPr>
          <w:rFonts w:ascii="Calibri" w:hAnsi="Calibri" w:cs="Calibri"/>
          <w:sz w:val="24"/>
          <w:szCs w:val="24"/>
        </w:rPr>
      </w:pPr>
    </w:p>
    <w:p w14:paraId="1555598D"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McKeever, M. (2020) </w:t>
      </w:r>
      <w:r w:rsidRPr="00903D01">
        <w:rPr>
          <w:rFonts w:ascii="Calibri" w:hAnsi="Calibri" w:cs="Calibri"/>
          <w:i/>
          <w:iCs/>
          <w:sz w:val="24"/>
          <w:szCs w:val="24"/>
        </w:rPr>
        <w:t>Dealing with political demonstrations: Comparative study of Police organisations in the UK and France</w:t>
      </w:r>
      <w:r w:rsidRPr="00903D01">
        <w:rPr>
          <w:rFonts w:ascii="Calibri" w:hAnsi="Calibri" w:cs="Calibri"/>
          <w:sz w:val="24"/>
          <w:szCs w:val="24"/>
        </w:rPr>
        <w:t>. Master’s thesis. Leiden University.</w:t>
      </w:r>
    </w:p>
    <w:p w14:paraId="39CB8EEB" w14:textId="77777777" w:rsidR="00903D01" w:rsidRDefault="00903D01" w:rsidP="00903D01">
      <w:pPr>
        <w:pStyle w:val="ListParagraph"/>
        <w:spacing w:before="240"/>
        <w:rPr>
          <w:rFonts w:ascii="Calibri" w:hAnsi="Calibri" w:cs="Calibri"/>
          <w:sz w:val="24"/>
          <w:szCs w:val="24"/>
        </w:rPr>
      </w:pPr>
    </w:p>
    <w:p w14:paraId="36806DE5" w14:textId="77777777" w:rsidR="00903D01" w:rsidRPr="00903D01" w:rsidRDefault="00903D01" w:rsidP="00903D01">
      <w:pPr>
        <w:pStyle w:val="ListParagraph"/>
        <w:spacing w:before="240"/>
        <w:rPr>
          <w:rFonts w:ascii="Calibri" w:hAnsi="Calibri" w:cs="Calibri"/>
          <w:sz w:val="24"/>
          <w:szCs w:val="24"/>
        </w:rPr>
      </w:pPr>
    </w:p>
    <w:p w14:paraId="065934A4"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Neyroud, P. (2011) </w:t>
      </w:r>
      <w:r w:rsidRPr="00903D01">
        <w:rPr>
          <w:rFonts w:ascii="Calibri" w:hAnsi="Calibri" w:cs="Calibri"/>
          <w:i/>
          <w:iCs/>
          <w:sz w:val="24"/>
          <w:szCs w:val="24"/>
        </w:rPr>
        <w:t>Review of Police leadership and training</w:t>
      </w:r>
      <w:r w:rsidRPr="00903D01">
        <w:rPr>
          <w:rFonts w:ascii="Calibri" w:hAnsi="Calibri" w:cs="Calibri"/>
          <w:sz w:val="24"/>
          <w:szCs w:val="24"/>
        </w:rPr>
        <w:t>. London: Home Office.</w:t>
      </w:r>
    </w:p>
    <w:p w14:paraId="6B5CA781" w14:textId="77777777" w:rsidR="00903D01" w:rsidRPr="00903D01" w:rsidRDefault="00903D01" w:rsidP="00903D01">
      <w:pPr>
        <w:spacing w:before="240"/>
        <w:rPr>
          <w:rFonts w:ascii="Calibri" w:hAnsi="Calibri" w:cs="Calibri"/>
          <w:sz w:val="24"/>
          <w:szCs w:val="24"/>
        </w:rPr>
      </w:pPr>
    </w:p>
    <w:p w14:paraId="274536D2"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Reiner, R. (2010) </w:t>
      </w:r>
      <w:r w:rsidRPr="00903D01">
        <w:rPr>
          <w:rFonts w:ascii="Calibri" w:hAnsi="Calibri" w:cs="Calibri"/>
          <w:i/>
          <w:iCs/>
          <w:sz w:val="24"/>
          <w:szCs w:val="24"/>
        </w:rPr>
        <w:t>The politics of the Police</w:t>
      </w:r>
      <w:r w:rsidRPr="00903D01">
        <w:rPr>
          <w:rFonts w:ascii="Calibri" w:hAnsi="Calibri" w:cs="Calibri"/>
          <w:sz w:val="24"/>
          <w:szCs w:val="24"/>
        </w:rPr>
        <w:t>. 4th edn. Oxford: Oxford University Press.</w:t>
      </w:r>
    </w:p>
    <w:p w14:paraId="242C74F7" w14:textId="77777777" w:rsidR="00903D01" w:rsidRPr="00903D01" w:rsidRDefault="00903D01" w:rsidP="00903D01">
      <w:pPr>
        <w:spacing w:before="240"/>
        <w:rPr>
          <w:rFonts w:ascii="Calibri" w:hAnsi="Calibri" w:cs="Calibri"/>
          <w:sz w:val="24"/>
          <w:szCs w:val="24"/>
        </w:rPr>
      </w:pPr>
    </w:p>
    <w:p w14:paraId="2554D575"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Roycroft, M. (2014) </w:t>
      </w:r>
      <w:r w:rsidRPr="00903D01">
        <w:rPr>
          <w:rFonts w:ascii="Calibri" w:hAnsi="Calibri" w:cs="Calibri"/>
          <w:i/>
          <w:iCs/>
          <w:sz w:val="24"/>
          <w:szCs w:val="24"/>
        </w:rPr>
        <w:t>Valued tradition? Armed Policing in the UK</w:t>
      </w:r>
      <w:r w:rsidRPr="00903D01">
        <w:rPr>
          <w:rFonts w:ascii="Calibri" w:hAnsi="Calibri" w:cs="Calibri"/>
          <w:sz w:val="24"/>
          <w:szCs w:val="24"/>
        </w:rPr>
        <w:t>. University of East London Research Repository, Item 8584w.</w:t>
      </w:r>
    </w:p>
    <w:p w14:paraId="1CB7E5FF" w14:textId="77777777" w:rsidR="00903D01" w:rsidRPr="00903D01" w:rsidRDefault="00903D01" w:rsidP="00903D01">
      <w:pPr>
        <w:pStyle w:val="ListParagraph"/>
        <w:rPr>
          <w:rFonts w:ascii="Calibri" w:hAnsi="Calibri" w:cs="Calibri"/>
          <w:sz w:val="24"/>
          <w:szCs w:val="24"/>
        </w:rPr>
      </w:pPr>
    </w:p>
    <w:p w14:paraId="707D9487" w14:textId="77777777" w:rsidR="00903D01" w:rsidRPr="00903D01" w:rsidRDefault="00903D01" w:rsidP="00903D01">
      <w:pPr>
        <w:pStyle w:val="ListParagraph"/>
        <w:spacing w:before="240"/>
        <w:rPr>
          <w:rFonts w:ascii="Calibri" w:hAnsi="Calibri" w:cs="Calibri"/>
          <w:sz w:val="24"/>
          <w:szCs w:val="24"/>
        </w:rPr>
      </w:pPr>
    </w:p>
    <w:p w14:paraId="428DA1B3"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Sanders, A., Young, R. and Burton, M. (2024) </w:t>
      </w:r>
      <w:r w:rsidRPr="00903D01">
        <w:rPr>
          <w:rFonts w:ascii="Calibri" w:hAnsi="Calibri" w:cs="Calibri"/>
          <w:i/>
          <w:iCs/>
          <w:sz w:val="24"/>
          <w:szCs w:val="24"/>
        </w:rPr>
        <w:t>Criminal justice</w:t>
      </w:r>
      <w:r w:rsidRPr="00903D01">
        <w:rPr>
          <w:rFonts w:ascii="Calibri" w:hAnsi="Calibri" w:cs="Calibri"/>
          <w:sz w:val="24"/>
          <w:szCs w:val="24"/>
        </w:rPr>
        <w:t>. 6th edn. Oxford: Oxford University Press.</w:t>
      </w:r>
    </w:p>
    <w:p w14:paraId="2232288A" w14:textId="77777777" w:rsidR="00903D01" w:rsidRPr="00903D01" w:rsidRDefault="00903D01" w:rsidP="00903D01">
      <w:pPr>
        <w:spacing w:before="240"/>
        <w:rPr>
          <w:rFonts w:ascii="Calibri" w:hAnsi="Calibri" w:cs="Calibri"/>
          <w:sz w:val="24"/>
          <w:szCs w:val="24"/>
        </w:rPr>
      </w:pPr>
    </w:p>
    <w:p w14:paraId="4E8132B5" w14:textId="73CDECD8"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Sanders, M., Bancroft, K., Hume, S., Chetwynd, O. and Quinton, P. (2024) ‘The impact of training on use of force by Police in an English Police force: Evidence from a pragmatic stepped wedge randomised controlled trial’, </w:t>
      </w:r>
      <w:r w:rsidRPr="00903D01">
        <w:rPr>
          <w:rFonts w:ascii="Calibri" w:hAnsi="Calibri" w:cs="Calibri"/>
          <w:i/>
          <w:iCs/>
          <w:sz w:val="24"/>
          <w:szCs w:val="24"/>
        </w:rPr>
        <w:t>Justice Evaluation Journal</w:t>
      </w:r>
      <w:r w:rsidRPr="00903D01">
        <w:rPr>
          <w:rFonts w:ascii="Calibri" w:hAnsi="Calibri" w:cs="Calibri"/>
          <w:sz w:val="24"/>
          <w:szCs w:val="24"/>
        </w:rPr>
        <w:t>. doi:10.1080/24751979.2024.2412333.</w:t>
      </w:r>
    </w:p>
    <w:p w14:paraId="16310B67" w14:textId="77777777" w:rsidR="00903D01" w:rsidRPr="00903D01" w:rsidRDefault="00903D01" w:rsidP="00903D01">
      <w:pPr>
        <w:pStyle w:val="ListParagraph"/>
        <w:rPr>
          <w:rFonts w:ascii="Calibri" w:hAnsi="Calibri" w:cs="Calibri"/>
          <w:sz w:val="24"/>
          <w:szCs w:val="24"/>
        </w:rPr>
      </w:pPr>
    </w:p>
    <w:p w14:paraId="3D5237BC" w14:textId="77777777" w:rsidR="00903D01" w:rsidRPr="00903D01" w:rsidRDefault="00903D01" w:rsidP="00903D01">
      <w:pPr>
        <w:pStyle w:val="ListParagraph"/>
        <w:spacing w:before="240"/>
        <w:rPr>
          <w:rFonts w:ascii="Calibri" w:hAnsi="Calibri" w:cs="Calibri"/>
          <w:sz w:val="24"/>
          <w:szCs w:val="24"/>
        </w:rPr>
      </w:pPr>
    </w:p>
    <w:p w14:paraId="12CB0EFB" w14:textId="375BBBF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Sherman, L. (2013) ‘The rise of evidence-based Policing: Targeting, testing, and tracking’, </w:t>
      </w:r>
      <w:r w:rsidRPr="00903D01">
        <w:rPr>
          <w:rFonts w:ascii="Calibri" w:hAnsi="Calibri" w:cs="Calibri"/>
          <w:i/>
          <w:iCs/>
          <w:sz w:val="24"/>
          <w:szCs w:val="24"/>
        </w:rPr>
        <w:t>Crime and Justice</w:t>
      </w:r>
      <w:r w:rsidRPr="00903D01">
        <w:rPr>
          <w:rFonts w:ascii="Calibri" w:hAnsi="Calibri" w:cs="Calibri"/>
          <w:sz w:val="24"/>
          <w:szCs w:val="24"/>
        </w:rPr>
        <w:t>, 42(1), pp. 377–451.</w:t>
      </w:r>
    </w:p>
    <w:p w14:paraId="199B5DC6" w14:textId="77777777" w:rsidR="00903D01" w:rsidRPr="00903D01" w:rsidRDefault="00903D01" w:rsidP="00903D01">
      <w:pPr>
        <w:spacing w:before="240"/>
        <w:rPr>
          <w:rFonts w:ascii="Calibri" w:hAnsi="Calibri" w:cs="Calibri"/>
          <w:sz w:val="24"/>
          <w:szCs w:val="24"/>
        </w:rPr>
      </w:pPr>
    </w:p>
    <w:p w14:paraId="3C3E2147"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lastRenderedPageBreak/>
        <w:t>Taylor, E. (2015) ‘Policing in a post-modern society: Armed vs. unarmed approaches’, </w:t>
      </w:r>
      <w:r w:rsidRPr="00903D01">
        <w:rPr>
          <w:rFonts w:ascii="Calibri" w:hAnsi="Calibri" w:cs="Calibri"/>
          <w:i/>
          <w:iCs/>
          <w:sz w:val="24"/>
          <w:szCs w:val="24"/>
        </w:rPr>
        <w:t>International Journal of Law, Crime and Justice</w:t>
      </w:r>
      <w:r w:rsidRPr="00903D01">
        <w:rPr>
          <w:rFonts w:ascii="Calibri" w:hAnsi="Calibri" w:cs="Calibri"/>
          <w:sz w:val="24"/>
          <w:szCs w:val="24"/>
        </w:rPr>
        <w:t>, 43(1), pp. 58–77.</w:t>
      </w:r>
    </w:p>
    <w:p w14:paraId="34AC34F3" w14:textId="77777777" w:rsidR="00903D01" w:rsidRPr="00903D01" w:rsidRDefault="00903D01" w:rsidP="00903D01">
      <w:pPr>
        <w:spacing w:before="240"/>
        <w:rPr>
          <w:rFonts w:ascii="Calibri" w:hAnsi="Calibri" w:cs="Calibri"/>
          <w:sz w:val="24"/>
          <w:szCs w:val="24"/>
        </w:rPr>
      </w:pPr>
    </w:p>
    <w:p w14:paraId="368F74DD"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Taylor, M. (2015) </w:t>
      </w:r>
      <w:r w:rsidRPr="00903D01">
        <w:rPr>
          <w:rFonts w:ascii="Calibri" w:hAnsi="Calibri" w:cs="Calibri"/>
          <w:i/>
          <w:iCs/>
          <w:sz w:val="24"/>
          <w:szCs w:val="24"/>
        </w:rPr>
        <w:t>Policing and the use of force</w:t>
      </w:r>
      <w:r w:rsidRPr="00903D01">
        <w:rPr>
          <w:rFonts w:ascii="Calibri" w:hAnsi="Calibri" w:cs="Calibri"/>
          <w:sz w:val="24"/>
          <w:szCs w:val="24"/>
        </w:rPr>
        <w:t>. London: Routledge.</w:t>
      </w:r>
    </w:p>
    <w:p w14:paraId="040397B7" w14:textId="77777777" w:rsidR="00903D01" w:rsidRPr="00903D01" w:rsidRDefault="00903D01" w:rsidP="00903D01">
      <w:pPr>
        <w:spacing w:before="240"/>
        <w:rPr>
          <w:rFonts w:ascii="Calibri" w:hAnsi="Calibri" w:cs="Calibri"/>
          <w:sz w:val="24"/>
          <w:szCs w:val="24"/>
        </w:rPr>
      </w:pPr>
    </w:p>
    <w:p w14:paraId="3883147B"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University of Wales Trinity Saint David (UWTSD) (2023) </w:t>
      </w:r>
      <w:r w:rsidRPr="00903D01">
        <w:rPr>
          <w:rFonts w:ascii="Calibri" w:hAnsi="Calibri" w:cs="Calibri"/>
          <w:i/>
          <w:iCs/>
          <w:sz w:val="24"/>
          <w:szCs w:val="24"/>
        </w:rPr>
        <w:t>Referencing handbook: Harvard</w:t>
      </w:r>
      <w:r w:rsidRPr="00903D01">
        <w:rPr>
          <w:rFonts w:ascii="Calibri" w:hAnsi="Calibri" w:cs="Calibri"/>
          <w:sz w:val="24"/>
          <w:szCs w:val="24"/>
        </w:rPr>
        <w:t>. Version 1.3. [online] Available at: &lt;https://intranet.uwtsd.ac.uk/sites/intranet/files/2023-10/Harvard%20en_v.1.3%20%28V6%29.pdf&gt; [Accessed 20 August 2025].</w:t>
      </w:r>
    </w:p>
    <w:p w14:paraId="67B876A1" w14:textId="77777777" w:rsidR="00903D01" w:rsidRPr="00903D01" w:rsidRDefault="00903D01" w:rsidP="00903D01">
      <w:pPr>
        <w:spacing w:before="240"/>
        <w:rPr>
          <w:rFonts w:ascii="Calibri" w:hAnsi="Calibri" w:cs="Calibri"/>
          <w:sz w:val="24"/>
          <w:szCs w:val="24"/>
        </w:rPr>
      </w:pPr>
    </w:p>
    <w:p w14:paraId="17B5967E"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Waddington, P.A.J. (2011) </w:t>
      </w:r>
      <w:r w:rsidRPr="00903D01">
        <w:rPr>
          <w:rFonts w:ascii="Calibri" w:hAnsi="Calibri" w:cs="Calibri"/>
          <w:i/>
          <w:iCs/>
          <w:sz w:val="24"/>
          <w:szCs w:val="24"/>
        </w:rPr>
        <w:t>Policing citizens</w:t>
      </w:r>
      <w:r w:rsidRPr="00903D01">
        <w:rPr>
          <w:rFonts w:ascii="Calibri" w:hAnsi="Calibri" w:cs="Calibri"/>
          <w:sz w:val="24"/>
          <w:szCs w:val="24"/>
        </w:rPr>
        <w:t>. London: Routledge.</w:t>
      </w:r>
    </w:p>
    <w:p w14:paraId="5CC07BA3" w14:textId="77777777" w:rsidR="00903D01" w:rsidRPr="00903D01" w:rsidRDefault="00903D01" w:rsidP="00903D01">
      <w:pPr>
        <w:spacing w:before="240"/>
        <w:rPr>
          <w:rFonts w:ascii="Calibri" w:hAnsi="Calibri" w:cs="Calibri"/>
          <w:sz w:val="24"/>
          <w:szCs w:val="24"/>
        </w:rPr>
      </w:pPr>
    </w:p>
    <w:p w14:paraId="2C5B1127"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Williams, F. (2017) ‘Ethical challenges in arming the Police: A comparative analysis’, </w:t>
      </w:r>
      <w:r w:rsidRPr="00903D01">
        <w:rPr>
          <w:rFonts w:ascii="Calibri" w:hAnsi="Calibri" w:cs="Calibri"/>
          <w:i/>
          <w:iCs/>
          <w:sz w:val="24"/>
          <w:szCs w:val="24"/>
        </w:rPr>
        <w:t>Journal of Ethics and Public Policy</w:t>
      </w:r>
      <w:r w:rsidRPr="00903D01">
        <w:rPr>
          <w:rFonts w:ascii="Calibri" w:hAnsi="Calibri" w:cs="Calibri"/>
          <w:sz w:val="24"/>
          <w:szCs w:val="24"/>
        </w:rPr>
        <w:t>, 13(2), pp. 112–130.</w:t>
      </w:r>
    </w:p>
    <w:p w14:paraId="08B44851" w14:textId="77777777" w:rsidR="00903D01" w:rsidRPr="00903D01" w:rsidRDefault="00903D01" w:rsidP="00903D01">
      <w:pPr>
        <w:spacing w:before="240"/>
        <w:rPr>
          <w:rFonts w:ascii="Calibri" w:hAnsi="Calibri" w:cs="Calibri"/>
          <w:sz w:val="24"/>
          <w:szCs w:val="24"/>
        </w:rPr>
      </w:pPr>
    </w:p>
    <w:p w14:paraId="3CADD38B"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Yesberg, J., Bradford, B. and Dawson, P. (2021) ‘An experimental study of responses to armed Police in Great Britain’, </w:t>
      </w:r>
      <w:r w:rsidRPr="00903D01">
        <w:rPr>
          <w:rFonts w:ascii="Calibri" w:hAnsi="Calibri" w:cs="Calibri"/>
          <w:i/>
          <w:iCs/>
          <w:sz w:val="24"/>
          <w:szCs w:val="24"/>
        </w:rPr>
        <w:t>Journal of Experimental Criminology</w:t>
      </w:r>
      <w:r w:rsidRPr="00903D01">
        <w:rPr>
          <w:rFonts w:ascii="Calibri" w:hAnsi="Calibri" w:cs="Calibri"/>
          <w:sz w:val="24"/>
          <w:szCs w:val="24"/>
        </w:rPr>
        <w:t>, 17, pp. 1–13.</w:t>
      </w:r>
    </w:p>
    <w:p w14:paraId="25A0B9A4" w14:textId="77777777" w:rsidR="00903D01" w:rsidRPr="00903D01" w:rsidRDefault="00903D01" w:rsidP="00903D01">
      <w:pPr>
        <w:spacing w:before="240"/>
        <w:rPr>
          <w:rFonts w:ascii="Calibri" w:hAnsi="Calibri" w:cs="Calibri"/>
          <w:sz w:val="24"/>
          <w:szCs w:val="24"/>
        </w:rPr>
      </w:pPr>
    </w:p>
    <w:p w14:paraId="7399552F" w14:textId="77777777" w:rsid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Yesberg, J., Bradford, B. and Jackson, J. (2021) ‘Public confidence in Policing: Legitimacy, consent and compliance’, </w:t>
      </w:r>
      <w:r w:rsidRPr="00903D01">
        <w:rPr>
          <w:rFonts w:ascii="Calibri" w:hAnsi="Calibri" w:cs="Calibri"/>
          <w:i/>
          <w:iCs/>
          <w:sz w:val="24"/>
          <w:szCs w:val="24"/>
        </w:rPr>
        <w:t>Policing and Society</w:t>
      </w:r>
      <w:r w:rsidRPr="00903D01">
        <w:rPr>
          <w:rFonts w:ascii="Calibri" w:hAnsi="Calibri" w:cs="Calibri"/>
          <w:sz w:val="24"/>
          <w:szCs w:val="24"/>
        </w:rPr>
        <w:t>, 31(2), pp. 123–140.</w:t>
      </w:r>
    </w:p>
    <w:p w14:paraId="5EE64A8E" w14:textId="77777777" w:rsidR="00903D01" w:rsidRPr="00903D01" w:rsidRDefault="00903D01" w:rsidP="00903D01">
      <w:pPr>
        <w:spacing w:before="240"/>
        <w:rPr>
          <w:rFonts w:ascii="Calibri" w:hAnsi="Calibri" w:cs="Calibri"/>
          <w:sz w:val="24"/>
          <w:szCs w:val="24"/>
        </w:rPr>
      </w:pPr>
    </w:p>
    <w:p w14:paraId="413FE708" w14:textId="507F97BE" w:rsidR="00903D01" w:rsidRPr="00903D01" w:rsidRDefault="00903D01" w:rsidP="00903D01">
      <w:pPr>
        <w:pStyle w:val="ListParagraph"/>
        <w:numPr>
          <w:ilvl w:val="0"/>
          <w:numId w:val="28"/>
        </w:numPr>
        <w:spacing w:before="240"/>
        <w:rPr>
          <w:rFonts w:ascii="Calibri" w:hAnsi="Calibri" w:cs="Calibri"/>
          <w:sz w:val="24"/>
          <w:szCs w:val="24"/>
        </w:rPr>
      </w:pPr>
      <w:r w:rsidRPr="00903D01">
        <w:rPr>
          <w:rFonts w:ascii="Calibri" w:hAnsi="Calibri" w:cs="Calibri"/>
          <w:sz w:val="24"/>
          <w:szCs w:val="24"/>
        </w:rPr>
        <w:t>Yesberg, J.A., Kyprianides, A., Bradford, B., Milani, J., Quinton, P. and Clark-Darby, O. (2022) ‘Race and support for Police use of force: Findings from the UK’, </w:t>
      </w:r>
      <w:r w:rsidRPr="00903D01">
        <w:rPr>
          <w:rFonts w:ascii="Calibri" w:hAnsi="Calibri" w:cs="Calibri"/>
          <w:i/>
          <w:iCs/>
          <w:sz w:val="24"/>
          <w:szCs w:val="24"/>
        </w:rPr>
        <w:t>Policing and Society</w:t>
      </w:r>
      <w:r w:rsidRPr="00903D01">
        <w:rPr>
          <w:rFonts w:ascii="Calibri" w:hAnsi="Calibri" w:cs="Calibri"/>
          <w:sz w:val="24"/>
          <w:szCs w:val="24"/>
        </w:rPr>
        <w:t>, 32(7), pp. 878–895.</w:t>
      </w:r>
    </w:p>
    <w:p w14:paraId="28A97923" w14:textId="77777777" w:rsidR="00015055" w:rsidRPr="007D5A11" w:rsidRDefault="00015055" w:rsidP="00015055">
      <w:pPr>
        <w:pStyle w:val="Heading1"/>
        <w:rPr>
          <w:rFonts w:ascii="Calibri" w:hAnsi="Calibri" w:cs="Calibri"/>
          <w:b/>
          <w:bCs/>
          <w:color w:val="auto"/>
          <w:sz w:val="24"/>
          <w:szCs w:val="24"/>
        </w:rPr>
      </w:pPr>
      <w:bookmarkStart w:id="67" w:name="_Toc209826995"/>
      <w:r w:rsidRPr="007D5A11">
        <w:rPr>
          <w:rFonts w:ascii="Calibri" w:hAnsi="Calibri" w:cs="Calibri"/>
          <w:b/>
          <w:bCs/>
          <w:color w:val="auto"/>
          <w:sz w:val="24"/>
          <w:szCs w:val="24"/>
        </w:rPr>
        <w:lastRenderedPageBreak/>
        <w:t>Appendix A – Police Officer Survey Questionnaire</w:t>
      </w:r>
      <w:bookmarkEnd w:id="67"/>
    </w:p>
    <w:p w14:paraId="67C97A65" w14:textId="77777777" w:rsidR="00015055" w:rsidRPr="007D5A11" w:rsidRDefault="00015055" w:rsidP="00015055">
      <w:pPr>
        <w:pStyle w:val="Heading1"/>
        <w:rPr>
          <w:rFonts w:ascii="Calibri" w:hAnsi="Calibri" w:cs="Calibri"/>
          <w:color w:val="auto"/>
          <w:sz w:val="24"/>
          <w:szCs w:val="24"/>
        </w:rPr>
      </w:pPr>
      <w:bookmarkStart w:id="68" w:name="_Toc209810398"/>
      <w:bookmarkStart w:id="69" w:name="_Toc209826996"/>
      <w:r w:rsidRPr="007D5A11">
        <w:rPr>
          <w:rFonts w:ascii="Calibri" w:hAnsi="Calibri" w:cs="Calibri"/>
          <w:b/>
          <w:bCs/>
          <w:color w:val="auto"/>
          <w:sz w:val="24"/>
          <w:szCs w:val="24"/>
        </w:rPr>
        <w:t>Section 1: Demographics</w:t>
      </w:r>
      <w:bookmarkEnd w:id="68"/>
      <w:bookmarkEnd w:id="69"/>
      <w:r w:rsidRPr="007D5A11">
        <w:rPr>
          <w:rFonts w:ascii="Calibri" w:hAnsi="Calibri" w:cs="Calibri"/>
          <w:color w:val="auto"/>
          <w:sz w:val="24"/>
          <w:szCs w:val="24"/>
        </w:rPr>
        <w:t> </w:t>
      </w:r>
    </w:p>
    <w:p w14:paraId="5E63C42A" w14:textId="77777777" w:rsidR="00015055" w:rsidRPr="007D5A11" w:rsidRDefault="00015055" w:rsidP="00015055">
      <w:pPr>
        <w:pStyle w:val="Heading1"/>
        <w:rPr>
          <w:rFonts w:ascii="Calibri" w:hAnsi="Calibri" w:cs="Calibri"/>
          <w:color w:val="auto"/>
          <w:sz w:val="24"/>
          <w:szCs w:val="24"/>
        </w:rPr>
      </w:pPr>
      <w:bookmarkStart w:id="70" w:name="_Toc209810399"/>
      <w:bookmarkStart w:id="71" w:name="_Toc209826997"/>
      <w:r w:rsidRPr="007D5A11">
        <w:rPr>
          <w:rFonts w:ascii="Calibri" w:hAnsi="Calibri" w:cs="Calibri"/>
          <w:color w:val="auto"/>
          <w:sz w:val="24"/>
          <w:szCs w:val="24"/>
        </w:rPr>
        <w:t>Q1. What is your age?</w:t>
      </w:r>
      <w:bookmarkEnd w:id="70"/>
      <w:bookmarkEnd w:id="71"/>
      <w:r w:rsidRPr="007D5A11">
        <w:rPr>
          <w:rFonts w:ascii="Calibri" w:hAnsi="Calibri" w:cs="Calibri"/>
          <w:color w:val="auto"/>
          <w:sz w:val="24"/>
          <w:szCs w:val="24"/>
        </w:rPr>
        <w:t xml:space="preserve"> </w:t>
      </w:r>
    </w:p>
    <w:p w14:paraId="4801EBF6" w14:textId="77777777" w:rsidR="00015055" w:rsidRPr="007D5A11" w:rsidRDefault="00015055" w:rsidP="00015055">
      <w:pPr>
        <w:pStyle w:val="Heading1"/>
        <w:rPr>
          <w:rFonts w:ascii="Calibri" w:hAnsi="Calibri" w:cs="Calibri"/>
          <w:color w:val="auto"/>
          <w:sz w:val="24"/>
          <w:szCs w:val="24"/>
        </w:rPr>
      </w:pPr>
      <w:bookmarkStart w:id="72" w:name="_Toc209810400"/>
      <w:bookmarkStart w:id="73" w:name="_Toc209826998"/>
      <w:r w:rsidRPr="007D5A11">
        <w:rPr>
          <w:rFonts w:ascii="Calibri" w:hAnsi="Calibri" w:cs="Calibri"/>
          <w:color w:val="auto"/>
          <w:sz w:val="24"/>
          <w:szCs w:val="24"/>
        </w:rPr>
        <w:t>Q2. What is your gender?</w:t>
      </w:r>
      <w:bookmarkEnd w:id="72"/>
      <w:bookmarkEnd w:id="73"/>
      <w:r w:rsidRPr="007D5A11">
        <w:rPr>
          <w:rFonts w:ascii="Calibri" w:hAnsi="Calibri" w:cs="Calibri"/>
          <w:color w:val="auto"/>
          <w:sz w:val="24"/>
          <w:szCs w:val="24"/>
        </w:rPr>
        <w:t xml:space="preserve"> </w:t>
      </w:r>
    </w:p>
    <w:p w14:paraId="2723775C" w14:textId="77777777" w:rsidR="00015055" w:rsidRPr="007D5A11" w:rsidRDefault="00015055" w:rsidP="00015055">
      <w:pPr>
        <w:pStyle w:val="Heading1"/>
        <w:rPr>
          <w:rFonts w:ascii="Calibri" w:hAnsi="Calibri" w:cs="Calibri"/>
          <w:color w:val="auto"/>
          <w:sz w:val="24"/>
          <w:szCs w:val="24"/>
        </w:rPr>
      </w:pPr>
      <w:bookmarkStart w:id="74" w:name="_Toc209810401"/>
      <w:bookmarkStart w:id="75" w:name="_Toc209826999"/>
      <w:r w:rsidRPr="007D5A11">
        <w:rPr>
          <w:rFonts w:ascii="Calibri" w:hAnsi="Calibri" w:cs="Calibri"/>
          <w:color w:val="auto"/>
          <w:sz w:val="24"/>
          <w:szCs w:val="24"/>
        </w:rPr>
        <w:t>Q3. What is your ethnicity?</w:t>
      </w:r>
      <w:bookmarkEnd w:id="74"/>
      <w:bookmarkEnd w:id="75"/>
      <w:r w:rsidRPr="007D5A11">
        <w:rPr>
          <w:rFonts w:ascii="Calibri" w:hAnsi="Calibri" w:cs="Calibri"/>
          <w:color w:val="auto"/>
          <w:sz w:val="24"/>
          <w:szCs w:val="24"/>
        </w:rPr>
        <w:t xml:space="preserve"> </w:t>
      </w:r>
    </w:p>
    <w:p w14:paraId="152341A5" w14:textId="77777777" w:rsidR="00015055" w:rsidRPr="007D5A11" w:rsidRDefault="00015055" w:rsidP="00015055">
      <w:pPr>
        <w:pStyle w:val="Heading1"/>
        <w:rPr>
          <w:rFonts w:ascii="Calibri" w:hAnsi="Calibri" w:cs="Calibri"/>
          <w:color w:val="auto"/>
          <w:sz w:val="24"/>
          <w:szCs w:val="24"/>
        </w:rPr>
      </w:pPr>
      <w:bookmarkStart w:id="76" w:name="_Toc209810402"/>
      <w:bookmarkStart w:id="77" w:name="_Toc209827000"/>
      <w:r w:rsidRPr="007D5A11">
        <w:rPr>
          <w:rFonts w:ascii="Calibri" w:hAnsi="Calibri" w:cs="Calibri"/>
          <w:color w:val="auto"/>
          <w:sz w:val="24"/>
          <w:szCs w:val="24"/>
        </w:rPr>
        <w:t>Q4. What is your role within the Police? (Response Officer, Neighbourhood Officer, Specialist Unit, etc.)</w:t>
      </w:r>
      <w:bookmarkEnd w:id="76"/>
      <w:bookmarkEnd w:id="77"/>
      <w:r w:rsidRPr="007D5A11">
        <w:rPr>
          <w:rFonts w:ascii="Calibri" w:hAnsi="Calibri" w:cs="Calibri"/>
          <w:color w:val="auto"/>
          <w:sz w:val="24"/>
          <w:szCs w:val="24"/>
        </w:rPr>
        <w:t xml:space="preserve"> </w:t>
      </w:r>
    </w:p>
    <w:p w14:paraId="089902D8" w14:textId="16A6B966" w:rsidR="00015055" w:rsidRPr="007D5A11" w:rsidRDefault="00015055" w:rsidP="00015055">
      <w:pPr>
        <w:pStyle w:val="Heading1"/>
        <w:rPr>
          <w:rFonts w:ascii="Calibri" w:hAnsi="Calibri" w:cs="Calibri"/>
          <w:color w:val="auto"/>
          <w:sz w:val="24"/>
          <w:szCs w:val="24"/>
        </w:rPr>
      </w:pPr>
      <w:bookmarkStart w:id="78" w:name="_Toc209810403"/>
      <w:bookmarkStart w:id="79" w:name="_Toc209827001"/>
      <w:r w:rsidRPr="007D5A11">
        <w:rPr>
          <w:rFonts w:ascii="Calibri" w:hAnsi="Calibri" w:cs="Calibri"/>
          <w:color w:val="auto"/>
          <w:sz w:val="24"/>
          <w:szCs w:val="24"/>
        </w:rPr>
        <w:t>Q5. How many years of service do you have?</w:t>
      </w:r>
      <w:bookmarkEnd w:id="78"/>
      <w:bookmarkEnd w:id="79"/>
    </w:p>
    <w:p w14:paraId="710EC4C0" w14:textId="77777777" w:rsidR="00015055" w:rsidRPr="007D5A11" w:rsidRDefault="00015055" w:rsidP="00015055">
      <w:pPr>
        <w:pStyle w:val="Heading1"/>
        <w:rPr>
          <w:rFonts w:ascii="Calibri" w:hAnsi="Calibri" w:cs="Calibri"/>
          <w:color w:val="auto"/>
          <w:sz w:val="24"/>
          <w:szCs w:val="24"/>
        </w:rPr>
      </w:pPr>
      <w:bookmarkStart w:id="80" w:name="_Toc209810404"/>
      <w:bookmarkStart w:id="81" w:name="_Toc209827002"/>
      <w:r w:rsidRPr="007D5A11">
        <w:rPr>
          <w:rFonts w:ascii="Calibri" w:hAnsi="Calibri" w:cs="Calibri"/>
          <w:b/>
          <w:bCs/>
          <w:color w:val="auto"/>
          <w:sz w:val="24"/>
          <w:szCs w:val="24"/>
        </w:rPr>
        <w:t>Section 2: Attitudes Towards Routine Arming</w:t>
      </w:r>
      <w:r w:rsidRPr="007D5A11">
        <w:rPr>
          <w:rFonts w:ascii="Calibri" w:hAnsi="Calibri" w:cs="Calibri"/>
          <w:color w:val="auto"/>
          <w:sz w:val="24"/>
          <w:szCs w:val="24"/>
        </w:rPr>
        <w:t> (1 = Strongly Disagree, 5 = Strongly Agree)</w:t>
      </w:r>
      <w:bookmarkEnd w:id="80"/>
      <w:bookmarkEnd w:id="81"/>
    </w:p>
    <w:p w14:paraId="2C00BF34" w14:textId="77777777" w:rsidR="00015055" w:rsidRPr="007D5A11" w:rsidRDefault="00015055" w:rsidP="00015055">
      <w:pPr>
        <w:pStyle w:val="Heading1"/>
        <w:rPr>
          <w:rFonts w:ascii="Calibri" w:hAnsi="Calibri" w:cs="Calibri"/>
          <w:color w:val="auto"/>
          <w:sz w:val="24"/>
          <w:szCs w:val="24"/>
        </w:rPr>
      </w:pPr>
      <w:bookmarkStart w:id="82" w:name="_Toc209810405"/>
      <w:bookmarkStart w:id="83" w:name="_Toc209827003"/>
      <w:r w:rsidRPr="007D5A11">
        <w:rPr>
          <w:rFonts w:ascii="Calibri" w:hAnsi="Calibri" w:cs="Calibri"/>
          <w:color w:val="auto"/>
          <w:sz w:val="24"/>
          <w:szCs w:val="24"/>
        </w:rPr>
        <w:t>Q6. I believe arming all Police officers would increase overall officer safety.</w:t>
      </w:r>
      <w:bookmarkEnd w:id="82"/>
      <w:bookmarkEnd w:id="83"/>
      <w:r w:rsidRPr="007D5A11">
        <w:rPr>
          <w:rFonts w:ascii="Calibri" w:hAnsi="Calibri" w:cs="Calibri"/>
          <w:color w:val="auto"/>
          <w:sz w:val="24"/>
          <w:szCs w:val="24"/>
        </w:rPr>
        <w:t xml:space="preserve"> </w:t>
      </w:r>
    </w:p>
    <w:p w14:paraId="1B09D496" w14:textId="77777777" w:rsidR="00015055" w:rsidRPr="007D5A11" w:rsidRDefault="00015055" w:rsidP="00015055">
      <w:pPr>
        <w:pStyle w:val="Heading1"/>
        <w:rPr>
          <w:rFonts w:ascii="Calibri" w:hAnsi="Calibri" w:cs="Calibri"/>
          <w:color w:val="auto"/>
          <w:sz w:val="24"/>
          <w:szCs w:val="24"/>
        </w:rPr>
      </w:pPr>
      <w:bookmarkStart w:id="84" w:name="_Toc209810406"/>
      <w:bookmarkStart w:id="85" w:name="_Toc209827004"/>
      <w:r w:rsidRPr="007D5A11">
        <w:rPr>
          <w:rFonts w:ascii="Calibri" w:hAnsi="Calibri" w:cs="Calibri"/>
          <w:color w:val="auto"/>
          <w:sz w:val="24"/>
          <w:szCs w:val="24"/>
        </w:rPr>
        <w:t>Q7. Arming all Police officers would make the public feel safer.</w:t>
      </w:r>
      <w:bookmarkEnd w:id="84"/>
      <w:bookmarkEnd w:id="85"/>
      <w:r w:rsidRPr="007D5A11">
        <w:rPr>
          <w:rFonts w:ascii="Calibri" w:hAnsi="Calibri" w:cs="Calibri"/>
          <w:color w:val="auto"/>
          <w:sz w:val="24"/>
          <w:szCs w:val="24"/>
        </w:rPr>
        <w:t xml:space="preserve"> </w:t>
      </w:r>
    </w:p>
    <w:p w14:paraId="576CEE11" w14:textId="77777777" w:rsidR="00015055" w:rsidRPr="007D5A11" w:rsidRDefault="00015055" w:rsidP="00015055">
      <w:pPr>
        <w:pStyle w:val="Heading1"/>
        <w:rPr>
          <w:rFonts w:ascii="Calibri" w:hAnsi="Calibri" w:cs="Calibri"/>
          <w:color w:val="auto"/>
          <w:sz w:val="24"/>
          <w:szCs w:val="24"/>
        </w:rPr>
      </w:pPr>
      <w:bookmarkStart w:id="86" w:name="_Toc209810407"/>
      <w:bookmarkStart w:id="87" w:name="_Toc209827005"/>
      <w:r w:rsidRPr="007D5A11">
        <w:rPr>
          <w:rFonts w:ascii="Calibri" w:hAnsi="Calibri" w:cs="Calibri"/>
          <w:color w:val="auto"/>
          <w:sz w:val="24"/>
          <w:szCs w:val="24"/>
        </w:rPr>
        <w:t>Q8. Carrying firearms would enable me to respond more effectively to terrorism or violent crime.</w:t>
      </w:r>
      <w:bookmarkEnd w:id="86"/>
      <w:bookmarkEnd w:id="87"/>
      <w:r w:rsidRPr="007D5A11">
        <w:rPr>
          <w:rFonts w:ascii="Calibri" w:hAnsi="Calibri" w:cs="Calibri"/>
          <w:color w:val="auto"/>
          <w:sz w:val="24"/>
          <w:szCs w:val="24"/>
        </w:rPr>
        <w:t xml:space="preserve"> </w:t>
      </w:r>
    </w:p>
    <w:p w14:paraId="5D481D21" w14:textId="77777777" w:rsidR="00015055" w:rsidRPr="007D5A11" w:rsidRDefault="00015055" w:rsidP="00015055">
      <w:pPr>
        <w:pStyle w:val="Heading1"/>
        <w:rPr>
          <w:rFonts w:ascii="Calibri" w:hAnsi="Calibri" w:cs="Calibri"/>
          <w:color w:val="auto"/>
          <w:sz w:val="24"/>
          <w:szCs w:val="24"/>
        </w:rPr>
      </w:pPr>
      <w:bookmarkStart w:id="88" w:name="_Toc209810408"/>
      <w:bookmarkStart w:id="89" w:name="_Toc209827006"/>
      <w:r w:rsidRPr="007D5A11">
        <w:rPr>
          <w:rFonts w:ascii="Calibri" w:hAnsi="Calibri" w:cs="Calibri"/>
          <w:color w:val="auto"/>
          <w:sz w:val="24"/>
          <w:szCs w:val="24"/>
        </w:rPr>
        <w:t>Q9. Routine arming of officers could increase the risk of unnecessary use of force.</w:t>
      </w:r>
      <w:bookmarkEnd w:id="88"/>
      <w:bookmarkEnd w:id="89"/>
      <w:r w:rsidRPr="007D5A11">
        <w:rPr>
          <w:rFonts w:ascii="Calibri" w:hAnsi="Calibri" w:cs="Calibri"/>
          <w:color w:val="auto"/>
          <w:sz w:val="24"/>
          <w:szCs w:val="24"/>
        </w:rPr>
        <w:t xml:space="preserve"> </w:t>
      </w:r>
    </w:p>
    <w:p w14:paraId="3514A06F" w14:textId="77777777" w:rsidR="00015055" w:rsidRPr="007D5A11" w:rsidRDefault="00015055" w:rsidP="00015055">
      <w:pPr>
        <w:pStyle w:val="Heading1"/>
        <w:rPr>
          <w:rFonts w:ascii="Calibri" w:hAnsi="Calibri" w:cs="Calibri"/>
          <w:color w:val="auto"/>
          <w:sz w:val="24"/>
          <w:szCs w:val="24"/>
        </w:rPr>
      </w:pPr>
      <w:bookmarkStart w:id="90" w:name="_Toc209810409"/>
      <w:bookmarkStart w:id="91" w:name="_Toc209827007"/>
      <w:r w:rsidRPr="007D5A11">
        <w:rPr>
          <w:rFonts w:ascii="Calibri" w:hAnsi="Calibri" w:cs="Calibri"/>
          <w:color w:val="auto"/>
          <w:sz w:val="24"/>
          <w:szCs w:val="24"/>
        </w:rPr>
        <w:t>Q10. Community trust in the Police would decline if all officers were armed.</w:t>
      </w:r>
      <w:bookmarkEnd w:id="90"/>
      <w:bookmarkEnd w:id="91"/>
      <w:r w:rsidRPr="007D5A11">
        <w:rPr>
          <w:rFonts w:ascii="Calibri" w:hAnsi="Calibri" w:cs="Calibri"/>
          <w:color w:val="auto"/>
          <w:sz w:val="24"/>
          <w:szCs w:val="24"/>
        </w:rPr>
        <w:t xml:space="preserve"> </w:t>
      </w:r>
    </w:p>
    <w:p w14:paraId="1D8E1CE8" w14:textId="77777777" w:rsidR="00015055" w:rsidRPr="007D5A11" w:rsidRDefault="00015055" w:rsidP="00015055">
      <w:pPr>
        <w:pStyle w:val="Heading1"/>
        <w:rPr>
          <w:rFonts w:ascii="Calibri" w:hAnsi="Calibri" w:cs="Calibri"/>
          <w:color w:val="auto"/>
          <w:sz w:val="24"/>
          <w:szCs w:val="24"/>
        </w:rPr>
      </w:pPr>
      <w:bookmarkStart w:id="92" w:name="_Toc209810410"/>
      <w:bookmarkStart w:id="93" w:name="_Toc209827008"/>
      <w:r w:rsidRPr="007D5A11">
        <w:rPr>
          <w:rFonts w:ascii="Calibri" w:hAnsi="Calibri" w:cs="Calibri"/>
          <w:color w:val="auto"/>
          <w:sz w:val="24"/>
          <w:szCs w:val="24"/>
        </w:rPr>
        <w:t>Q11. The presence of firearms would escalate confrontations with the public.</w:t>
      </w:r>
      <w:bookmarkEnd w:id="92"/>
      <w:bookmarkEnd w:id="93"/>
      <w:r w:rsidRPr="007D5A11">
        <w:rPr>
          <w:rFonts w:ascii="Calibri" w:hAnsi="Calibri" w:cs="Calibri"/>
          <w:color w:val="auto"/>
          <w:sz w:val="24"/>
          <w:szCs w:val="24"/>
        </w:rPr>
        <w:t xml:space="preserve"> </w:t>
      </w:r>
    </w:p>
    <w:p w14:paraId="0A521B27" w14:textId="77777777" w:rsidR="00015055" w:rsidRPr="007D5A11" w:rsidRDefault="00015055" w:rsidP="00015055">
      <w:pPr>
        <w:pStyle w:val="Heading1"/>
        <w:rPr>
          <w:rFonts w:ascii="Calibri" w:hAnsi="Calibri" w:cs="Calibri"/>
          <w:color w:val="auto"/>
          <w:sz w:val="24"/>
          <w:szCs w:val="24"/>
        </w:rPr>
      </w:pPr>
      <w:bookmarkStart w:id="94" w:name="_Toc209810411"/>
      <w:bookmarkStart w:id="95" w:name="_Toc209827009"/>
      <w:r w:rsidRPr="007D5A11">
        <w:rPr>
          <w:rFonts w:ascii="Calibri" w:hAnsi="Calibri" w:cs="Calibri"/>
          <w:color w:val="auto"/>
          <w:sz w:val="24"/>
          <w:szCs w:val="24"/>
        </w:rPr>
        <w:t>Q12. Arming officers would act as a deterrent to violent criminals.</w:t>
      </w:r>
      <w:bookmarkEnd w:id="94"/>
      <w:bookmarkEnd w:id="95"/>
      <w:r w:rsidRPr="007D5A11">
        <w:rPr>
          <w:rFonts w:ascii="Calibri" w:hAnsi="Calibri" w:cs="Calibri"/>
          <w:color w:val="auto"/>
          <w:sz w:val="24"/>
          <w:szCs w:val="24"/>
        </w:rPr>
        <w:t xml:space="preserve"> </w:t>
      </w:r>
    </w:p>
    <w:p w14:paraId="0ED8FE64" w14:textId="77777777" w:rsidR="00015055" w:rsidRPr="007D5A11" w:rsidRDefault="00015055" w:rsidP="00015055">
      <w:pPr>
        <w:pStyle w:val="Heading1"/>
        <w:rPr>
          <w:rFonts w:ascii="Calibri" w:hAnsi="Calibri" w:cs="Calibri"/>
          <w:color w:val="auto"/>
          <w:sz w:val="24"/>
          <w:szCs w:val="24"/>
        </w:rPr>
      </w:pPr>
      <w:bookmarkStart w:id="96" w:name="_Toc209810412"/>
      <w:bookmarkStart w:id="97" w:name="_Toc209827010"/>
      <w:r w:rsidRPr="007D5A11">
        <w:rPr>
          <w:rFonts w:ascii="Calibri" w:hAnsi="Calibri" w:cs="Calibri"/>
          <w:color w:val="auto"/>
          <w:sz w:val="24"/>
          <w:szCs w:val="24"/>
        </w:rPr>
        <w:t>Q13. Firearms training would give me greater confidence in dangerous situations.</w:t>
      </w:r>
      <w:bookmarkEnd w:id="96"/>
      <w:bookmarkEnd w:id="97"/>
      <w:r w:rsidRPr="007D5A11">
        <w:rPr>
          <w:rFonts w:ascii="Calibri" w:hAnsi="Calibri" w:cs="Calibri"/>
          <w:color w:val="auto"/>
          <w:sz w:val="24"/>
          <w:szCs w:val="24"/>
        </w:rPr>
        <w:t xml:space="preserve"> </w:t>
      </w:r>
    </w:p>
    <w:p w14:paraId="71BD079A" w14:textId="77777777" w:rsidR="00015055" w:rsidRPr="007D5A11" w:rsidRDefault="00015055" w:rsidP="00015055">
      <w:pPr>
        <w:pStyle w:val="Heading1"/>
        <w:rPr>
          <w:rFonts w:ascii="Calibri" w:hAnsi="Calibri" w:cs="Calibri"/>
          <w:color w:val="auto"/>
          <w:sz w:val="24"/>
          <w:szCs w:val="24"/>
        </w:rPr>
      </w:pPr>
      <w:bookmarkStart w:id="98" w:name="_Toc209810413"/>
      <w:bookmarkStart w:id="99" w:name="_Toc209827011"/>
      <w:r w:rsidRPr="007D5A11">
        <w:rPr>
          <w:rFonts w:ascii="Calibri" w:hAnsi="Calibri" w:cs="Calibri"/>
          <w:color w:val="auto"/>
          <w:sz w:val="24"/>
          <w:szCs w:val="24"/>
        </w:rPr>
        <w:t>Q14. The risks of routine arming outweigh the potential benefits.</w:t>
      </w:r>
      <w:bookmarkEnd w:id="98"/>
      <w:bookmarkEnd w:id="99"/>
      <w:r w:rsidRPr="007D5A11">
        <w:rPr>
          <w:rFonts w:ascii="Calibri" w:hAnsi="Calibri" w:cs="Calibri"/>
          <w:color w:val="auto"/>
          <w:sz w:val="24"/>
          <w:szCs w:val="24"/>
        </w:rPr>
        <w:t xml:space="preserve"> </w:t>
      </w:r>
    </w:p>
    <w:p w14:paraId="5E9EE100" w14:textId="35A40E15" w:rsidR="00015055" w:rsidRDefault="00015055" w:rsidP="00015055">
      <w:pPr>
        <w:pStyle w:val="Heading1"/>
        <w:rPr>
          <w:rFonts w:ascii="Calibri" w:hAnsi="Calibri" w:cs="Calibri"/>
          <w:color w:val="auto"/>
          <w:sz w:val="24"/>
          <w:szCs w:val="24"/>
        </w:rPr>
      </w:pPr>
      <w:bookmarkStart w:id="100" w:name="_Toc209810414"/>
      <w:bookmarkStart w:id="101" w:name="_Toc209827012"/>
      <w:r w:rsidRPr="007D5A11">
        <w:rPr>
          <w:rFonts w:ascii="Calibri" w:hAnsi="Calibri" w:cs="Calibri"/>
          <w:color w:val="auto"/>
          <w:sz w:val="24"/>
          <w:szCs w:val="24"/>
        </w:rPr>
        <w:t>Q15. I support the idea of all officers in the UK being routinely armed.</w:t>
      </w:r>
      <w:bookmarkEnd w:id="100"/>
      <w:bookmarkEnd w:id="101"/>
    </w:p>
    <w:p w14:paraId="4308BED0" w14:textId="77777777" w:rsidR="00D73703" w:rsidRPr="00D73703" w:rsidRDefault="00D73703" w:rsidP="00D73703"/>
    <w:p w14:paraId="102AA262" w14:textId="77777777" w:rsidR="00015055" w:rsidRPr="007D5A11" w:rsidRDefault="00015055" w:rsidP="00015055">
      <w:pPr>
        <w:pStyle w:val="Heading1"/>
        <w:rPr>
          <w:rFonts w:ascii="Calibri" w:hAnsi="Calibri" w:cs="Calibri"/>
          <w:b/>
          <w:bCs/>
          <w:color w:val="auto"/>
          <w:sz w:val="24"/>
          <w:szCs w:val="24"/>
        </w:rPr>
      </w:pPr>
      <w:bookmarkStart w:id="102" w:name="_Toc209827013"/>
      <w:r w:rsidRPr="007D5A11">
        <w:rPr>
          <w:rFonts w:ascii="Calibri" w:hAnsi="Calibri" w:cs="Calibri"/>
          <w:b/>
          <w:bCs/>
          <w:color w:val="auto"/>
          <w:sz w:val="24"/>
          <w:szCs w:val="24"/>
        </w:rPr>
        <w:lastRenderedPageBreak/>
        <w:t>Appendix B – Participant Information Sheet and Consent Form</w:t>
      </w:r>
      <w:bookmarkEnd w:id="102"/>
    </w:p>
    <w:p w14:paraId="7471968D" w14:textId="6FC55558" w:rsidR="007D5A11" w:rsidRPr="007D5A11" w:rsidRDefault="00015055" w:rsidP="007D5A11">
      <w:pPr>
        <w:pStyle w:val="Heading1"/>
        <w:rPr>
          <w:rFonts w:ascii="Calibri" w:hAnsi="Calibri" w:cs="Calibri"/>
          <w:i/>
          <w:iCs/>
          <w:color w:val="auto"/>
          <w:sz w:val="24"/>
          <w:szCs w:val="24"/>
        </w:rPr>
      </w:pPr>
      <w:bookmarkStart w:id="103" w:name="_Toc209810416"/>
      <w:bookmarkStart w:id="104" w:name="_Toc209827014"/>
      <w:r w:rsidRPr="007D5A11">
        <w:rPr>
          <w:rFonts w:ascii="Calibri" w:hAnsi="Calibri" w:cs="Calibri"/>
          <w:b/>
          <w:bCs/>
          <w:color w:val="auto"/>
          <w:sz w:val="24"/>
          <w:szCs w:val="24"/>
        </w:rPr>
        <w:t>Participant Information and Consent Statement</w:t>
      </w:r>
      <w:r w:rsidRPr="007D5A11">
        <w:rPr>
          <w:rFonts w:ascii="Calibri" w:hAnsi="Calibri" w:cs="Calibri"/>
          <w:color w:val="auto"/>
          <w:sz w:val="24"/>
          <w:szCs w:val="24"/>
        </w:rPr>
        <w:t> You are being invited to take part in a research questionnaire for a BSc dissertation project titled </w:t>
      </w:r>
      <w:bookmarkStart w:id="105" w:name="_Toc209810417"/>
      <w:bookmarkEnd w:id="103"/>
      <w:r w:rsidR="007D5A11" w:rsidRPr="007D5A11">
        <w:rPr>
          <w:rFonts w:ascii="Calibri" w:hAnsi="Calibri" w:cs="Calibri"/>
          <w:color w:val="auto"/>
          <w:sz w:val="24"/>
          <w:szCs w:val="24"/>
        </w:rPr>
        <w:t>“</w:t>
      </w:r>
      <w:r w:rsidR="007D5A11" w:rsidRPr="007D5A11">
        <w:rPr>
          <w:rFonts w:ascii="Calibri" w:hAnsi="Calibri" w:cs="Calibri"/>
          <w:i/>
          <w:iCs/>
          <w:color w:val="auto"/>
          <w:sz w:val="24"/>
          <w:szCs w:val="24"/>
        </w:rPr>
        <w:t>Should All Police Officers in the United Kingdom Carry Firearms?”</w:t>
      </w:r>
      <w:bookmarkEnd w:id="104"/>
    </w:p>
    <w:p w14:paraId="08ECCF46" w14:textId="6A3AFFBB" w:rsidR="00015055" w:rsidRPr="007D5A11" w:rsidRDefault="00015055" w:rsidP="007D5A11">
      <w:pPr>
        <w:pStyle w:val="Heading1"/>
        <w:rPr>
          <w:rFonts w:ascii="Calibri" w:hAnsi="Calibri" w:cs="Calibri"/>
          <w:color w:val="auto"/>
          <w:sz w:val="24"/>
          <w:szCs w:val="24"/>
        </w:rPr>
      </w:pPr>
      <w:bookmarkStart w:id="106" w:name="_Toc209827015"/>
      <w:r w:rsidRPr="007D5A11">
        <w:rPr>
          <w:rFonts w:ascii="Calibri" w:hAnsi="Calibri" w:cs="Calibri"/>
          <w:color w:val="auto"/>
          <w:sz w:val="24"/>
          <w:szCs w:val="24"/>
        </w:rPr>
        <w:t>Your participation is entirely voluntary</w:t>
      </w:r>
      <w:bookmarkEnd w:id="105"/>
      <w:bookmarkEnd w:id="106"/>
    </w:p>
    <w:p w14:paraId="410DB6A8" w14:textId="77777777" w:rsidR="00015055" w:rsidRPr="007D5A11" w:rsidRDefault="00015055" w:rsidP="00015055">
      <w:pPr>
        <w:pStyle w:val="Heading1"/>
        <w:numPr>
          <w:ilvl w:val="0"/>
          <w:numId w:val="28"/>
        </w:numPr>
        <w:rPr>
          <w:rFonts w:ascii="Calibri" w:hAnsi="Calibri" w:cs="Calibri"/>
          <w:color w:val="auto"/>
          <w:sz w:val="24"/>
          <w:szCs w:val="24"/>
        </w:rPr>
      </w:pPr>
      <w:bookmarkStart w:id="107" w:name="_Toc209810418"/>
      <w:bookmarkStart w:id="108" w:name="_Toc209827016"/>
      <w:r w:rsidRPr="007D5A11">
        <w:rPr>
          <w:rFonts w:ascii="Calibri" w:hAnsi="Calibri" w:cs="Calibri"/>
          <w:color w:val="auto"/>
          <w:sz w:val="24"/>
          <w:szCs w:val="24"/>
        </w:rPr>
        <w:t>Your responses are anonymous and confidential</w:t>
      </w:r>
      <w:bookmarkEnd w:id="107"/>
      <w:bookmarkEnd w:id="108"/>
    </w:p>
    <w:p w14:paraId="288D2D3A" w14:textId="77777777" w:rsidR="00015055" w:rsidRPr="007D5A11" w:rsidRDefault="00015055" w:rsidP="00015055">
      <w:pPr>
        <w:pStyle w:val="Heading1"/>
        <w:numPr>
          <w:ilvl w:val="0"/>
          <w:numId w:val="28"/>
        </w:numPr>
        <w:rPr>
          <w:rFonts w:ascii="Calibri" w:hAnsi="Calibri" w:cs="Calibri"/>
          <w:color w:val="auto"/>
          <w:sz w:val="24"/>
          <w:szCs w:val="24"/>
        </w:rPr>
      </w:pPr>
      <w:bookmarkStart w:id="109" w:name="_Toc209810419"/>
      <w:bookmarkStart w:id="110" w:name="_Toc209827017"/>
      <w:r w:rsidRPr="007D5A11">
        <w:rPr>
          <w:rFonts w:ascii="Calibri" w:hAnsi="Calibri" w:cs="Calibri"/>
          <w:color w:val="auto"/>
          <w:sz w:val="24"/>
          <w:szCs w:val="24"/>
        </w:rPr>
        <w:t>No identifying information will be collected</w:t>
      </w:r>
      <w:bookmarkEnd w:id="109"/>
      <w:bookmarkEnd w:id="110"/>
    </w:p>
    <w:p w14:paraId="55CA2B57" w14:textId="77777777" w:rsidR="00015055" w:rsidRPr="007D5A11" w:rsidRDefault="00015055" w:rsidP="00015055">
      <w:pPr>
        <w:pStyle w:val="Heading1"/>
        <w:numPr>
          <w:ilvl w:val="0"/>
          <w:numId w:val="28"/>
        </w:numPr>
        <w:rPr>
          <w:rFonts w:ascii="Calibri" w:hAnsi="Calibri" w:cs="Calibri"/>
          <w:color w:val="auto"/>
          <w:sz w:val="24"/>
          <w:szCs w:val="24"/>
        </w:rPr>
      </w:pPr>
      <w:bookmarkStart w:id="111" w:name="_Toc209810420"/>
      <w:bookmarkStart w:id="112" w:name="_Toc209827018"/>
      <w:r w:rsidRPr="007D5A11">
        <w:rPr>
          <w:rFonts w:ascii="Calibri" w:hAnsi="Calibri" w:cs="Calibri"/>
          <w:color w:val="auto"/>
          <w:sz w:val="24"/>
          <w:szCs w:val="24"/>
        </w:rPr>
        <w:t>Data will be securely stored and used for academic purposes only</w:t>
      </w:r>
      <w:bookmarkEnd w:id="111"/>
      <w:bookmarkEnd w:id="112"/>
    </w:p>
    <w:p w14:paraId="220C354B" w14:textId="77777777" w:rsidR="00D73703" w:rsidRDefault="00015055" w:rsidP="00015055">
      <w:pPr>
        <w:pStyle w:val="Heading1"/>
        <w:numPr>
          <w:ilvl w:val="0"/>
          <w:numId w:val="28"/>
        </w:numPr>
        <w:rPr>
          <w:rFonts w:ascii="Calibri" w:hAnsi="Calibri" w:cs="Calibri"/>
          <w:color w:val="auto"/>
          <w:sz w:val="24"/>
          <w:szCs w:val="24"/>
        </w:rPr>
      </w:pPr>
      <w:bookmarkStart w:id="113" w:name="_Toc209810421"/>
      <w:bookmarkStart w:id="114" w:name="_Toc209827019"/>
      <w:r w:rsidRPr="007D5A11">
        <w:rPr>
          <w:rFonts w:ascii="Calibri" w:hAnsi="Calibri" w:cs="Calibri"/>
          <w:color w:val="auto"/>
          <w:sz w:val="24"/>
          <w:szCs w:val="24"/>
        </w:rPr>
        <w:t>By continuing, you are confirming your informed consent to participate.</w:t>
      </w:r>
      <w:bookmarkEnd w:id="113"/>
      <w:bookmarkEnd w:id="114"/>
    </w:p>
    <w:p w14:paraId="4A4576F9" w14:textId="11EA2A56" w:rsidR="00D73703" w:rsidRPr="00D73703" w:rsidRDefault="00D73703" w:rsidP="00015055">
      <w:pPr>
        <w:pStyle w:val="Heading1"/>
        <w:numPr>
          <w:ilvl w:val="0"/>
          <w:numId w:val="28"/>
        </w:numPr>
        <w:rPr>
          <w:rFonts w:ascii="Calibri" w:hAnsi="Calibri" w:cs="Calibri"/>
          <w:color w:val="auto"/>
          <w:sz w:val="24"/>
          <w:szCs w:val="24"/>
        </w:rPr>
      </w:pPr>
      <w:bookmarkStart w:id="115" w:name="_Toc209827020"/>
      <w:r w:rsidRPr="00D73703">
        <w:rPr>
          <w:rFonts w:ascii="Calibri" w:hAnsi="Calibri" w:cs="Calibri"/>
          <w:color w:val="auto"/>
          <w:sz w:val="24"/>
          <w:szCs w:val="24"/>
        </w:rPr>
        <w:t>If completing this questionnaire raises any difficult feelings and you would like to talk to someone, you can contact Samaritans for free, confidential support at </w:t>
      </w:r>
      <w:hyperlink r:id="rId13" w:history="1">
        <w:r w:rsidRPr="00821AE6">
          <w:rPr>
            <w:rStyle w:val="Hyperlink"/>
            <w:rFonts w:ascii="Calibri" w:hAnsi="Calibri" w:cs="Calibri"/>
            <w:sz w:val="24"/>
            <w:szCs w:val="24"/>
          </w:rPr>
          <w:t>https://www.samaritans.org</w:t>
        </w:r>
      </w:hyperlink>
      <w:r>
        <w:rPr>
          <w:rFonts w:ascii="Calibri" w:hAnsi="Calibri" w:cs="Calibri"/>
          <w:color w:val="auto"/>
          <w:sz w:val="24"/>
          <w:szCs w:val="24"/>
        </w:rPr>
        <w:t xml:space="preserve"> </w:t>
      </w:r>
      <w:r w:rsidRPr="00D73703">
        <w:rPr>
          <w:rFonts w:ascii="Calibri" w:hAnsi="Calibri" w:cs="Calibri"/>
          <w:color w:val="auto"/>
          <w:sz w:val="24"/>
          <w:szCs w:val="24"/>
        </w:rPr>
        <w:t>or by calling 116 123 (available 24/7).</w:t>
      </w:r>
      <w:bookmarkEnd w:id="115"/>
    </w:p>
    <w:p w14:paraId="631D9594" w14:textId="77777777" w:rsidR="00D73703" w:rsidRDefault="00D73703" w:rsidP="00D73703">
      <w:pPr>
        <w:pStyle w:val="Heading1"/>
        <w:rPr>
          <w:rFonts w:ascii="Calibri" w:hAnsi="Calibri" w:cs="Calibri"/>
          <w:color w:val="auto"/>
          <w:sz w:val="24"/>
          <w:szCs w:val="24"/>
        </w:rPr>
      </w:pPr>
    </w:p>
    <w:p w14:paraId="2A7EC17A" w14:textId="2D7E58B3" w:rsidR="007D5A11" w:rsidRPr="00D73703" w:rsidRDefault="00015055" w:rsidP="00D73703">
      <w:pPr>
        <w:pStyle w:val="Heading1"/>
        <w:rPr>
          <w:rFonts w:ascii="Calibri" w:hAnsi="Calibri" w:cs="Calibri"/>
          <w:color w:val="auto"/>
          <w:sz w:val="24"/>
          <w:szCs w:val="24"/>
        </w:rPr>
      </w:pPr>
      <w:bookmarkStart w:id="116" w:name="_Toc209827021"/>
      <w:r w:rsidRPr="00D73703">
        <w:rPr>
          <w:rFonts w:ascii="Calibri" w:hAnsi="Calibri" w:cs="Calibri"/>
          <w:b/>
          <w:bCs/>
          <w:color w:val="auto"/>
          <w:sz w:val="24"/>
          <w:szCs w:val="24"/>
        </w:rPr>
        <w:t>Appendix C – Research Proposal and Ethical Approval Application</w:t>
      </w:r>
      <w:bookmarkStart w:id="117" w:name="_Toc209810423"/>
      <w:bookmarkEnd w:id="116"/>
    </w:p>
    <w:p w14:paraId="44942D6E" w14:textId="6F5501AE" w:rsidR="00C91395" w:rsidRPr="007D5A11" w:rsidRDefault="00015055" w:rsidP="00015055">
      <w:pPr>
        <w:pStyle w:val="Heading1"/>
        <w:rPr>
          <w:rFonts w:ascii="Calibri" w:hAnsi="Calibri" w:cs="Calibri"/>
          <w:b/>
          <w:bCs/>
          <w:color w:val="auto"/>
          <w:sz w:val="24"/>
          <w:szCs w:val="24"/>
        </w:rPr>
      </w:pPr>
      <w:bookmarkStart w:id="118" w:name="_Toc209827022"/>
      <w:r w:rsidRPr="007D5A11">
        <w:rPr>
          <w:rFonts w:ascii="Calibri" w:hAnsi="Calibri" w:cs="Calibri"/>
          <w:b/>
          <w:bCs/>
          <w:color w:val="auto"/>
          <w:sz w:val="24"/>
          <w:szCs w:val="24"/>
        </w:rPr>
        <w:t>Research Proposal (Summary)</w:t>
      </w:r>
      <w:r w:rsidRPr="007D5A11">
        <w:rPr>
          <w:rFonts w:ascii="Calibri" w:hAnsi="Calibri" w:cs="Calibri"/>
          <w:color w:val="auto"/>
          <w:sz w:val="24"/>
          <w:szCs w:val="24"/>
        </w:rPr>
        <w:t> This study investigates Police officer</w:t>
      </w:r>
      <w:r w:rsidR="007D5A11" w:rsidRPr="007D5A11">
        <w:rPr>
          <w:rFonts w:ascii="Calibri" w:hAnsi="Calibri" w:cs="Calibri"/>
          <w:color w:val="auto"/>
          <w:sz w:val="24"/>
          <w:szCs w:val="24"/>
        </w:rPr>
        <w:t>s’</w:t>
      </w:r>
      <w:r w:rsidRPr="007D5A11">
        <w:rPr>
          <w:rFonts w:ascii="Calibri" w:hAnsi="Calibri" w:cs="Calibri"/>
          <w:color w:val="auto"/>
          <w:sz w:val="24"/>
          <w:szCs w:val="24"/>
        </w:rPr>
        <w:t xml:space="preserve"> attitudes towards the question of whether all officers in the UK should </w:t>
      </w:r>
      <w:r w:rsidR="007D5A11" w:rsidRPr="007D5A11">
        <w:rPr>
          <w:rFonts w:ascii="Calibri" w:hAnsi="Calibri" w:cs="Calibri"/>
          <w:color w:val="auto"/>
          <w:sz w:val="24"/>
          <w:szCs w:val="24"/>
        </w:rPr>
        <w:t>carry firearms</w:t>
      </w:r>
      <w:r w:rsidRPr="007D5A11">
        <w:rPr>
          <w:rFonts w:ascii="Calibri" w:hAnsi="Calibri" w:cs="Calibri"/>
          <w:color w:val="auto"/>
          <w:sz w:val="24"/>
          <w:szCs w:val="24"/>
        </w:rPr>
        <w:t>. The research is motivated by ongoing debates around officer safety, deterrence, escalation, and legitimacy, as highlighted in the literature review.</w:t>
      </w:r>
      <w:bookmarkEnd w:id="117"/>
      <w:bookmarkEnd w:id="118"/>
    </w:p>
    <w:p w14:paraId="6A2FA4DE" w14:textId="18DF2B7E" w:rsidR="00015055" w:rsidRPr="007D5A11" w:rsidRDefault="00015055" w:rsidP="00015055">
      <w:pPr>
        <w:pStyle w:val="Heading1"/>
        <w:rPr>
          <w:rFonts w:ascii="Calibri" w:hAnsi="Calibri" w:cs="Calibri"/>
          <w:color w:val="auto"/>
          <w:sz w:val="24"/>
          <w:szCs w:val="24"/>
        </w:rPr>
      </w:pPr>
      <w:bookmarkStart w:id="119" w:name="_Toc209810424"/>
      <w:bookmarkStart w:id="120" w:name="_Toc209827023"/>
      <w:r w:rsidRPr="007D5A11">
        <w:rPr>
          <w:rFonts w:ascii="Calibri" w:hAnsi="Calibri" w:cs="Calibri"/>
          <w:b/>
          <w:bCs/>
          <w:color w:val="auto"/>
          <w:sz w:val="24"/>
          <w:szCs w:val="24"/>
        </w:rPr>
        <w:t>Aims and Objectives</w:t>
      </w:r>
      <w:bookmarkEnd w:id="119"/>
      <w:bookmarkEnd w:id="120"/>
    </w:p>
    <w:p w14:paraId="709D9357" w14:textId="77777777" w:rsidR="00015055" w:rsidRPr="007D5A11" w:rsidRDefault="00015055" w:rsidP="00015055">
      <w:pPr>
        <w:pStyle w:val="Heading1"/>
        <w:numPr>
          <w:ilvl w:val="0"/>
          <w:numId w:val="28"/>
        </w:numPr>
        <w:rPr>
          <w:rFonts w:ascii="Calibri" w:hAnsi="Calibri" w:cs="Calibri"/>
          <w:color w:val="auto"/>
          <w:sz w:val="24"/>
          <w:szCs w:val="24"/>
        </w:rPr>
      </w:pPr>
      <w:bookmarkStart w:id="121" w:name="_Toc209810425"/>
      <w:bookmarkStart w:id="122" w:name="_Toc209827024"/>
      <w:r w:rsidRPr="007D5A11">
        <w:rPr>
          <w:rFonts w:ascii="Calibri" w:hAnsi="Calibri" w:cs="Calibri"/>
          <w:color w:val="auto"/>
          <w:sz w:val="24"/>
          <w:szCs w:val="24"/>
        </w:rPr>
        <w:t>To explore officer perceptions of safety, deterrence, escalation, and legitimacy in relation to routine arming.</w:t>
      </w:r>
      <w:bookmarkEnd w:id="121"/>
      <w:bookmarkEnd w:id="122"/>
    </w:p>
    <w:p w14:paraId="780EAB42" w14:textId="77777777" w:rsidR="00015055" w:rsidRPr="007D5A11" w:rsidRDefault="00015055" w:rsidP="00015055">
      <w:pPr>
        <w:pStyle w:val="Heading1"/>
        <w:numPr>
          <w:ilvl w:val="0"/>
          <w:numId w:val="28"/>
        </w:numPr>
        <w:rPr>
          <w:rFonts w:ascii="Calibri" w:hAnsi="Calibri" w:cs="Calibri"/>
          <w:color w:val="auto"/>
          <w:sz w:val="24"/>
          <w:szCs w:val="24"/>
        </w:rPr>
      </w:pPr>
      <w:bookmarkStart w:id="123" w:name="_Toc209810426"/>
      <w:bookmarkStart w:id="124" w:name="_Toc209827025"/>
      <w:r w:rsidRPr="007D5A11">
        <w:rPr>
          <w:rFonts w:ascii="Calibri" w:hAnsi="Calibri" w:cs="Calibri"/>
          <w:color w:val="auto"/>
          <w:sz w:val="24"/>
          <w:szCs w:val="24"/>
        </w:rPr>
        <w:t>To assess whether officers believe routine arming would improve operational effectiveness.</w:t>
      </w:r>
      <w:bookmarkEnd w:id="123"/>
      <w:bookmarkEnd w:id="124"/>
    </w:p>
    <w:p w14:paraId="1B621138" w14:textId="79FCF34C" w:rsidR="00015055" w:rsidRPr="007D5A11" w:rsidRDefault="00015055" w:rsidP="00015055">
      <w:pPr>
        <w:pStyle w:val="Heading1"/>
        <w:numPr>
          <w:ilvl w:val="0"/>
          <w:numId w:val="28"/>
        </w:numPr>
        <w:rPr>
          <w:rFonts w:ascii="Calibri" w:hAnsi="Calibri" w:cs="Calibri"/>
          <w:color w:val="auto"/>
          <w:sz w:val="24"/>
          <w:szCs w:val="24"/>
        </w:rPr>
      </w:pPr>
      <w:bookmarkStart w:id="125" w:name="_Toc209810427"/>
      <w:bookmarkStart w:id="126" w:name="_Toc209827026"/>
      <w:r w:rsidRPr="007D5A11">
        <w:rPr>
          <w:rFonts w:ascii="Calibri" w:hAnsi="Calibri" w:cs="Calibri"/>
          <w:color w:val="auto"/>
          <w:sz w:val="24"/>
          <w:szCs w:val="24"/>
        </w:rPr>
        <w:t>To examine potential risks and ethical concerns raised by officers themselves.</w:t>
      </w:r>
      <w:bookmarkEnd w:id="125"/>
      <w:bookmarkEnd w:id="126"/>
    </w:p>
    <w:p w14:paraId="1C3B5CE0" w14:textId="0C6EB996" w:rsidR="00015055" w:rsidRPr="007D5A11" w:rsidRDefault="00015055" w:rsidP="00015055">
      <w:pPr>
        <w:pStyle w:val="Heading1"/>
        <w:rPr>
          <w:rFonts w:ascii="Calibri" w:hAnsi="Calibri" w:cs="Calibri"/>
          <w:color w:val="auto"/>
          <w:sz w:val="24"/>
          <w:szCs w:val="24"/>
        </w:rPr>
      </w:pPr>
      <w:bookmarkStart w:id="127" w:name="_Toc209810428"/>
      <w:bookmarkStart w:id="128" w:name="_Toc209827027"/>
      <w:r w:rsidRPr="007D5A11">
        <w:rPr>
          <w:rFonts w:ascii="Calibri" w:hAnsi="Calibri" w:cs="Calibri"/>
          <w:b/>
          <w:bCs/>
          <w:color w:val="auto"/>
          <w:sz w:val="24"/>
          <w:szCs w:val="24"/>
        </w:rPr>
        <w:t>Methodology</w:t>
      </w:r>
      <w:bookmarkEnd w:id="127"/>
      <w:bookmarkEnd w:id="128"/>
    </w:p>
    <w:p w14:paraId="2C66B473" w14:textId="77777777" w:rsidR="00015055" w:rsidRPr="007D5A11" w:rsidRDefault="00015055" w:rsidP="00015055">
      <w:pPr>
        <w:pStyle w:val="Heading1"/>
        <w:rPr>
          <w:rFonts w:ascii="Calibri" w:hAnsi="Calibri" w:cs="Calibri"/>
          <w:color w:val="auto"/>
          <w:sz w:val="24"/>
          <w:szCs w:val="24"/>
        </w:rPr>
      </w:pPr>
      <w:bookmarkStart w:id="129" w:name="_Toc209810429"/>
      <w:bookmarkStart w:id="130" w:name="_Toc209827028"/>
      <w:r w:rsidRPr="007D5A11">
        <w:rPr>
          <w:rFonts w:ascii="Calibri" w:hAnsi="Calibri" w:cs="Calibri"/>
          <w:color w:val="auto"/>
          <w:sz w:val="24"/>
          <w:szCs w:val="24"/>
        </w:rPr>
        <w:t>Design: Quantitative survey with Likert</w:t>
      </w:r>
      <w:r w:rsidRPr="007D5A11">
        <w:rPr>
          <w:rFonts w:ascii="Calibri" w:hAnsi="Calibri" w:cs="Calibri"/>
          <w:color w:val="auto"/>
          <w:sz w:val="24"/>
          <w:szCs w:val="24"/>
        </w:rPr>
        <w:noBreakHyphen/>
        <w:t>scale items (Q6–Q15) and demographic questions.</w:t>
      </w:r>
      <w:bookmarkEnd w:id="129"/>
      <w:bookmarkEnd w:id="130"/>
    </w:p>
    <w:p w14:paraId="7B2566A8" w14:textId="77777777" w:rsidR="00015055" w:rsidRPr="007D5A11" w:rsidRDefault="00015055" w:rsidP="00015055">
      <w:pPr>
        <w:pStyle w:val="Heading1"/>
        <w:rPr>
          <w:rFonts w:ascii="Calibri" w:hAnsi="Calibri" w:cs="Calibri"/>
          <w:color w:val="auto"/>
          <w:sz w:val="24"/>
          <w:szCs w:val="24"/>
        </w:rPr>
      </w:pPr>
      <w:bookmarkStart w:id="131" w:name="_Toc209810430"/>
      <w:bookmarkStart w:id="132" w:name="_Toc209827029"/>
      <w:r w:rsidRPr="007D5A11">
        <w:rPr>
          <w:rFonts w:ascii="Calibri" w:hAnsi="Calibri" w:cs="Calibri"/>
          <w:color w:val="auto"/>
          <w:sz w:val="24"/>
          <w:szCs w:val="24"/>
        </w:rPr>
        <w:lastRenderedPageBreak/>
        <w:t>Participants: 12 serving Police officers across different roles, ethnicities, and years of service.</w:t>
      </w:r>
      <w:bookmarkEnd w:id="131"/>
      <w:bookmarkEnd w:id="132"/>
    </w:p>
    <w:p w14:paraId="64E034CA" w14:textId="77777777" w:rsidR="00015055" w:rsidRPr="007D5A11" w:rsidRDefault="00015055" w:rsidP="00015055">
      <w:pPr>
        <w:pStyle w:val="Heading1"/>
        <w:rPr>
          <w:rFonts w:ascii="Calibri" w:hAnsi="Calibri" w:cs="Calibri"/>
          <w:color w:val="auto"/>
          <w:sz w:val="24"/>
          <w:szCs w:val="24"/>
        </w:rPr>
      </w:pPr>
      <w:bookmarkStart w:id="133" w:name="_Toc209810431"/>
      <w:bookmarkStart w:id="134" w:name="_Toc209827030"/>
      <w:r w:rsidRPr="007D5A11">
        <w:rPr>
          <w:rFonts w:ascii="Calibri" w:hAnsi="Calibri" w:cs="Calibri"/>
          <w:color w:val="auto"/>
          <w:sz w:val="24"/>
          <w:szCs w:val="24"/>
        </w:rPr>
        <w:t>Data Collection: Online, anonymous, voluntary participation.</w:t>
      </w:r>
      <w:bookmarkEnd w:id="133"/>
      <w:bookmarkEnd w:id="134"/>
    </w:p>
    <w:p w14:paraId="085609AB" w14:textId="77777777" w:rsidR="00015055" w:rsidRPr="007D5A11" w:rsidRDefault="00015055" w:rsidP="00015055">
      <w:pPr>
        <w:pStyle w:val="Heading1"/>
        <w:rPr>
          <w:rFonts w:ascii="Calibri" w:hAnsi="Calibri" w:cs="Calibri"/>
          <w:color w:val="auto"/>
          <w:sz w:val="24"/>
          <w:szCs w:val="24"/>
        </w:rPr>
      </w:pPr>
      <w:bookmarkStart w:id="135" w:name="_Toc209810432"/>
      <w:bookmarkStart w:id="136" w:name="_Toc209827031"/>
      <w:r w:rsidRPr="007D5A11">
        <w:rPr>
          <w:rFonts w:ascii="Calibri" w:hAnsi="Calibri" w:cs="Calibri"/>
          <w:color w:val="auto"/>
          <w:sz w:val="24"/>
          <w:szCs w:val="24"/>
        </w:rPr>
        <w:t>Analysis: Descriptive statistics and thematic grouping of open comments.</w:t>
      </w:r>
      <w:bookmarkEnd w:id="135"/>
      <w:bookmarkEnd w:id="136"/>
    </w:p>
    <w:p w14:paraId="266A5048" w14:textId="77777777" w:rsidR="00015055" w:rsidRPr="007D5A11" w:rsidRDefault="00015055" w:rsidP="00015055">
      <w:pPr>
        <w:pStyle w:val="Heading1"/>
        <w:rPr>
          <w:rFonts w:ascii="Calibri" w:hAnsi="Calibri" w:cs="Calibri"/>
          <w:b/>
          <w:bCs/>
          <w:color w:val="auto"/>
          <w:sz w:val="24"/>
          <w:szCs w:val="24"/>
        </w:rPr>
      </w:pPr>
    </w:p>
    <w:p w14:paraId="322F5173" w14:textId="77777777" w:rsidR="00015055" w:rsidRPr="007D5A11" w:rsidRDefault="00015055" w:rsidP="00015055">
      <w:pPr>
        <w:pStyle w:val="Heading1"/>
        <w:rPr>
          <w:rFonts w:ascii="Calibri" w:hAnsi="Calibri" w:cs="Calibri"/>
          <w:color w:val="auto"/>
          <w:sz w:val="24"/>
          <w:szCs w:val="24"/>
        </w:rPr>
      </w:pPr>
      <w:bookmarkStart w:id="137" w:name="_Toc209810433"/>
      <w:bookmarkStart w:id="138" w:name="_Toc209827032"/>
      <w:r w:rsidRPr="007D5A11">
        <w:rPr>
          <w:rFonts w:ascii="Calibri" w:hAnsi="Calibri" w:cs="Calibri"/>
          <w:b/>
          <w:bCs/>
          <w:color w:val="auto"/>
          <w:sz w:val="24"/>
          <w:szCs w:val="24"/>
        </w:rPr>
        <w:t>Ethical Approval Application (Summary)</w:t>
      </w:r>
      <w:bookmarkEnd w:id="137"/>
      <w:bookmarkEnd w:id="138"/>
    </w:p>
    <w:p w14:paraId="628943E8" w14:textId="45E25720" w:rsidR="00D73703" w:rsidRDefault="00015055" w:rsidP="00015055">
      <w:pPr>
        <w:pStyle w:val="Heading1"/>
        <w:rPr>
          <w:rFonts w:ascii="Calibri" w:hAnsi="Calibri" w:cs="Calibri"/>
          <w:color w:val="auto"/>
          <w:sz w:val="24"/>
          <w:szCs w:val="24"/>
        </w:rPr>
      </w:pPr>
      <w:bookmarkStart w:id="139" w:name="_Toc209810434"/>
      <w:bookmarkStart w:id="140" w:name="_Toc209827033"/>
      <w:r w:rsidRPr="007D5A11">
        <w:rPr>
          <w:rFonts w:ascii="Calibri" w:hAnsi="Calibri" w:cs="Calibri"/>
          <w:color w:val="auto"/>
          <w:sz w:val="24"/>
          <w:szCs w:val="24"/>
        </w:rPr>
        <w:t>Ethical approval was sought</w:t>
      </w:r>
      <w:r w:rsidR="001B1185">
        <w:rPr>
          <w:rFonts w:ascii="Calibri" w:hAnsi="Calibri" w:cs="Calibri"/>
          <w:color w:val="auto"/>
          <w:sz w:val="24"/>
          <w:szCs w:val="24"/>
        </w:rPr>
        <w:t xml:space="preserve"> and obtained</w:t>
      </w:r>
      <w:r w:rsidRPr="007D5A11">
        <w:rPr>
          <w:rFonts w:ascii="Calibri" w:hAnsi="Calibri" w:cs="Calibri"/>
          <w:color w:val="auto"/>
          <w:sz w:val="24"/>
          <w:szCs w:val="24"/>
        </w:rPr>
        <w:t xml:space="preserve"> </w:t>
      </w:r>
      <w:r w:rsidR="004E1F12">
        <w:rPr>
          <w:rFonts w:ascii="Calibri" w:hAnsi="Calibri" w:cs="Calibri"/>
          <w:color w:val="auto"/>
          <w:sz w:val="24"/>
          <w:szCs w:val="24"/>
        </w:rPr>
        <w:t>from</w:t>
      </w:r>
      <w:r w:rsidRPr="007D5A11">
        <w:rPr>
          <w:rFonts w:ascii="Calibri" w:hAnsi="Calibri" w:cs="Calibri"/>
          <w:color w:val="auto"/>
          <w:sz w:val="24"/>
          <w:szCs w:val="24"/>
        </w:rPr>
        <w:t xml:space="preserve"> the University Research Ethics Committee.</w:t>
      </w:r>
      <w:bookmarkStart w:id="141" w:name="_Toc209810435"/>
      <w:bookmarkEnd w:id="139"/>
      <w:bookmarkEnd w:id="140"/>
    </w:p>
    <w:p w14:paraId="21FDC527" w14:textId="20EA9600" w:rsidR="00015055" w:rsidRPr="007D5A11" w:rsidRDefault="00015055" w:rsidP="00015055">
      <w:pPr>
        <w:pStyle w:val="Heading1"/>
        <w:rPr>
          <w:rFonts w:ascii="Calibri" w:hAnsi="Calibri" w:cs="Calibri"/>
          <w:color w:val="auto"/>
          <w:sz w:val="24"/>
          <w:szCs w:val="24"/>
        </w:rPr>
      </w:pPr>
      <w:bookmarkStart w:id="142" w:name="_Toc209827034"/>
      <w:r w:rsidRPr="007D5A11">
        <w:rPr>
          <w:rFonts w:ascii="Calibri" w:hAnsi="Calibri" w:cs="Calibri"/>
          <w:color w:val="auto"/>
          <w:sz w:val="24"/>
          <w:szCs w:val="24"/>
        </w:rPr>
        <w:t>Key safeguards: informed consent, anonymity, confidentiality, right to withdraw, secure data storage.</w:t>
      </w:r>
      <w:bookmarkEnd w:id="141"/>
      <w:bookmarkEnd w:id="142"/>
    </w:p>
    <w:p w14:paraId="74C62648" w14:textId="70B7906A" w:rsidR="00D73703" w:rsidRPr="00D73703" w:rsidRDefault="00015055" w:rsidP="00D73703">
      <w:pPr>
        <w:pStyle w:val="Heading1"/>
        <w:rPr>
          <w:rFonts w:ascii="Calibri" w:hAnsi="Calibri" w:cs="Calibri"/>
          <w:color w:val="auto"/>
          <w:sz w:val="24"/>
          <w:szCs w:val="24"/>
        </w:rPr>
      </w:pPr>
      <w:bookmarkStart w:id="143" w:name="_Toc209810436"/>
      <w:bookmarkStart w:id="144" w:name="_Toc209827035"/>
      <w:r w:rsidRPr="007D5A11">
        <w:rPr>
          <w:rFonts w:ascii="Calibri" w:hAnsi="Calibri" w:cs="Calibri"/>
          <w:color w:val="auto"/>
          <w:sz w:val="24"/>
          <w:szCs w:val="24"/>
        </w:rPr>
        <w:t>The study complies with the College of Policing’s </w:t>
      </w:r>
      <w:r w:rsidRPr="007D5A11">
        <w:rPr>
          <w:rFonts w:ascii="Calibri" w:hAnsi="Calibri" w:cs="Calibri"/>
          <w:i/>
          <w:iCs/>
          <w:color w:val="auto"/>
          <w:sz w:val="24"/>
          <w:szCs w:val="24"/>
        </w:rPr>
        <w:t>Code of Ethics</w:t>
      </w:r>
      <w:r w:rsidRPr="007D5A11">
        <w:rPr>
          <w:rFonts w:ascii="Calibri" w:hAnsi="Calibri" w:cs="Calibri"/>
          <w:color w:val="auto"/>
          <w:sz w:val="24"/>
          <w:szCs w:val="24"/>
        </w:rPr>
        <w:t> and UWTSD’s ethical guidelines.</w:t>
      </w:r>
      <w:bookmarkEnd w:id="143"/>
      <w:bookmarkEnd w:id="144"/>
    </w:p>
    <w:bookmarkStart w:id="145" w:name="_Toc209827036"/>
    <w:p w14:paraId="2C3B24CD" w14:textId="3CC86FD7" w:rsidR="00015055" w:rsidRPr="007D5A11" w:rsidRDefault="004141D9" w:rsidP="00015055">
      <w:pPr>
        <w:pStyle w:val="Heading1"/>
        <w:rPr>
          <w:rFonts w:ascii="Calibri" w:hAnsi="Calibri" w:cs="Calibri"/>
          <w:b/>
          <w:bCs/>
          <w:color w:val="auto"/>
          <w:sz w:val="24"/>
          <w:szCs w:val="24"/>
        </w:rPr>
      </w:pPr>
      <w:r w:rsidRPr="004141D9">
        <w:rPr>
          <w:rFonts w:ascii="Calibri" w:hAnsi="Calibri" w:cs="Calibri"/>
          <w:b/>
          <w:bCs/>
          <w:noProof/>
          <w:color w:val="auto"/>
          <w:sz w:val="24"/>
          <w:szCs w:val="24"/>
          <w14:ligatures w14:val="standardContextual"/>
        </w:rPr>
        <w:object w:dxaOrig="760" w:dyaOrig="480" w14:anchorId="24A7B3E9">
          <v:shape id="_x0000_i1027" type="#_x0000_t75" alt="" style="width:92pt;height:58pt;mso-width-percent:0;mso-height-percent:0;mso-width-percent:0;mso-height-percent:0" o:ole="">
            <v:imagedata r:id="rId7" o:title=""/>
          </v:shape>
          <o:OLEObject Type="Link" ProgID="Word.Document.12" ShapeID="_x0000_i1027" DrawAspect="Icon" r:id="rId14" UpdateMode="Always">
            <o:LinkType>EnhancedMetaFile</o:LinkType>
            <o:LockedField>false</o:LockedField>
            <o:FieldCodes>\f 0</o:FieldCodes>
          </o:OLEObject>
        </w:object>
      </w:r>
      <w:r w:rsidR="00D73703">
        <w:rPr>
          <w:rFonts w:ascii="Calibri" w:hAnsi="Calibri" w:cs="Calibri"/>
          <w:b/>
          <w:bCs/>
          <w:color w:val="auto"/>
          <w:sz w:val="24"/>
          <w:szCs w:val="24"/>
        </w:rPr>
        <w:t xml:space="preserve">  </w:t>
      </w:r>
      <w:bookmarkEnd w:id="145"/>
      <w:r w:rsidRPr="004141D9">
        <w:rPr>
          <w:rFonts w:ascii="Calibri" w:hAnsi="Calibri" w:cs="Calibri"/>
          <w:b/>
          <w:bCs/>
          <w:noProof/>
          <w:color w:val="auto"/>
          <w:sz w:val="24"/>
          <w:szCs w:val="24"/>
          <w14:ligatures w14:val="standardContextual"/>
        </w:rPr>
        <w:object w:dxaOrig="760" w:dyaOrig="480" w14:anchorId="689FE389">
          <v:shape id="_x0000_i1026" type="#_x0000_t75" alt="" style="width:90pt;height:57pt;mso-width-percent:0;mso-height-percent:0;mso-width-percent:0;mso-height-percent:0" o:ole="">
            <v:imagedata r:id="rId9" o:title=""/>
          </v:shape>
          <o:OLEObject Type="Link" ProgID="Word.Document.12" ShapeID="_x0000_i1026" DrawAspect="Icon" r:id="rId15" UpdateMode="Always">
            <o:LinkType>EnhancedMetaFile</o:LinkType>
            <o:LockedField>false</o:LockedField>
            <o:FieldCodes>\f 0</o:FieldCodes>
          </o:OLEObject>
        </w:object>
      </w:r>
    </w:p>
    <w:p w14:paraId="4B02F6E0" w14:textId="77777777" w:rsidR="00015055" w:rsidRPr="007D5A11" w:rsidRDefault="00015055" w:rsidP="00015055">
      <w:pPr>
        <w:pStyle w:val="Heading1"/>
        <w:rPr>
          <w:rFonts w:ascii="Calibri" w:hAnsi="Calibri" w:cs="Calibri"/>
          <w:b/>
          <w:bCs/>
          <w:color w:val="auto"/>
          <w:sz w:val="24"/>
          <w:szCs w:val="24"/>
        </w:rPr>
      </w:pPr>
      <w:bookmarkStart w:id="146" w:name="_Toc209827037"/>
      <w:r w:rsidRPr="007D5A11">
        <w:rPr>
          <w:rFonts w:ascii="Calibri" w:hAnsi="Calibri" w:cs="Calibri"/>
          <w:b/>
          <w:bCs/>
          <w:color w:val="auto"/>
          <w:sz w:val="24"/>
          <w:szCs w:val="24"/>
        </w:rPr>
        <w:t>Appendix D – Raw Data Tables and Figures</w:t>
      </w:r>
      <w:bookmarkEnd w:id="146"/>
    </w:p>
    <w:p w14:paraId="59796D08" w14:textId="5F09A3F4" w:rsidR="00015055" w:rsidRPr="007D5A11" w:rsidRDefault="00015055" w:rsidP="00015055">
      <w:pPr>
        <w:pStyle w:val="Heading1"/>
        <w:rPr>
          <w:rFonts w:ascii="Calibri" w:hAnsi="Calibri" w:cs="Calibri"/>
          <w:b/>
          <w:bCs/>
          <w:color w:val="auto"/>
          <w:sz w:val="24"/>
          <w:szCs w:val="24"/>
        </w:rPr>
      </w:pPr>
      <w:bookmarkStart w:id="147" w:name="_Toc209810438"/>
      <w:bookmarkStart w:id="148" w:name="_Toc209827038"/>
      <w:r w:rsidRPr="007D5A11">
        <w:rPr>
          <w:rFonts w:ascii="Calibri" w:hAnsi="Calibri" w:cs="Calibri"/>
          <w:b/>
          <w:bCs/>
          <w:color w:val="auto"/>
          <w:sz w:val="24"/>
          <w:szCs w:val="24"/>
        </w:rPr>
        <w:t>Table D1: Summary of Mean Responses (Q6–Q15)</w:t>
      </w:r>
      <w:bookmarkEnd w:id="147"/>
      <w:bookmarkEnd w:id="148"/>
    </w:p>
    <w:tbl>
      <w:tblPr>
        <w:tblStyle w:val="TableGrid"/>
        <w:tblpPr w:leftFromText="180" w:rightFromText="180" w:vertAnchor="page" w:horzAnchor="margin" w:tblpY="10757"/>
        <w:tblW w:w="0" w:type="auto"/>
        <w:tblLook w:val="04A0" w:firstRow="1" w:lastRow="0" w:firstColumn="1" w:lastColumn="0" w:noHBand="0" w:noVBand="1"/>
      </w:tblPr>
      <w:tblGrid>
        <w:gridCol w:w="957"/>
        <w:gridCol w:w="4603"/>
        <w:gridCol w:w="688"/>
        <w:gridCol w:w="2413"/>
      </w:tblGrid>
      <w:tr w:rsidR="00D73703" w:rsidRPr="007D5A11" w14:paraId="5E36E49C" w14:textId="77777777" w:rsidTr="00D73703">
        <w:tc>
          <w:tcPr>
            <w:tcW w:w="0" w:type="auto"/>
            <w:hideMark/>
          </w:tcPr>
          <w:p w14:paraId="29D383B0" w14:textId="77777777" w:rsidR="00D73703" w:rsidRPr="007D5A11" w:rsidRDefault="00D73703" w:rsidP="00D73703">
            <w:pPr>
              <w:jc w:val="center"/>
              <w:rPr>
                <w:rFonts w:ascii="Calibri" w:hAnsi="Calibri" w:cs="Calibri"/>
              </w:rPr>
            </w:pPr>
            <w:r w:rsidRPr="007D5A11">
              <w:rPr>
                <w:rFonts w:ascii="Calibri" w:hAnsi="Calibri" w:cs="Calibri"/>
              </w:rPr>
              <w:t>Question</w:t>
            </w:r>
          </w:p>
        </w:tc>
        <w:tc>
          <w:tcPr>
            <w:tcW w:w="0" w:type="auto"/>
            <w:hideMark/>
          </w:tcPr>
          <w:p w14:paraId="326FC3E4" w14:textId="77777777" w:rsidR="00D73703" w:rsidRPr="007D5A11" w:rsidRDefault="00D73703" w:rsidP="00D73703">
            <w:pPr>
              <w:jc w:val="center"/>
              <w:rPr>
                <w:rFonts w:ascii="Calibri" w:hAnsi="Calibri" w:cs="Calibri"/>
              </w:rPr>
            </w:pPr>
            <w:r w:rsidRPr="007D5A11">
              <w:rPr>
                <w:rFonts w:ascii="Calibri" w:hAnsi="Calibri" w:cs="Calibri"/>
              </w:rPr>
              <w:t>Statement (shortened)</w:t>
            </w:r>
          </w:p>
        </w:tc>
        <w:tc>
          <w:tcPr>
            <w:tcW w:w="0" w:type="auto"/>
            <w:hideMark/>
          </w:tcPr>
          <w:p w14:paraId="04BACA36" w14:textId="77777777" w:rsidR="00D73703" w:rsidRPr="007D5A11" w:rsidRDefault="00D73703" w:rsidP="00D73703">
            <w:pPr>
              <w:jc w:val="center"/>
              <w:rPr>
                <w:rFonts w:ascii="Calibri" w:hAnsi="Calibri" w:cs="Calibri"/>
              </w:rPr>
            </w:pPr>
            <w:r w:rsidRPr="007D5A11">
              <w:rPr>
                <w:rFonts w:ascii="Calibri" w:hAnsi="Calibri" w:cs="Calibri"/>
              </w:rPr>
              <w:t>Mean</w:t>
            </w:r>
          </w:p>
        </w:tc>
        <w:tc>
          <w:tcPr>
            <w:tcW w:w="0" w:type="auto"/>
            <w:hideMark/>
          </w:tcPr>
          <w:p w14:paraId="0CEC3EEE" w14:textId="77777777" w:rsidR="00D73703" w:rsidRPr="007D5A11" w:rsidRDefault="00D73703" w:rsidP="00D73703">
            <w:pPr>
              <w:jc w:val="center"/>
              <w:rPr>
                <w:rFonts w:ascii="Calibri" w:hAnsi="Calibri" w:cs="Calibri"/>
              </w:rPr>
            </w:pPr>
            <w:r w:rsidRPr="007D5A11">
              <w:rPr>
                <w:rFonts w:ascii="Calibri" w:hAnsi="Calibri" w:cs="Calibri"/>
              </w:rPr>
              <w:t>Trend</w:t>
            </w:r>
          </w:p>
        </w:tc>
      </w:tr>
      <w:tr w:rsidR="00D73703" w:rsidRPr="007D5A11" w14:paraId="4E4C7438" w14:textId="77777777" w:rsidTr="00D73703">
        <w:tc>
          <w:tcPr>
            <w:tcW w:w="0" w:type="auto"/>
            <w:hideMark/>
          </w:tcPr>
          <w:p w14:paraId="7AED1EB1" w14:textId="77777777" w:rsidR="00D73703" w:rsidRPr="007D5A11" w:rsidRDefault="00D73703" w:rsidP="00D73703">
            <w:pPr>
              <w:rPr>
                <w:rFonts w:ascii="Calibri" w:hAnsi="Calibri" w:cs="Calibri"/>
              </w:rPr>
            </w:pPr>
            <w:r w:rsidRPr="007D5A11">
              <w:rPr>
                <w:rFonts w:ascii="Calibri" w:hAnsi="Calibri" w:cs="Calibri"/>
              </w:rPr>
              <w:t>Q6</w:t>
            </w:r>
          </w:p>
        </w:tc>
        <w:tc>
          <w:tcPr>
            <w:tcW w:w="0" w:type="auto"/>
            <w:hideMark/>
          </w:tcPr>
          <w:p w14:paraId="75BF6D53" w14:textId="77777777" w:rsidR="00D73703" w:rsidRPr="007D5A11" w:rsidRDefault="00D73703" w:rsidP="00D73703">
            <w:pPr>
              <w:rPr>
                <w:rFonts w:ascii="Calibri" w:hAnsi="Calibri" w:cs="Calibri"/>
              </w:rPr>
            </w:pPr>
            <w:r w:rsidRPr="007D5A11">
              <w:rPr>
                <w:rFonts w:ascii="Calibri" w:hAnsi="Calibri" w:cs="Calibri"/>
              </w:rPr>
              <w:t>Arming increases officer safety</w:t>
            </w:r>
          </w:p>
        </w:tc>
        <w:tc>
          <w:tcPr>
            <w:tcW w:w="0" w:type="auto"/>
            <w:hideMark/>
          </w:tcPr>
          <w:p w14:paraId="4BD2011D" w14:textId="77777777" w:rsidR="00D73703" w:rsidRPr="007D5A11" w:rsidRDefault="00D73703" w:rsidP="00D73703">
            <w:pPr>
              <w:rPr>
                <w:rFonts w:ascii="Calibri" w:hAnsi="Calibri" w:cs="Calibri"/>
              </w:rPr>
            </w:pPr>
            <w:r w:rsidRPr="007D5A11">
              <w:rPr>
                <w:rFonts w:ascii="Calibri" w:hAnsi="Calibri" w:cs="Calibri"/>
              </w:rPr>
              <w:t>4.25</w:t>
            </w:r>
          </w:p>
        </w:tc>
        <w:tc>
          <w:tcPr>
            <w:tcW w:w="0" w:type="auto"/>
            <w:hideMark/>
          </w:tcPr>
          <w:p w14:paraId="52818808" w14:textId="77777777" w:rsidR="00D73703" w:rsidRPr="007D5A11" w:rsidRDefault="00D73703" w:rsidP="00D73703">
            <w:pPr>
              <w:rPr>
                <w:rFonts w:ascii="Calibri" w:hAnsi="Calibri" w:cs="Calibri"/>
              </w:rPr>
            </w:pPr>
            <w:r w:rsidRPr="007D5A11">
              <w:rPr>
                <w:rFonts w:ascii="Calibri" w:hAnsi="Calibri" w:cs="Calibri"/>
              </w:rPr>
              <w:t>Strong agreement</w:t>
            </w:r>
          </w:p>
        </w:tc>
      </w:tr>
      <w:tr w:rsidR="00D73703" w:rsidRPr="007D5A11" w14:paraId="5DE6797B" w14:textId="77777777" w:rsidTr="00D73703">
        <w:tc>
          <w:tcPr>
            <w:tcW w:w="0" w:type="auto"/>
            <w:hideMark/>
          </w:tcPr>
          <w:p w14:paraId="661375F6" w14:textId="77777777" w:rsidR="00D73703" w:rsidRPr="007D5A11" w:rsidRDefault="00D73703" w:rsidP="00D73703">
            <w:pPr>
              <w:rPr>
                <w:rFonts w:ascii="Calibri" w:hAnsi="Calibri" w:cs="Calibri"/>
              </w:rPr>
            </w:pPr>
            <w:r w:rsidRPr="007D5A11">
              <w:rPr>
                <w:rFonts w:ascii="Calibri" w:hAnsi="Calibri" w:cs="Calibri"/>
              </w:rPr>
              <w:t>Q7</w:t>
            </w:r>
          </w:p>
        </w:tc>
        <w:tc>
          <w:tcPr>
            <w:tcW w:w="0" w:type="auto"/>
            <w:hideMark/>
          </w:tcPr>
          <w:p w14:paraId="13A1549B" w14:textId="77777777" w:rsidR="00D73703" w:rsidRPr="007D5A11" w:rsidRDefault="00D73703" w:rsidP="00D73703">
            <w:pPr>
              <w:rPr>
                <w:rFonts w:ascii="Calibri" w:hAnsi="Calibri" w:cs="Calibri"/>
              </w:rPr>
            </w:pPr>
            <w:r w:rsidRPr="007D5A11">
              <w:rPr>
                <w:rFonts w:ascii="Calibri" w:hAnsi="Calibri" w:cs="Calibri"/>
              </w:rPr>
              <w:t>Arming makes public feel safer</w:t>
            </w:r>
          </w:p>
        </w:tc>
        <w:tc>
          <w:tcPr>
            <w:tcW w:w="0" w:type="auto"/>
            <w:hideMark/>
          </w:tcPr>
          <w:p w14:paraId="2F3789EA" w14:textId="77777777" w:rsidR="00D73703" w:rsidRPr="007D5A11" w:rsidRDefault="00D73703" w:rsidP="00D73703">
            <w:pPr>
              <w:rPr>
                <w:rFonts w:ascii="Calibri" w:hAnsi="Calibri" w:cs="Calibri"/>
              </w:rPr>
            </w:pPr>
            <w:r w:rsidRPr="007D5A11">
              <w:rPr>
                <w:rFonts w:ascii="Calibri" w:hAnsi="Calibri" w:cs="Calibri"/>
              </w:rPr>
              <w:t>4.33</w:t>
            </w:r>
          </w:p>
        </w:tc>
        <w:tc>
          <w:tcPr>
            <w:tcW w:w="0" w:type="auto"/>
            <w:hideMark/>
          </w:tcPr>
          <w:p w14:paraId="00B2940D" w14:textId="77777777" w:rsidR="00D73703" w:rsidRPr="007D5A11" w:rsidRDefault="00D73703" w:rsidP="00D73703">
            <w:pPr>
              <w:rPr>
                <w:rFonts w:ascii="Calibri" w:hAnsi="Calibri" w:cs="Calibri"/>
              </w:rPr>
            </w:pPr>
            <w:r w:rsidRPr="007D5A11">
              <w:rPr>
                <w:rFonts w:ascii="Calibri" w:hAnsi="Calibri" w:cs="Calibri"/>
              </w:rPr>
              <w:t>Strong agreement</w:t>
            </w:r>
          </w:p>
        </w:tc>
      </w:tr>
      <w:tr w:rsidR="00D73703" w:rsidRPr="007D5A11" w14:paraId="4D6CFA28" w14:textId="77777777" w:rsidTr="00D73703">
        <w:tc>
          <w:tcPr>
            <w:tcW w:w="0" w:type="auto"/>
            <w:hideMark/>
          </w:tcPr>
          <w:p w14:paraId="6DCF5DD1" w14:textId="77777777" w:rsidR="00D73703" w:rsidRPr="007D5A11" w:rsidRDefault="00D73703" w:rsidP="00D73703">
            <w:pPr>
              <w:rPr>
                <w:rFonts w:ascii="Calibri" w:hAnsi="Calibri" w:cs="Calibri"/>
              </w:rPr>
            </w:pPr>
            <w:r w:rsidRPr="007D5A11">
              <w:rPr>
                <w:rFonts w:ascii="Calibri" w:hAnsi="Calibri" w:cs="Calibri"/>
              </w:rPr>
              <w:t>Q8</w:t>
            </w:r>
          </w:p>
        </w:tc>
        <w:tc>
          <w:tcPr>
            <w:tcW w:w="0" w:type="auto"/>
            <w:hideMark/>
          </w:tcPr>
          <w:p w14:paraId="474F0313" w14:textId="77777777" w:rsidR="00D73703" w:rsidRPr="007D5A11" w:rsidRDefault="00D73703" w:rsidP="00D73703">
            <w:pPr>
              <w:rPr>
                <w:rFonts w:ascii="Calibri" w:hAnsi="Calibri" w:cs="Calibri"/>
              </w:rPr>
            </w:pPr>
            <w:r w:rsidRPr="007D5A11">
              <w:rPr>
                <w:rFonts w:ascii="Calibri" w:hAnsi="Calibri" w:cs="Calibri"/>
              </w:rPr>
              <w:t>Firearms improve response to terrorism/violent crime</w:t>
            </w:r>
          </w:p>
        </w:tc>
        <w:tc>
          <w:tcPr>
            <w:tcW w:w="0" w:type="auto"/>
            <w:hideMark/>
          </w:tcPr>
          <w:p w14:paraId="3D35DC2D" w14:textId="77777777" w:rsidR="00D73703" w:rsidRPr="007D5A11" w:rsidRDefault="00D73703" w:rsidP="00D73703">
            <w:pPr>
              <w:rPr>
                <w:rFonts w:ascii="Calibri" w:hAnsi="Calibri" w:cs="Calibri"/>
              </w:rPr>
            </w:pPr>
            <w:r w:rsidRPr="007D5A11">
              <w:rPr>
                <w:rFonts w:ascii="Calibri" w:hAnsi="Calibri" w:cs="Calibri"/>
              </w:rPr>
              <w:t>4.25</w:t>
            </w:r>
          </w:p>
        </w:tc>
        <w:tc>
          <w:tcPr>
            <w:tcW w:w="0" w:type="auto"/>
            <w:hideMark/>
          </w:tcPr>
          <w:p w14:paraId="564C6FE1" w14:textId="77777777" w:rsidR="00D73703" w:rsidRPr="007D5A11" w:rsidRDefault="00D73703" w:rsidP="00D73703">
            <w:pPr>
              <w:rPr>
                <w:rFonts w:ascii="Calibri" w:hAnsi="Calibri" w:cs="Calibri"/>
              </w:rPr>
            </w:pPr>
            <w:r w:rsidRPr="007D5A11">
              <w:rPr>
                <w:rFonts w:ascii="Calibri" w:hAnsi="Calibri" w:cs="Calibri"/>
              </w:rPr>
              <w:t>Strong agreement</w:t>
            </w:r>
          </w:p>
        </w:tc>
      </w:tr>
      <w:tr w:rsidR="00D73703" w:rsidRPr="007D5A11" w14:paraId="66AB9E13" w14:textId="77777777" w:rsidTr="00D73703">
        <w:tc>
          <w:tcPr>
            <w:tcW w:w="0" w:type="auto"/>
            <w:hideMark/>
          </w:tcPr>
          <w:p w14:paraId="68C5AE30" w14:textId="77777777" w:rsidR="00D73703" w:rsidRPr="007D5A11" w:rsidRDefault="00D73703" w:rsidP="00D73703">
            <w:pPr>
              <w:rPr>
                <w:rFonts w:ascii="Calibri" w:hAnsi="Calibri" w:cs="Calibri"/>
              </w:rPr>
            </w:pPr>
            <w:r w:rsidRPr="007D5A11">
              <w:rPr>
                <w:rFonts w:ascii="Calibri" w:hAnsi="Calibri" w:cs="Calibri"/>
              </w:rPr>
              <w:t>Q9</w:t>
            </w:r>
          </w:p>
        </w:tc>
        <w:tc>
          <w:tcPr>
            <w:tcW w:w="0" w:type="auto"/>
            <w:hideMark/>
          </w:tcPr>
          <w:p w14:paraId="02B86998" w14:textId="77777777" w:rsidR="00D73703" w:rsidRPr="007D5A11" w:rsidRDefault="00D73703" w:rsidP="00D73703">
            <w:pPr>
              <w:rPr>
                <w:rFonts w:ascii="Calibri" w:hAnsi="Calibri" w:cs="Calibri"/>
              </w:rPr>
            </w:pPr>
            <w:r w:rsidRPr="007D5A11">
              <w:rPr>
                <w:rFonts w:ascii="Calibri" w:hAnsi="Calibri" w:cs="Calibri"/>
              </w:rPr>
              <w:t>Routine arming increases risk of unnecessary force</w:t>
            </w:r>
          </w:p>
        </w:tc>
        <w:tc>
          <w:tcPr>
            <w:tcW w:w="0" w:type="auto"/>
            <w:hideMark/>
          </w:tcPr>
          <w:p w14:paraId="77B78CE2" w14:textId="77777777" w:rsidR="00D73703" w:rsidRPr="007D5A11" w:rsidRDefault="00D73703" w:rsidP="00D73703">
            <w:pPr>
              <w:rPr>
                <w:rFonts w:ascii="Calibri" w:hAnsi="Calibri" w:cs="Calibri"/>
              </w:rPr>
            </w:pPr>
            <w:r w:rsidRPr="007D5A11">
              <w:rPr>
                <w:rFonts w:ascii="Calibri" w:hAnsi="Calibri" w:cs="Calibri"/>
              </w:rPr>
              <w:t>3.75</w:t>
            </w:r>
          </w:p>
        </w:tc>
        <w:tc>
          <w:tcPr>
            <w:tcW w:w="0" w:type="auto"/>
            <w:hideMark/>
          </w:tcPr>
          <w:p w14:paraId="57A4C1CC" w14:textId="77777777" w:rsidR="00D73703" w:rsidRPr="007D5A11" w:rsidRDefault="00D73703" w:rsidP="00D73703">
            <w:pPr>
              <w:rPr>
                <w:rFonts w:ascii="Calibri" w:hAnsi="Calibri" w:cs="Calibri"/>
              </w:rPr>
            </w:pPr>
            <w:r w:rsidRPr="007D5A11">
              <w:rPr>
                <w:rFonts w:ascii="Calibri" w:hAnsi="Calibri" w:cs="Calibri"/>
              </w:rPr>
              <w:t>Moderate agreement</w:t>
            </w:r>
          </w:p>
        </w:tc>
      </w:tr>
      <w:tr w:rsidR="00D73703" w:rsidRPr="007D5A11" w14:paraId="6B8BE595" w14:textId="77777777" w:rsidTr="00D73703">
        <w:tc>
          <w:tcPr>
            <w:tcW w:w="0" w:type="auto"/>
            <w:hideMark/>
          </w:tcPr>
          <w:p w14:paraId="60DC3F7A" w14:textId="77777777" w:rsidR="00D73703" w:rsidRPr="007D5A11" w:rsidRDefault="00D73703" w:rsidP="00D73703">
            <w:pPr>
              <w:rPr>
                <w:rFonts w:ascii="Calibri" w:hAnsi="Calibri" w:cs="Calibri"/>
              </w:rPr>
            </w:pPr>
            <w:r w:rsidRPr="007D5A11">
              <w:rPr>
                <w:rFonts w:ascii="Calibri" w:hAnsi="Calibri" w:cs="Calibri"/>
              </w:rPr>
              <w:t>Q10</w:t>
            </w:r>
          </w:p>
        </w:tc>
        <w:tc>
          <w:tcPr>
            <w:tcW w:w="0" w:type="auto"/>
            <w:hideMark/>
          </w:tcPr>
          <w:p w14:paraId="7C7C1FD5" w14:textId="77777777" w:rsidR="00D73703" w:rsidRPr="007D5A11" w:rsidRDefault="00D73703" w:rsidP="00D73703">
            <w:pPr>
              <w:rPr>
                <w:rFonts w:ascii="Calibri" w:hAnsi="Calibri" w:cs="Calibri"/>
              </w:rPr>
            </w:pPr>
            <w:r w:rsidRPr="007D5A11">
              <w:rPr>
                <w:rFonts w:ascii="Calibri" w:hAnsi="Calibri" w:cs="Calibri"/>
              </w:rPr>
              <w:t>Community trust would decline</w:t>
            </w:r>
          </w:p>
        </w:tc>
        <w:tc>
          <w:tcPr>
            <w:tcW w:w="0" w:type="auto"/>
            <w:hideMark/>
          </w:tcPr>
          <w:p w14:paraId="40DE1987" w14:textId="77777777" w:rsidR="00D73703" w:rsidRPr="007D5A11" w:rsidRDefault="00D73703" w:rsidP="00D73703">
            <w:pPr>
              <w:rPr>
                <w:rFonts w:ascii="Calibri" w:hAnsi="Calibri" w:cs="Calibri"/>
              </w:rPr>
            </w:pPr>
            <w:r w:rsidRPr="007D5A11">
              <w:rPr>
                <w:rFonts w:ascii="Calibri" w:hAnsi="Calibri" w:cs="Calibri"/>
              </w:rPr>
              <w:t>3.67</w:t>
            </w:r>
          </w:p>
        </w:tc>
        <w:tc>
          <w:tcPr>
            <w:tcW w:w="0" w:type="auto"/>
            <w:hideMark/>
          </w:tcPr>
          <w:p w14:paraId="23862025" w14:textId="77777777" w:rsidR="00D73703" w:rsidRPr="007D5A11" w:rsidRDefault="00D73703" w:rsidP="00D73703">
            <w:pPr>
              <w:rPr>
                <w:rFonts w:ascii="Calibri" w:hAnsi="Calibri" w:cs="Calibri"/>
              </w:rPr>
            </w:pPr>
            <w:r w:rsidRPr="007D5A11">
              <w:rPr>
                <w:rFonts w:ascii="Calibri" w:hAnsi="Calibri" w:cs="Calibri"/>
              </w:rPr>
              <w:t>Moderate agreement</w:t>
            </w:r>
          </w:p>
        </w:tc>
      </w:tr>
      <w:tr w:rsidR="00D73703" w:rsidRPr="007D5A11" w14:paraId="7167E554" w14:textId="77777777" w:rsidTr="00D73703">
        <w:tc>
          <w:tcPr>
            <w:tcW w:w="0" w:type="auto"/>
            <w:hideMark/>
          </w:tcPr>
          <w:p w14:paraId="70F38388" w14:textId="77777777" w:rsidR="00D73703" w:rsidRPr="007D5A11" w:rsidRDefault="00D73703" w:rsidP="00D73703">
            <w:pPr>
              <w:rPr>
                <w:rFonts w:ascii="Calibri" w:hAnsi="Calibri" w:cs="Calibri"/>
              </w:rPr>
            </w:pPr>
            <w:r w:rsidRPr="007D5A11">
              <w:rPr>
                <w:rFonts w:ascii="Calibri" w:hAnsi="Calibri" w:cs="Calibri"/>
              </w:rPr>
              <w:t>Q11</w:t>
            </w:r>
          </w:p>
        </w:tc>
        <w:tc>
          <w:tcPr>
            <w:tcW w:w="0" w:type="auto"/>
            <w:hideMark/>
          </w:tcPr>
          <w:p w14:paraId="4909E2BB" w14:textId="77777777" w:rsidR="00D73703" w:rsidRPr="007D5A11" w:rsidRDefault="00D73703" w:rsidP="00D73703">
            <w:pPr>
              <w:rPr>
                <w:rFonts w:ascii="Calibri" w:hAnsi="Calibri" w:cs="Calibri"/>
              </w:rPr>
            </w:pPr>
            <w:r w:rsidRPr="007D5A11">
              <w:rPr>
                <w:rFonts w:ascii="Calibri" w:hAnsi="Calibri" w:cs="Calibri"/>
              </w:rPr>
              <w:t>Firearms escalate confrontations</w:t>
            </w:r>
          </w:p>
        </w:tc>
        <w:tc>
          <w:tcPr>
            <w:tcW w:w="0" w:type="auto"/>
            <w:hideMark/>
          </w:tcPr>
          <w:p w14:paraId="1B4BF02F" w14:textId="77777777" w:rsidR="00D73703" w:rsidRPr="007D5A11" w:rsidRDefault="00D73703" w:rsidP="00D73703">
            <w:pPr>
              <w:rPr>
                <w:rFonts w:ascii="Calibri" w:hAnsi="Calibri" w:cs="Calibri"/>
              </w:rPr>
            </w:pPr>
            <w:r w:rsidRPr="007D5A11">
              <w:rPr>
                <w:rFonts w:ascii="Calibri" w:hAnsi="Calibri" w:cs="Calibri"/>
              </w:rPr>
              <w:t>4.08</w:t>
            </w:r>
          </w:p>
        </w:tc>
        <w:tc>
          <w:tcPr>
            <w:tcW w:w="0" w:type="auto"/>
            <w:hideMark/>
          </w:tcPr>
          <w:p w14:paraId="4B4A0328" w14:textId="77777777" w:rsidR="00D73703" w:rsidRPr="007D5A11" w:rsidRDefault="00D73703" w:rsidP="00D73703">
            <w:pPr>
              <w:rPr>
                <w:rFonts w:ascii="Calibri" w:hAnsi="Calibri" w:cs="Calibri"/>
              </w:rPr>
            </w:pPr>
            <w:r w:rsidRPr="007D5A11">
              <w:rPr>
                <w:rFonts w:ascii="Calibri" w:hAnsi="Calibri" w:cs="Calibri"/>
              </w:rPr>
              <w:t>Strong agreement</w:t>
            </w:r>
          </w:p>
        </w:tc>
      </w:tr>
      <w:tr w:rsidR="00D73703" w:rsidRPr="007D5A11" w14:paraId="1A694E7E" w14:textId="77777777" w:rsidTr="00D73703">
        <w:tc>
          <w:tcPr>
            <w:tcW w:w="0" w:type="auto"/>
            <w:hideMark/>
          </w:tcPr>
          <w:p w14:paraId="39D5B284" w14:textId="77777777" w:rsidR="00D73703" w:rsidRPr="007D5A11" w:rsidRDefault="00D73703" w:rsidP="00D73703">
            <w:pPr>
              <w:rPr>
                <w:rFonts w:ascii="Calibri" w:hAnsi="Calibri" w:cs="Calibri"/>
              </w:rPr>
            </w:pPr>
            <w:r w:rsidRPr="007D5A11">
              <w:rPr>
                <w:rFonts w:ascii="Calibri" w:hAnsi="Calibri" w:cs="Calibri"/>
              </w:rPr>
              <w:t>Q12</w:t>
            </w:r>
          </w:p>
        </w:tc>
        <w:tc>
          <w:tcPr>
            <w:tcW w:w="0" w:type="auto"/>
            <w:hideMark/>
          </w:tcPr>
          <w:p w14:paraId="562E341D" w14:textId="77777777" w:rsidR="00D73703" w:rsidRPr="007D5A11" w:rsidRDefault="00D73703" w:rsidP="00D73703">
            <w:pPr>
              <w:rPr>
                <w:rFonts w:ascii="Calibri" w:hAnsi="Calibri" w:cs="Calibri"/>
              </w:rPr>
            </w:pPr>
            <w:r w:rsidRPr="007D5A11">
              <w:rPr>
                <w:rFonts w:ascii="Calibri" w:hAnsi="Calibri" w:cs="Calibri"/>
              </w:rPr>
              <w:t>Arming deters violent criminals</w:t>
            </w:r>
          </w:p>
        </w:tc>
        <w:tc>
          <w:tcPr>
            <w:tcW w:w="0" w:type="auto"/>
            <w:hideMark/>
          </w:tcPr>
          <w:p w14:paraId="45922549" w14:textId="77777777" w:rsidR="00D73703" w:rsidRPr="007D5A11" w:rsidRDefault="00D73703" w:rsidP="00D73703">
            <w:pPr>
              <w:rPr>
                <w:rFonts w:ascii="Calibri" w:hAnsi="Calibri" w:cs="Calibri"/>
              </w:rPr>
            </w:pPr>
            <w:r w:rsidRPr="007D5A11">
              <w:rPr>
                <w:rFonts w:ascii="Calibri" w:hAnsi="Calibri" w:cs="Calibri"/>
              </w:rPr>
              <w:t>4.08</w:t>
            </w:r>
          </w:p>
        </w:tc>
        <w:tc>
          <w:tcPr>
            <w:tcW w:w="0" w:type="auto"/>
            <w:hideMark/>
          </w:tcPr>
          <w:p w14:paraId="12AD38D0" w14:textId="77777777" w:rsidR="00D73703" w:rsidRPr="007D5A11" w:rsidRDefault="00D73703" w:rsidP="00D73703">
            <w:pPr>
              <w:rPr>
                <w:rFonts w:ascii="Calibri" w:hAnsi="Calibri" w:cs="Calibri"/>
              </w:rPr>
            </w:pPr>
            <w:r w:rsidRPr="007D5A11">
              <w:rPr>
                <w:rFonts w:ascii="Calibri" w:hAnsi="Calibri" w:cs="Calibri"/>
              </w:rPr>
              <w:t>Strong agreement</w:t>
            </w:r>
          </w:p>
        </w:tc>
      </w:tr>
      <w:tr w:rsidR="00D73703" w:rsidRPr="007D5A11" w14:paraId="0D030EFB" w14:textId="77777777" w:rsidTr="00D73703">
        <w:tc>
          <w:tcPr>
            <w:tcW w:w="0" w:type="auto"/>
            <w:hideMark/>
          </w:tcPr>
          <w:p w14:paraId="54F503D3" w14:textId="77777777" w:rsidR="00D73703" w:rsidRPr="007D5A11" w:rsidRDefault="00D73703" w:rsidP="00D73703">
            <w:pPr>
              <w:rPr>
                <w:rFonts w:ascii="Calibri" w:hAnsi="Calibri" w:cs="Calibri"/>
              </w:rPr>
            </w:pPr>
            <w:r w:rsidRPr="007D5A11">
              <w:rPr>
                <w:rFonts w:ascii="Calibri" w:hAnsi="Calibri" w:cs="Calibri"/>
              </w:rPr>
              <w:t>Q13</w:t>
            </w:r>
          </w:p>
        </w:tc>
        <w:tc>
          <w:tcPr>
            <w:tcW w:w="0" w:type="auto"/>
            <w:hideMark/>
          </w:tcPr>
          <w:p w14:paraId="56A09D80" w14:textId="77777777" w:rsidR="00D73703" w:rsidRPr="007D5A11" w:rsidRDefault="00D73703" w:rsidP="00D73703">
            <w:pPr>
              <w:rPr>
                <w:rFonts w:ascii="Calibri" w:hAnsi="Calibri" w:cs="Calibri"/>
              </w:rPr>
            </w:pPr>
            <w:r w:rsidRPr="007D5A11">
              <w:rPr>
                <w:rFonts w:ascii="Calibri" w:hAnsi="Calibri" w:cs="Calibri"/>
              </w:rPr>
              <w:t>Firearms training increases confidence</w:t>
            </w:r>
          </w:p>
        </w:tc>
        <w:tc>
          <w:tcPr>
            <w:tcW w:w="0" w:type="auto"/>
            <w:hideMark/>
          </w:tcPr>
          <w:p w14:paraId="6AC72E42" w14:textId="77777777" w:rsidR="00D73703" w:rsidRPr="007D5A11" w:rsidRDefault="00D73703" w:rsidP="00D73703">
            <w:pPr>
              <w:rPr>
                <w:rFonts w:ascii="Calibri" w:hAnsi="Calibri" w:cs="Calibri"/>
              </w:rPr>
            </w:pPr>
            <w:r w:rsidRPr="007D5A11">
              <w:rPr>
                <w:rFonts w:ascii="Calibri" w:hAnsi="Calibri" w:cs="Calibri"/>
              </w:rPr>
              <w:t>4.25</w:t>
            </w:r>
          </w:p>
        </w:tc>
        <w:tc>
          <w:tcPr>
            <w:tcW w:w="0" w:type="auto"/>
            <w:hideMark/>
          </w:tcPr>
          <w:p w14:paraId="7646965B" w14:textId="77777777" w:rsidR="00D73703" w:rsidRPr="007D5A11" w:rsidRDefault="00D73703" w:rsidP="00D73703">
            <w:pPr>
              <w:rPr>
                <w:rFonts w:ascii="Calibri" w:hAnsi="Calibri" w:cs="Calibri"/>
              </w:rPr>
            </w:pPr>
            <w:r w:rsidRPr="007D5A11">
              <w:rPr>
                <w:rFonts w:ascii="Calibri" w:hAnsi="Calibri" w:cs="Calibri"/>
              </w:rPr>
              <w:t>Strong agreement</w:t>
            </w:r>
          </w:p>
        </w:tc>
      </w:tr>
      <w:tr w:rsidR="00D73703" w:rsidRPr="007D5A11" w14:paraId="5962063A" w14:textId="77777777" w:rsidTr="00D73703">
        <w:tc>
          <w:tcPr>
            <w:tcW w:w="0" w:type="auto"/>
            <w:hideMark/>
          </w:tcPr>
          <w:p w14:paraId="496278A4" w14:textId="77777777" w:rsidR="00D73703" w:rsidRPr="007D5A11" w:rsidRDefault="00D73703" w:rsidP="00D73703">
            <w:pPr>
              <w:rPr>
                <w:rFonts w:ascii="Calibri" w:hAnsi="Calibri" w:cs="Calibri"/>
              </w:rPr>
            </w:pPr>
            <w:r w:rsidRPr="007D5A11">
              <w:rPr>
                <w:rFonts w:ascii="Calibri" w:hAnsi="Calibri" w:cs="Calibri"/>
              </w:rPr>
              <w:t>Q14</w:t>
            </w:r>
          </w:p>
        </w:tc>
        <w:tc>
          <w:tcPr>
            <w:tcW w:w="0" w:type="auto"/>
            <w:hideMark/>
          </w:tcPr>
          <w:p w14:paraId="61BB1407" w14:textId="77777777" w:rsidR="00D73703" w:rsidRPr="007D5A11" w:rsidRDefault="00D73703" w:rsidP="00D73703">
            <w:pPr>
              <w:rPr>
                <w:rFonts w:ascii="Calibri" w:hAnsi="Calibri" w:cs="Calibri"/>
              </w:rPr>
            </w:pPr>
            <w:r w:rsidRPr="007D5A11">
              <w:rPr>
                <w:rFonts w:ascii="Calibri" w:hAnsi="Calibri" w:cs="Calibri"/>
              </w:rPr>
              <w:t>Risks outweigh benefits</w:t>
            </w:r>
          </w:p>
        </w:tc>
        <w:tc>
          <w:tcPr>
            <w:tcW w:w="0" w:type="auto"/>
            <w:hideMark/>
          </w:tcPr>
          <w:p w14:paraId="60FC3253" w14:textId="77777777" w:rsidR="00D73703" w:rsidRPr="007D5A11" w:rsidRDefault="00D73703" w:rsidP="00D73703">
            <w:pPr>
              <w:rPr>
                <w:rFonts w:ascii="Calibri" w:hAnsi="Calibri" w:cs="Calibri"/>
              </w:rPr>
            </w:pPr>
            <w:r w:rsidRPr="007D5A11">
              <w:rPr>
                <w:rFonts w:ascii="Calibri" w:hAnsi="Calibri" w:cs="Calibri"/>
              </w:rPr>
              <w:t>3.58</w:t>
            </w:r>
          </w:p>
        </w:tc>
        <w:tc>
          <w:tcPr>
            <w:tcW w:w="0" w:type="auto"/>
            <w:hideMark/>
          </w:tcPr>
          <w:p w14:paraId="46237591" w14:textId="77777777" w:rsidR="00D73703" w:rsidRPr="007D5A11" w:rsidRDefault="00D73703" w:rsidP="00D73703">
            <w:pPr>
              <w:rPr>
                <w:rFonts w:ascii="Calibri" w:hAnsi="Calibri" w:cs="Calibri"/>
              </w:rPr>
            </w:pPr>
            <w:r w:rsidRPr="007D5A11">
              <w:rPr>
                <w:rFonts w:ascii="Calibri" w:hAnsi="Calibri" w:cs="Calibri"/>
              </w:rPr>
              <w:t>Moderate agreement</w:t>
            </w:r>
          </w:p>
        </w:tc>
      </w:tr>
      <w:tr w:rsidR="00D73703" w:rsidRPr="007D5A11" w14:paraId="17317F4C" w14:textId="77777777" w:rsidTr="00D73703">
        <w:trPr>
          <w:trHeight w:val="81"/>
        </w:trPr>
        <w:tc>
          <w:tcPr>
            <w:tcW w:w="0" w:type="auto"/>
            <w:hideMark/>
          </w:tcPr>
          <w:p w14:paraId="2095D502" w14:textId="77777777" w:rsidR="00D73703" w:rsidRPr="007D5A11" w:rsidRDefault="00D73703" w:rsidP="00D73703">
            <w:pPr>
              <w:rPr>
                <w:rFonts w:ascii="Calibri" w:hAnsi="Calibri" w:cs="Calibri"/>
              </w:rPr>
            </w:pPr>
            <w:r w:rsidRPr="007D5A11">
              <w:rPr>
                <w:rFonts w:ascii="Calibri" w:hAnsi="Calibri" w:cs="Calibri"/>
              </w:rPr>
              <w:t>Q15</w:t>
            </w:r>
          </w:p>
        </w:tc>
        <w:tc>
          <w:tcPr>
            <w:tcW w:w="0" w:type="auto"/>
            <w:hideMark/>
          </w:tcPr>
          <w:p w14:paraId="2F1983D2" w14:textId="77777777" w:rsidR="00D73703" w:rsidRPr="007D5A11" w:rsidRDefault="00D73703" w:rsidP="00D73703">
            <w:pPr>
              <w:rPr>
                <w:rFonts w:ascii="Calibri" w:hAnsi="Calibri" w:cs="Calibri"/>
              </w:rPr>
            </w:pPr>
            <w:r w:rsidRPr="007D5A11">
              <w:rPr>
                <w:rFonts w:ascii="Calibri" w:hAnsi="Calibri" w:cs="Calibri"/>
              </w:rPr>
              <w:t>Support for routine arming</w:t>
            </w:r>
          </w:p>
        </w:tc>
        <w:tc>
          <w:tcPr>
            <w:tcW w:w="0" w:type="auto"/>
            <w:hideMark/>
          </w:tcPr>
          <w:p w14:paraId="00E2DDD1" w14:textId="77777777" w:rsidR="00D73703" w:rsidRPr="007D5A11" w:rsidRDefault="00D73703" w:rsidP="00D73703">
            <w:pPr>
              <w:rPr>
                <w:rFonts w:ascii="Calibri" w:hAnsi="Calibri" w:cs="Calibri"/>
              </w:rPr>
            </w:pPr>
            <w:r w:rsidRPr="007D5A11">
              <w:rPr>
                <w:rFonts w:ascii="Calibri" w:hAnsi="Calibri" w:cs="Calibri"/>
              </w:rPr>
              <w:t>3.92</w:t>
            </w:r>
          </w:p>
        </w:tc>
        <w:tc>
          <w:tcPr>
            <w:tcW w:w="0" w:type="auto"/>
            <w:hideMark/>
          </w:tcPr>
          <w:p w14:paraId="1A645C31" w14:textId="77777777" w:rsidR="00D73703" w:rsidRPr="007D5A11" w:rsidRDefault="00D73703" w:rsidP="00D73703">
            <w:pPr>
              <w:rPr>
                <w:rFonts w:ascii="Calibri" w:hAnsi="Calibri" w:cs="Calibri"/>
              </w:rPr>
            </w:pPr>
            <w:r w:rsidRPr="007D5A11">
              <w:rPr>
                <w:rFonts w:ascii="Calibri" w:hAnsi="Calibri" w:cs="Calibri"/>
              </w:rPr>
              <w:t>Leaning toward agreement</w:t>
            </w:r>
          </w:p>
        </w:tc>
      </w:tr>
    </w:tbl>
    <w:p w14:paraId="0FA3485C" w14:textId="77777777" w:rsidR="00D73703" w:rsidRDefault="00D73703">
      <w:pPr>
        <w:rPr>
          <w:rFonts w:ascii="Calibri" w:hAnsi="Calibri" w:cs="Calibri"/>
          <w:b/>
          <w:bCs/>
          <w:sz w:val="28"/>
          <w:szCs w:val="28"/>
        </w:rPr>
      </w:pPr>
    </w:p>
    <w:p w14:paraId="060E4DAE" w14:textId="21CCB04D" w:rsidR="007D5A11" w:rsidRDefault="00D73703">
      <w:r w:rsidRPr="00D73703">
        <w:rPr>
          <w:rFonts w:ascii="Calibri" w:hAnsi="Calibri" w:cs="Calibri"/>
          <w:b/>
          <w:bCs/>
          <w:sz w:val="24"/>
          <w:szCs w:val="24"/>
        </w:rPr>
        <w:lastRenderedPageBreak/>
        <w:t>T</w:t>
      </w:r>
      <w:r w:rsidR="007D5A11" w:rsidRPr="00D73703">
        <w:rPr>
          <w:rFonts w:ascii="Calibri" w:hAnsi="Calibri" w:cs="Calibri"/>
          <w:b/>
          <w:bCs/>
          <w:sz w:val="24"/>
          <w:szCs w:val="24"/>
        </w:rPr>
        <w:t>able 3.1 illustrates the descriptive patterns in officer responses and the average Likert</w:t>
      </w:r>
      <w:r w:rsidR="007D5A11" w:rsidRPr="00D73703">
        <w:rPr>
          <w:rFonts w:ascii="Calibri" w:hAnsi="Calibri" w:cs="Calibri"/>
          <w:b/>
          <w:bCs/>
          <w:sz w:val="24"/>
          <w:szCs w:val="24"/>
        </w:rPr>
        <w:noBreakHyphen/>
        <w:t>scale scores for each participant.</w:t>
      </w:r>
      <w:r w:rsidR="007D5A11" w:rsidRPr="00D73703">
        <w:rPr>
          <w:rFonts w:ascii="Calibri" w:hAnsi="Calibri" w:cs="Calibri"/>
          <w:sz w:val="24"/>
          <w:szCs w:val="24"/>
        </w:rPr>
        <w:t xml:space="preserve"> </w:t>
      </w:r>
      <w:r w:rsidR="007D5A11" w:rsidRPr="007D5A11">
        <w:rPr>
          <w:rFonts w:ascii="Calibri" w:hAnsi="Calibri" w:cs="Calibri"/>
          <w:sz w:val="28"/>
          <w:szCs w:val="28"/>
        </w:rPr>
        <w:fldChar w:fldCharType="begin"/>
      </w:r>
      <w:r w:rsidR="007D5A11" w:rsidRPr="007D5A11">
        <w:rPr>
          <w:rFonts w:ascii="Calibri" w:hAnsi="Calibri" w:cs="Calibri"/>
          <w:sz w:val="28"/>
          <w:szCs w:val="28"/>
        </w:rPr>
        <w:instrText xml:space="preserve"> INCLUDEPICTURE "/Users/milesolding/Library/Group Containers/UBF8T346G9.ms/WebArchiveCopyPasteTempFiles/com.microsoft.Word/BCO.0e4b4e7e-fae2-4849-8e4b-788f8cfabab1.png" \* MERGEFORMATINET </w:instrText>
      </w:r>
      <w:r w:rsidR="007D5A11" w:rsidRPr="007D5A11">
        <w:rPr>
          <w:rFonts w:ascii="Calibri" w:hAnsi="Calibri" w:cs="Calibri"/>
          <w:sz w:val="28"/>
          <w:szCs w:val="28"/>
        </w:rPr>
        <w:fldChar w:fldCharType="separate"/>
      </w:r>
      <w:r w:rsidR="00000000">
        <w:rPr>
          <w:rFonts w:ascii="Calibri" w:hAnsi="Calibri" w:cs="Calibri"/>
          <w:noProof/>
          <w:sz w:val="28"/>
          <w:szCs w:val="28"/>
          <w14:ligatures w14:val="standardContextual"/>
        </w:rPr>
        <w:fldChar w:fldCharType="begin"/>
      </w:r>
      <w:r w:rsidR="00000000">
        <w:rPr>
          <w:rFonts w:ascii="Calibri" w:hAnsi="Calibri" w:cs="Calibri"/>
          <w:noProof/>
          <w:sz w:val="28"/>
          <w:szCs w:val="28"/>
          <w14:ligatures w14:val="standardContextual"/>
        </w:rPr>
        <w:instrText xml:space="preserve"> INCLUDEPICTURE  "/Users/milesolding/Library/Group Containers/UBF8T346G9.ms/WebArchiveCopyPasteTempFiles/com.microsoft.Word/BCO.0e4b4e7e-fae2-4849-8e4b-788f8cfabab1.png" \* MERGEFORMATINET </w:instrText>
      </w:r>
      <w:r w:rsidR="00000000">
        <w:rPr>
          <w:rFonts w:ascii="Calibri" w:hAnsi="Calibri" w:cs="Calibri"/>
          <w:noProof/>
          <w:sz w:val="28"/>
          <w:szCs w:val="28"/>
          <w14:ligatures w14:val="standardContextual"/>
        </w:rPr>
        <w:fldChar w:fldCharType="separate"/>
      </w:r>
      <w:r w:rsidR="004141D9" w:rsidRPr="004141D9">
        <w:rPr>
          <w:rFonts w:ascii="Calibri" w:hAnsi="Calibri" w:cs="Calibri"/>
          <w:noProof/>
          <w:sz w:val="28"/>
          <w:szCs w:val="28"/>
          <w14:ligatures w14:val="standardContextual"/>
        </w:rPr>
        <w:pict w14:anchorId="6612846C">
          <v:shape id="_x0000_i1025" type="#_x0000_t75" alt="" style="width:451pt;height:301pt;mso-width-percent:0;mso-height-percent:0;mso-width-percent:0;mso-height-percent:0">
            <v:imagedata r:id="rId11" r:href="rId16"/>
          </v:shape>
        </w:pict>
      </w:r>
      <w:r w:rsidR="00000000">
        <w:rPr>
          <w:rFonts w:ascii="Calibri" w:hAnsi="Calibri" w:cs="Calibri"/>
          <w:noProof/>
          <w:sz w:val="28"/>
          <w:szCs w:val="28"/>
          <w14:ligatures w14:val="standardContextual"/>
        </w:rPr>
        <w:fldChar w:fldCharType="end"/>
      </w:r>
      <w:r w:rsidR="007D5A11" w:rsidRPr="007D5A11">
        <w:rPr>
          <w:rFonts w:ascii="Calibri" w:hAnsi="Calibri" w:cs="Calibri"/>
          <w:sz w:val="28"/>
          <w:szCs w:val="28"/>
        </w:rPr>
        <w:fldChar w:fldCharType="end"/>
      </w:r>
    </w:p>
    <w:sectPr w:rsidR="007D5A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E6C9D"/>
    <w:multiLevelType w:val="hybridMultilevel"/>
    <w:tmpl w:val="B704BEE6"/>
    <w:lvl w:ilvl="0" w:tplc="0F38359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638A3"/>
    <w:multiLevelType w:val="hybridMultilevel"/>
    <w:tmpl w:val="97F03CCA"/>
    <w:lvl w:ilvl="0" w:tplc="2682C29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843321"/>
    <w:multiLevelType w:val="hybridMultilevel"/>
    <w:tmpl w:val="CBFE47CA"/>
    <w:lvl w:ilvl="0" w:tplc="C8D0661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B1C10"/>
    <w:multiLevelType w:val="hybridMultilevel"/>
    <w:tmpl w:val="4E964CB8"/>
    <w:lvl w:ilvl="0" w:tplc="BA0A871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C3F6C"/>
    <w:multiLevelType w:val="multilevel"/>
    <w:tmpl w:val="B094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F1484"/>
    <w:multiLevelType w:val="multilevel"/>
    <w:tmpl w:val="6734A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465419"/>
    <w:multiLevelType w:val="multilevel"/>
    <w:tmpl w:val="0752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690311"/>
    <w:multiLevelType w:val="multilevel"/>
    <w:tmpl w:val="9138B848"/>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377E95"/>
    <w:multiLevelType w:val="multilevel"/>
    <w:tmpl w:val="C372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8620C"/>
    <w:multiLevelType w:val="hybridMultilevel"/>
    <w:tmpl w:val="5C48C4B6"/>
    <w:lvl w:ilvl="0" w:tplc="B20C129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C462D"/>
    <w:multiLevelType w:val="multilevel"/>
    <w:tmpl w:val="DA523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701A4F"/>
    <w:multiLevelType w:val="multilevel"/>
    <w:tmpl w:val="08248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381F00"/>
    <w:multiLevelType w:val="multilevel"/>
    <w:tmpl w:val="EA42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C42EB"/>
    <w:multiLevelType w:val="hybridMultilevel"/>
    <w:tmpl w:val="78BE9F36"/>
    <w:lvl w:ilvl="0" w:tplc="37A63E5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DA5B71"/>
    <w:multiLevelType w:val="hybridMultilevel"/>
    <w:tmpl w:val="0ADE2B7A"/>
    <w:lvl w:ilvl="0" w:tplc="232220BA">
      <w:start w:val="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9364AC"/>
    <w:multiLevelType w:val="multilevel"/>
    <w:tmpl w:val="AEEE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CF66B1"/>
    <w:multiLevelType w:val="multilevel"/>
    <w:tmpl w:val="B01E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8676B0"/>
    <w:multiLevelType w:val="multilevel"/>
    <w:tmpl w:val="146E1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D13195"/>
    <w:multiLevelType w:val="multilevel"/>
    <w:tmpl w:val="B2E442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D622DA"/>
    <w:multiLevelType w:val="hybridMultilevel"/>
    <w:tmpl w:val="61625556"/>
    <w:lvl w:ilvl="0" w:tplc="8594FB1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235E66"/>
    <w:multiLevelType w:val="multilevel"/>
    <w:tmpl w:val="57CCC75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A432B3"/>
    <w:multiLevelType w:val="multilevel"/>
    <w:tmpl w:val="76342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BA1EDF"/>
    <w:multiLevelType w:val="multilevel"/>
    <w:tmpl w:val="0DD4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AF0201"/>
    <w:multiLevelType w:val="multilevel"/>
    <w:tmpl w:val="2A265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170B00"/>
    <w:multiLevelType w:val="multilevel"/>
    <w:tmpl w:val="3AC6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F66826"/>
    <w:multiLevelType w:val="multilevel"/>
    <w:tmpl w:val="AD66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940F40"/>
    <w:multiLevelType w:val="multilevel"/>
    <w:tmpl w:val="53C4EB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935F40"/>
    <w:multiLevelType w:val="multilevel"/>
    <w:tmpl w:val="E09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D61B2F"/>
    <w:multiLevelType w:val="hybridMultilevel"/>
    <w:tmpl w:val="0122D5B2"/>
    <w:lvl w:ilvl="0" w:tplc="DEFE570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E8278D"/>
    <w:multiLevelType w:val="hybridMultilevel"/>
    <w:tmpl w:val="1B76F390"/>
    <w:lvl w:ilvl="0" w:tplc="8594FB1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6264A6"/>
    <w:multiLevelType w:val="multilevel"/>
    <w:tmpl w:val="01C401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8D329F"/>
    <w:multiLevelType w:val="multilevel"/>
    <w:tmpl w:val="70C6D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7044766">
    <w:abstractNumId w:val="24"/>
  </w:num>
  <w:num w:numId="2" w16cid:durableId="1718701641">
    <w:abstractNumId w:val="13"/>
  </w:num>
  <w:num w:numId="3" w16cid:durableId="105850773">
    <w:abstractNumId w:val="19"/>
  </w:num>
  <w:num w:numId="4" w16cid:durableId="709307197">
    <w:abstractNumId w:val="0"/>
  </w:num>
  <w:num w:numId="5" w16cid:durableId="438185848">
    <w:abstractNumId w:val="3"/>
  </w:num>
  <w:num w:numId="6" w16cid:durableId="541983089">
    <w:abstractNumId w:val="28"/>
  </w:num>
  <w:num w:numId="7" w16cid:durableId="36056325">
    <w:abstractNumId w:val="2"/>
  </w:num>
  <w:num w:numId="8" w16cid:durableId="1988394674">
    <w:abstractNumId w:val="9"/>
  </w:num>
  <w:num w:numId="9" w16cid:durableId="683166030">
    <w:abstractNumId w:val="4"/>
  </w:num>
  <w:num w:numId="10" w16cid:durableId="1813519168">
    <w:abstractNumId w:val="1"/>
  </w:num>
  <w:num w:numId="11" w16cid:durableId="558827928">
    <w:abstractNumId w:val="17"/>
  </w:num>
  <w:num w:numId="12" w16cid:durableId="2053071736">
    <w:abstractNumId w:val="11"/>
  </w:num>
  <w:num w:numId="13" w16cid:durableId="9914155">
    <w:abstractNumId w:val="22"/>
  </w:num>
  <w:num w:numId="14" w16cid:durableId="723453394">
    <w:abstractNumId w:val="21"/>
  </w:num>
  <w:num w:numId="15" w16cid:durableId="474447548">
    <w:abstractNumId w:val="30"/>
  </w:num>
  <w:num w:numId="16" w16cid:durableId="285046490">
    <w:abstractNumId w:val="18"/>
  </w:num>
  <w:num w:numId="17" w16cid:durableId="336815157">
    <w:abstractNumId w:val="25"/>
  </w:num>
  <w:num w:numId="18" w16cid:durableId="826172249">
    <w:abstractNumId w:val="5"/>
  </w:num>
  <w:num w:numId="19" w16cid:durableId="1211528353">
    <w:abstractNumId w:val="15"/>
  </w:num>
  <w:num w:numId="20" w16cid:durableId="1231309288">
    <w:abstractNumId w:val="10"/>
  </w:num>
  <w:num w:numId="21" w16cid:durableId="393162389">
    <w:abstractNumId w:val="7"/>
  </w:num>
  <w:num w:numId="22" w16cid:durableId="1525709432">
    <w:abstractNumId w:val="20"/>
  </w:num>
  <w:num w:numId="23" w16cid:durableId="1760633037">
    <w:abstractNumId w:val="27"/>
  </w:num>
  <w:num w:numId="24" w16cid:durableId="188108373">
    <w:abstractNumId w:val="31"/>
  </w:num>
  <w:num w:numId="25" w16cid:durableId="1604412984">
    <w:abstractNumId w:val="26"/>
  </w:num>
  <w:num w:numId="26" w16cid:durableId="1581601960">
    <w:abstractNumId w:val="16"/>
  </w:num>
  <w:num w:numId="27" w16cid:durableId="32965405">
    <w:abstractNumId w:val="14"/>
  </w:num>
  <w:num w:numId="28" w16cid:durableId="1140535064">
    <w:abstractNumId w:val="29"/>
  </w:num>
  <w:num w:numId="29" w16cid:durableId="268783071">
    <w:abstractNumId w:val="12"/>
  </w:num>
  <w:num w:numId="30" w16cid:durableId="996113255">
    <w:abstractNumId w:val="8"/>
  </w:num>
  <w:num w:numId="31" w16cid:durableId="766120233">
    <w:abstractNumId w:val="23"/>
  </w:num>
  <w:num w:numId="32" w16cid:durableId="762188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1E3"/>
    <w:rsid w:val="00015055"/>
    <w:rsid w:val="000B41E3"/>
    <w:rsid w:val="001B1185"/>
    <w:rsid w:val="001B119D"/>
    <w:rsid w:val="001B26CB"/>
    <w:rsid w:val="001F19B3"/>
    <w:rsid w:val="0025528B"/>
    <w:rsid w:val="002F431A"/>
    <w:rsid w:val="003E7B1C"/>
    <w:rsid w:val="004141D9"/>
    <w:rsid w:val="004E1F12"/>
    <w:rsid w:val="00517CF2"/>
    <w:rsid w:val="005334AE"/>
    <w:rsid w:val="005E3761"/>
    <w:rsid w:val="00612DF0"/>
    <w:rsid w:val="00675BF8"/>
    <w:rsid w:val="007D5A11"/>
    <w:rsid w:val="00886B7F"/>
    <w:rsid w:val="008A37FC"/>
    <w:rsid w:val="00903D01"/>
    <w:rsid w:val="00A2769C"/>
    <w:rsid w:val="00AD5037"/>
    <w:rsid w:val="00BC1C0D"/>
    <w:rsid w:val="00BC35FC"/>
    <w:rsid w:val="00C34C93"/>
    <w:rsid w:val="00C91395"/>
    <w:rsid w:val="00D13B1A"/>
    <w:rsid w:val="00D34E47"/>
    <w:rsid w:val="00D73703"/>
    <w:rsid w:val="00E35AB4"/>
    <w:rsid w:val="00F54745"/>
    <w:rsid w:val="00F57D38"/>
    <w:rsid w:val="00FB7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DAEB"/>
  <w15:chartTrackingRefBased/>
  <w15:docId w15:val="{825F70B9-973A-BE48-8345-7599456D8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1E3"/>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0B41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41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41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41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41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41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41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41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41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1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41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41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41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41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4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4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4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41E3"/>
    <w:rPr>
      <w:rFonts w:eastAsiaTheme="majorEastAsia" w:cstheme="majorBidi"/>
      <w:color w:val="272727" w:themeColor="text1" w:themeTint="D8"/>
    </w:rPr>
  </w:style>
  <w:style w:type="paragraph" w:styleId="Title">
    <w:name w:val="Title"/>
    <w:basedOn w:val="Normal"/>
    <w:next w:val="Normal"/>
    <w:link w:val="TitleChar"/>
    <w:uiPriority w:val="10"/>
    <w:qFormat/>
    <w:rsid w:val="000B41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4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41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4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41E3"/>
    <w:pPr>
      <w:spacing w:before="160"/>
      <w:jc w:val="center"/>
    </w:pPr>
    <w:rPr>
      <w:i/>
      <w:iCs/>
      <w:color w:val="404040" w:themeColor="text1" w:themeTint="BF"/>
    </w:rPr>
  </w:style>
  <w:style w:type="character" w:customStyle="1" w:styleId="QuoteChar">
    <w:name w:val="Quote Char"/>
    <w:basedOn w:val="DefaultParagraphFont"/>
    <w:link w:val="Quote"/>
    <w:uiPriority w:val="29"/>
    <w:rsid w:val="000B41E3"/>
    <w:rPr>
      <w:i/>
      <w:iCs/>
      <w:color w:val="404040" w:themeColor="text1" w:themeTint="BF"/>
    </w:rPr>
  </w:style>
  <w:style w:type="paragraph" w:styleId="ListParagraph">
    <w:name w:val="List Paragraph"/>
    <w:basedOn w:val="Normal"/>
    <w:uiPriority w:val="34"/>
    <w:qFormat/>
    <w:rsid w:val="000B41E3"/>
    <w:pPr>
      <w:ind w:left="720"/>
      <w:contextualSpacing/>
    </w:pPr>
  </w:style>
  <w:style w:type="character" w:styleId="IntenseEmphasis">
    <w:name w:val="Intense Emphasis"/>
    <w:basedOn w:val="DefaultParagraphFont"/>
    <w:uiPriority w:val="21"/>
    <w:qFormat/>
    <w:rsid w:val="000B41E3"/>
    <w:rPr>
      <w:i/>
      <w:iCs/>
      <w:color w:val="0F4761" w:themeColor="accent1" w:themeShade="BF"/>
    </w:rPr>
  </w:style>
  <w:style w:type="paragraph" w:styleId="IntenseQuote">
    <w:name w:val="Intense Quote"/>
    <w:basedOn w:val="Normal"/>
    <w:next w:val="Normal"/>
    <w:link w:val="IntenseQuoteChar"/>
    <w:uiPriority w:val="30"/>
    <w:qFormat/>
    <w:rsid w:val="000B41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41E3"/>
    <w:rPr>
      <w:i/>
      <w:iCs/>
      <w:color w:val="0F4761" w:themeColor="accent1" w:themeShade="BF"/>
    </w:rPr>
  </w:style>
  <w:style w:type="character" w:styleId="IntenseReference">
    <w:name w:val="Intense Reference"/>
    <w:basedOn w:val="DefaultParagraphFont"/>
    <w:uiPriority w:val="32"/>
    <w:qFormat/>
    <w:rsid w:val="000B41E3"/>
    <w:rPr>
      <w:b/>
      <w:bCs/>
      <w:smallCaps/>
      <w:color w:val="0F4761" w:themeColor="accent1" w:themeShade="BF"/>
      <w:spacing w:val="5"/>
    </w:rPr>
  </w:style>
  <w:style w:type="character" w:styleId="Hyperlink">
    <w:name w:val="Hyperlink"/>
    <w:basedOn w:val="DefaultParagraphFont"/>
    <w:uiPriority w:val="99"/>
    <w:unhideWhenUsed/>
    <w:rsid w:val="000B41E3"/>
    <w:rPr>
      <w:color w:val="467886" w:themeColor="hyperlink"/>
      <w:u w:val="single"/>
    </w:rPr>
  </w:style>
  <w:style w:type="character" w:styleId="UnresolvedMention">
    <w:name w:val="Unresolved Mention"/>
    <w:basedOn w:val="DefaultParagraphFont"/>
    <w:uiPriority w:val="99"/>
    <w:semiHidden/>
    <w:unhideWhenUsed/>
    <w:rsid w:val="000B41E3"/>
    <w:rPr>
      <w:color w:val="605E5C"/>
      <w:shd w:val="clear" w:color="auto" w:fill="E1DFDD"/>
    </w:rPr>
  </w:style>
  <w:style w:type="character" w:styleId="FollowedHyperlink">
    <w:name w:val="FollowedHyperlink"/>
    <w:basedOn w:val="DefaultParagraphFont"/>
    <w:uiPriority w:val="99"/>
    <w:semiHidden/>
    <w:unhideWhenUsed/>
    <w:rsid w:val="000B41E3"/>
    <w:rPr>
      <w:color w:val="96607D" w:themeColor="followedHyperlink"/>
      <w:u w:val="single"/>
    </w:rPr>
  </w:style>
  <w:style w:type="paragraph" w:styleId="NormalWeb">
    <w:name w:val="Normal (Web)"/>
    <w:basedOn w:val="Normal"/>
    <w:uiPriority w:val="99"/>
    <w:unhideWhenUsed/>
    <w:rsid w:val="00BC35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table" w:styleId="TableGrid">
    <w:name w:val="Table Grid"/>
    <w:basedOn w:val="TableNormal"/>
    <w:uiPriority w:val="39"/>
    <w:rsid w:val="00F54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03D01"/>
  </w:style>
  <w:style w:type="character" w:styleId="Emphasis">
    <w:name w:val="Emphasis"/>
    <w:basedOn w:val="DefaultParagraphFont"/>
    <w:uiPriority w:val="20"/>
    <w:qFormat/>
    <w:rsid w:val="00903D01"/>
    <w:rPr>
      <w:i/>
      <w:iCs/>
    </w:rPr>
  </w:style>
  <w:style w:type="paragraph" w:styleId="TOCHeading">
    <w:name w:val="TOC Heading"/>
    <w:basedOn w:val="Heading1"/>
    <w:next w:val="Normal"/>
    <w:uiPriority w:val="39"/>
    <w:unhideWhenUsed/>
    <w:qFormat/>
    <w:rsid w:val="00AD5037"/>
    <w:pPr>
      <w:overflowPunct/>
      <w:autoSpaceDE/>
      <w:autoSpaceDN/>
      <w:adjustRightInd/>
      <w:spacing w:before="480" w:after="0" w:line="276" w:lineRule="auto"/>
      <w:textAlignment w:val="auto"/>
      <w:outlineLvl w:val="9"/>
    </w:pPr>
    <w:rPr>
      <w:b/>
      <w:bCs/>
      <w:sz w:val="28"/>
      <w:szCs w:val="28"/>
      <w:lang w:val="en-US" w:eastAsia="en-US"/>
    </w:rPr>
  </w:style>
  <w:style w:type="paragraph" w:styleId="TOC1">
    <w:name w:val="toc 1"/>
    <w:basedOn w:val="Normal"/>
    <w:next w:val="Normal"/>
    <w:autoRedefine/>
    <w:uiPriority w:val="39"/>
    <w:unhideWhenUsed/>
    <w:rsid w:val="00AD5037"/>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AD5037"/>
    <w:pPr>
      <w:spacing w:before="120"/>
      <w:ind w:left="200"/>
    </w:pPr>
    <w:rPr>
      <w:rFonts w:asciiTheme="minorHAnsi" w:hAnsiTheme="minorHAnsi"/>
      <w:b/>
      <w:bCs/>
      <w:sz w:val="22"/>
      <w:szCs w:val="22"/>
    </w:rPr>
  </w:style>
  <w:style w:type="paragraph" w:styleId="TOC3">
    <w:name w:val="toc 3"/>
    <w:basedOn w:val="Normal"/>
    <w:next w:val="Normal"/>
    <w:autoRedefine/>
    <w:uiPriority w:val="39"/>
    <w:unhideWhenUsed/>
    <w:rsid w:val="00AD5037"/>
    <w:pPr>
      <w:ind w:left="400"/>
    </w:pPr>
    <w:rPr>
      <w:rFonts w:asciiTheme="minorHAnsi" w:hAnsiTheme="minorHAnsi"/>
    </w:rPr>
  </w:style>
  <w:style w:type="paragraph" w:styleId="TOC4">
    <w:name w:val="toc 4"/>
    <w:basedOn w:val="Normal"/>
    <w:next w:val="Normal"/>
    <w:autoRedefine/>
    <w:uiPriority w:val="39"/>
    <w:unhideWhenUsed/>
    <w:rsid w:val="00AD5037"/>
    <w:pPr>
      <w:ind w:left="600"/>
    </w:pPr>
    <w:rPr>
      <w:rFonts w:asciiTheme="minorHAnsi" w:hAnsiTheme="minorHAnsi"/>
    </w:rPr>
  </w:style>
  <w:style w:type="paragraph" w:styleId="TOC5">
    <w:name w:val="toc 5"/>
    <w:basedOn w:val="Normal"/>
    <w:next w:val="Normal"/>
    <w:autoRedefine/>
    <w:uiPriority w:val="39"/>
    <w:unhideWhenUsed/>
    <w:rsid w:val="00AD5037"/>
    <w:pPr>
      <w:ind w:left="800"/>
    </w:pPr>
    <w:rPr>
      <w:rFonts w:asciiTheme="minorHAnsi" w:hAnsiTheme="minorHAnsi"/>
    </w:rPr>
  </w:style>
  <w:style w:type="paragraph" w:styleId="TOC6">
    <w:name w:val="toc 6"/>
    <w:basedOn w:val="Normal"/>
    <w:next w:val="Normal"/>
    <w:autoRedefine/>
    <w:uiPriority w:val="39"/>
    <w:unhideWhenUsed/>
    <w:rsid w:val="00AD5037"/>
    <w:pPr>
      <w:ind w:left="1000"/>
    </w:pPr>
    <w:rPr>
      <w:rFonts w:asciiTheme="minorHAnsi" w:hAnsiTheme="minorHAnsi"/>
    </w:rPr>
  </w:style>
  <w:style w:type="paragraph" w:styleId="TOC7">
    <w:name w:val="toc 7"/>
    <w:basedOn w:val="Normal"/>
    <w:next w:val="Normal"/>
    <w:autoRedefine/>
    <w:uiPriority w:val="39"/>
    <w:unhideWhenUsed/>
    <w:rsid w:val="00AD5037"/>
    <w:pPr>
      <w:ind w:left="1200"/>
    </w:pPr>
    <w:rPr>
      <w:rFonts w:asciiTheme="minorHAnsi" w:hAnsiTheme="minorHAnsi"/>
    </w:rPr>
  </w:style>
  <w:style w:type="paragraph" w:styleId="TOC8">
    <w:name w:val="toc 8"/>
    <w:basedOn w:val="Normal"/>
    <w:next w:val="Normal"/>
    <w:autoRedefine/>
    <w:uiPriority w:val="39"/>
    <w:unhideWhenUsed/>
    <w:rsid w:val="00AD5037"/>
    <w:pPr>
      <w:ind w:left="1400"/>
    </w:pPr>
    <w:rPr>
      <w:rFonts w:asciiTheme="minorHAnsi" w:hAnsiTheme="minorHAnsi"/>
    </w:rPr>
  </w:style>
  <w:style w:type="paragraph" w:styleId="TOC9">
    <w:name w:val="toc 9"/>
    <w:basedOn w:val="Normal"/>
    <w:next w:val="Normal"/>
    <w:autoRedefine/>
    <w:uiPriority w:val="39"/>
    <w:unhideWhenUsed/>
    <w:rsid w:val="00AD5037"/>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90852">
      <w:bodyDiv w:val="1"/>
      <w:marLeft w:val="0"/>
      <w:marRight w:val="0"/>
      <w:marTop w:val="0"/>
      <w:marBottom w:val="0"/>
      <w:divBdr>
        <w:top w:val="none" w:sz="0" w:space="0" w:color="auto"/>
        <w:left w:val="none" w:sz="0" w:space="0" w:color="auto"/>
        <w:bottom w:val="none" w:sz="0" w:space="0" w:color="auto"/>
        <w:right w:val="none" w:sz="0" w:space="0" w:color="auto"/>
      </w:divBdr>
    </w:div>
    <w:div w:id="168175384">
      <w:bodyDiv w:val="1"/>
      <w:marLeft w:val="0"/>
      <w:marRight w:val="0"/>
      <w:marTop w:val="0"/>
      <w:marBottom w:val="0"/>
      <w:divBdr>
        <w:top w:val="none" w:sz="0" w:space="0" w:color="auto"/>
        <w:left w:val="none" w:sz="0" w:space="0" w:color="auto"/>
        <w:bottom w:val="none" w:sz="0" w:space="0" w:color="auto"/>
        <w:right w:val="none" w:sz="0" w:space="0" w:color="auto"/>
      </w:divBdr>
    </w:div>
    <w:div w:id="209071641">
      <w:bodyDiv w:val="1"/>
      <w:marLeft w:val="0"/>
      <w:marRight w:val="0"/>
      <w:marTop w:val="0"/>
      <w:marBottom w:val="0"/>
      <w:divBdr>
        <w:top w:val="none" w:sz="0" w:space="0" w:color="auto"/>
        <w:left w:val="none" w:sz="0" w:space="0" w:color="auto"/>
        <w:bottom w:val="none" w:sz="0" w:space="0" w:color="auto"/>
        <w:right w:val="none" w:sz="0" w:space="0" w:color="auto"/>
      </w:divBdr>
    </w:div>
    <w:div w:id="222257850">
      <w:bodyDiv w:val="1"/>
      <w:marLeft w:val="0"/>
      <w:marRight w:val="0"/>
      <w:marTop w:val="0"/>
      <w:marBottom w:val="0"/>
      <w:divBdr>
        <w:top w:val="none" w:sz="0" w:space="0" w:color="auto"/>
        <w:left w:val="none" w:sz="0" w:space="0" w:color="auto"/>
        <w:bottom w:val="none" w:sz="0" w:space="0" w:color="auto"/>
        <w:right w:val="none" w:sz="0" w:space="0" w:color="auto"/>
      </w:divBdr>
    </w:div>
    <w:div w:id="319816318">
      <w:bodyDiv w:val="1"/>
      <w:marLeft w:val="0"/>
      <w:marRight w:val="0"/>
      <w:marTop w:val="0"/>
      <w:marBottom w:val="0"/>
      <w:divBdr>
        <w:top w:val="none" w:sz="0" w:space="0" w:color="auto"/>
        <w:left w:val="none" w:sz="0" w:space="0" w:color="auto"/>
        <w:bottom w:val="none" w:sz="0" w:space="0" w:color="auto"/>
        <w:right w:val="none" w:sz="0" w:space="0" w:color="auto"/>
      </w:divBdr>
    </w:div>
    <w:div w:id="338655663">
      <w:bodyDiv w:val="1"/>
      <w:marLeft w:val="0"/>
      <w:marRight w:val="0"/>
      <w:marTop w:val="0"/>
      <w:marBottom w:val="0"/>
      <w:divBdr>
        <w:top w:val="none" w:sz="0" w:space="0" w:color="auto"/>
        <w:left w:val="none" w:sz="0" w:space="0" w:color="auto"/>
        <w:bottom w:val="none" w:sz="0" w:space="0" w:color="auto"/>
        <w:right w:val="none" w:sz="0" w:space="0" w:color="auto"/>
      </w:divBdr>
    </w:div>
    <w:div w:id="380903798">
      <w:bodyDiv w:val="1"/>
      <w:marLeft w:val="0"/>
      <w:marRight w:val="0"/>
      <w:marTop w:val="0"/>
      <w:marBottom w:val="0"/>
      <w:divBdr>
        <w:top w:val="none" w:sz="0" w:space="0" w:color="auto"/>
        <w:left w:val="none" w:sz="0" w:space="0" w:color="auto"/>
        <w:bottom w:val="none" w:sz="0" w:space="0" w:color="auto"/>
        <w:right w:val="none" w:sz="0" w:space="0" w:color="auto"/>
      </w:divBdr>
    </w:div>
    <w:div w:id="458450120">
      <w:bodyDiv w:val="1"/>
      <w:marLeft w:val="0"/>
      <w:marRight w:val="0"/>
      <w:marTop w:val="0"/>
      <w:marBottom w:val="0"/>
      <w:divBdr>
        <w:top w:val="none" w:sz="0" w:space="0" w:color="auto"/>
        <w:left w:val="none" w:sz="0" w:space="0" w:color="auto"/>
        <w:bottom w:val="none" w:sz="0" w:space="0" w:color="auto"/>
        <w:right w:val="none" w:sz="0" w:space="0" w:color="auto"/>
      </w:divBdr>
    </w:div>
    <w:div w:id="470366810">
      <w:bodyDiv w:val="1"/>
      <w:marLeft w:val="0"/>
      <w:marRight w:val="0"/>
      <w:marTop w:val="0"/>
      <w:marBottom w:val="0"/>
      <w:divBdr>
        <w:top w:val="none" w:sz="0" w:space="0" w:color="auto"/>
        <w:left w:val="none" w:sz="0" w:space="0" w:color="auto"/>
        <w:bottom w:val="none" w:sz="0" w:space="0" w:color="auto"/>
        <w:right w:val="none" w:sz="0" w:space="0" w:color="auto"/>
      </w:divBdr>
    </w:div>
    <w:div w:id="567229428">
      <w:bodyDiv w:val="1"/>
      <w:marLeft w:val="0"/>
      <w:marRight w:val="0"/>
      <w:marTop w:val="0"/>
      <w:marBottom w:val="0"/>
      <w:divBdr>
        <w:top w:val="none" w:sz="0" w:space="0" w:color="auto"/>
        <w:left w:val="none" w:sz="0" w:space="0" w:color="auto"/>
        <w:bottom w:val="none" w:sz="0" w:space="0" w:color="auto"/>
        <w:right w:val="none" w:sz="0" w:space="0" w:color="auto"/>
      </w:divBdr>
    </w:div>
    <w:div w:id="640841748">
      <w:bodyDiv w:val="1"/>
      <w:marLeft w:val="0"/>
      <w:marRight w:val="0"/>
      <w:marTop w:val="0"/>
      <w:marBottom w:val="0"/>
      <w:divBdr>
        <w:top w:val="none" w:sz="0" w:space="0" w:color="auto"/>
        <w:left w:val="none" w:sz="0" w:space="0" w:color="auto"/>
        <w:bottom w:val="none" w:sz="0" w:space="0" w:color="auto"/>
        <w:right w:val="none" w:sz="0" w:space="0" w:color="auto"/>
      </w:divBdr>
    </w:div>
    <w:div w:id="647169440">
      <w:bodyDiv w:val="1"/>
      <w:marLeft w:val="0"/>
      <w:marRight w:val="0"/>
      <w:marTop w:val="0"/>
      <w:marBottom w:val="0"/>
      <w:divBdr>
        <w:top w:val="none" w:sz="0" w:space="0" w:color="auto"/>
        <w:left w:val="none" w:sz="0" w:space="0" w:color="auto"/>
        <w:bottom w:val="none" w:sz="0" w:space="0" w:color="auto"/>
        <w:right w:val="none" w:sz="0" w:space="0" w:color="auto"/>
      </w:divBdr>
    </w:div>
    <w:div w:id="847326725">
      <w:bodyDiv w:val="1"/>
      <w:marLeft w:val="0"/>
      <w:marRight w:val="0"/>
      <w:marTop w:val="0"/>
      <w:marBottom w:val="0"/>
      <w:divBdr>
        <w:top w:val="none" w:sz="0" w:space="0" w:color="auto"/>
        <w:left w:val="none" w:sz="0" w:space="0" w:color="auto"/>
        <w:bottom w:val="none" w:sz="0" w:space="0" w:color="auto"/>
        <w:right w:val="none" w:sz="0" w:space="0" w:color="auto"/>
      </w:divBdr>
    </w:div>
    <w:div w:id="1018390462">
      <w:bodyDiv w:val="1"/>
      <w:marLeft w:val="0"/>
      <w:marRight w:val="0"/>
      <w:marTop w:val="0"/>
      <w:marBottom w:val="0"/>
      <w:divBdr>
        <w:top w:val="none" w:sz="0" w:space="0" w:color="auto"/>
        <w:left w:val="none" w:sz="0" w:space="0" w:color="auto"/>
        <w:bottom w:val="none" w:sz="0" w:space="0" w:color="auto"/>
        <w:right w:val="none" w:sz="0" w:space="0" w:color="auto"/>
      </w:divBdr>
    </w:div>
    <w:div w:id="1033730715">
      <w:bodyDiv w:val="1"/>
      <w:marLeft w:val="0"/>
      <w:marRight w:val="0"/>
      <w:marTop w:val="0"/>
      <w:marBottom w:val="0"/>
      <w:divBdr>
        <w:top w:val="none" w:sz="0" w:space="0" w:color="auto"/>
        <w:left w:val="none" w:sz="0" w:space="0" w:color="auto"/>
        <w:bottom w:val="none" w:sz="0" w:space="0" w:color="auto"/>
        <w:right w:val="none" w:sz="0" w:space="0" w:color="auto"/>
      </w:divBdr>
    </w:div>
    <w:div w:id="1142887413">
      <w:bodyDiv w:val="1"/>
      <w:marLeft w:val="0"/>
      <w:marRight w:val="0"/>
      <w:marTop w:val="0"/>
      <w:marBottom w:val="0"/>
      <w:divBdr>
        <w:top w:val="none" w:sz="0" w:space="0" w:color="auto"/>
        <w:left w:val="none" w:sz="0" w:space="0" w:color="auto"/>
        <w:bottom w:val="none" w:sz="0" w:space="0" w:color="auto"/>
        <w:right w:val="none" w:sz="0" w:space="0" w:color="auto"/>
      </w:divBdr>
    </w:div>
    <w:div w:id="1148671127">
      <w:bodyDiv w:val="1"/>
      <w:marLeft w:val="0"/>
      <w:marRight w:val="0"/>
      <w:marTop w:val="0"/>
      <w:marBottom w:val="0"/>
      <w:divBdr>
        <w:top w:val="none" w:sz="0" w:space="0" w:color="auto"/>
        <w:left w:val="none" w:sz="0" w:space="0" w:color="auto"/>
        <w:bottom w:val="none" w:sz="0" w:space="0" w:color="auto"/>
        <w:right w:val="none" w:sz="0" w:space="0" w:color="auto"/>
      </w:divBdr>
    </w:div>
    <w:div w:id="1195079159">
      <w:bodyDiv w:val="1"/>
      <w:marLeft w:val="0"/>
      <w:marRight w:val="0"/>
      <w:marTop w:val="0"/>
      <w:marBottom w:val="0"/>
      <w:divBdr>
        <w:top w:val="none" w:sz="0" w:space="0" w:color="auto"/>
        <w:left w:val="none" w:sz="0" w:space="0" w:color="auto"/>
        <w:bottom w:val="none" w:sz="0" w:space="0" w:color="auto"/>
        <w:right w:val="none" w:sz="0" w:space="0" w:color="auto"/>
      </w:divBdr>
    </w:div>
    <w:div w:id="1262104799">
      <w:bodyDiv w:val="1"/>
      <w:marLeft w:val="0"/>
      <w:marRight w:val="0"/>
      <w:marTop w:val="0"/>
      <w:marBottom w:val="0"/>
      <w:divBdr>
        <w:top w:val="none" w:sz="0" w:space="0" w:color="auto"/>
        <w:left w:val="none" w:sz="0" w:space="0" w:color="auto"/>
        <w:bottom w:val="none" w:sz="0" w:space="0" w:color="auto"/>
        <w:right w:val="none" w:sz="0" w:space="0" w:color="auto"/>
      </w:divBdr>
    </w:div>
    <w:div w:id="1587154246">
      <w:bodyDiv w:val="1"/>
      <w:marLeft w:val="0"/>
      <w:marRight w:val="0"/>
      <w:marTop w:val="0"/>
      <w:marBottom w:val="0"/>
      <w:divBdr>
        <w:top w:val="none" w:sz="0" w:space="0" w:color="auto"/>
        <w:left w:val="none" w:sz="0" w:space="0" w:color="auto"/>
        <w:bottom w:val="none" w:sz="0" w:space="0" w:color="auto"/>
        <w:right w:val="none" w:sz="0" w:space="0" w:color="auto"/>
      </w:divBdr>
    </w:div>
    <w:div w:id="1604650954">
      <w:bodyDiv w:val="1"/>
      <w:marLeft w:val="0"/>
      <w:marRight w:val="0"/>
      <w:marTop w:val="0"/>
      <w:marBottom w:val="0"/>
      <w:divBdr>
        <w:top w:val="none" w:sz="0" w:space="0" w:color="auto"/>
        <w:left w:val="none" w:sz="0" w:space="0" w:color="auto"/>
        <w:bottom w:val="none" w:sz="0" w:space="0" w:color="auto"/>
        <w:right w:val="none" w:sz="0" w:space="0" w:color="auto"/>
      </w:divBdr>
    </w:div>
    <w:div w:id="1638605704">
      <w:bodyDiv w:val="1"/>
      <w:marLeft w:val="0"/>
      <w:marRight w:val="0"/>
      <w:marTop w:val="0"/>
      <w:marBottom w:val="0"/>
      <w:divBdr>
        <w:top w:val="none" w:sz="0" w:space="0" w:color="auto"/>
        <w:left w:val="none" w:sz="0" w:space="0" w:color="auto"/>
        <w:bottom w:val="none" w:sz="0" w:space="0" w:color="auto"/>
        <w:right w:val="none" w:sz="0" w:space="0" w:color="auto"/>
      </w:divBdr>
    </w:div>
    <w:div w:id="1664117224">
      <w:bodyDiv w:val="1"/>
      <w:marLeft w:val="0"/>
      <w:marRight w:val="0"/>
      <w:marTop w:val="0"/>
      <w:marBottom w:val="0"/>
      <w:divBdr>
        <w:top w:val="none" w:sz="0" w:space="0" w:color="auto"/>
        <w:left w:val="none" w:sz="0" w:space="0" w:color="auto"/>
        <w:bottom w:val="none" w:sz="0" w:space="0" w:color="auto"/>
        <w:right w:val="none" w:sz="0" w:space="0" w:color="auto"/>
      </w:divBdr>
    </w:div>
    <w:div w:id="1666397996">
      <w:bodyDiv w:val="1"/>
      <w:marLeft w:val="0"/>
      <w:marRight w:val="0"/>
      <w:marTop w:val="0"/>
      <w:marBottom w:val="0"/>
      <w:divBdr>
        <w:top w:val="none" w:sz="0" w:space="0" w:color="auto"/>
        <w:left w:val="none" w:sz="0" w:space="0" w:color="auto"/>
        <w:bottom w:val="none" w:sz="0" w:space="0" w:color="auto"/>
        <w:right w:val="none" w:sz="0" w:space="0" w:color="auto"/>
      </w:divBdr>
    </w:div>
    <w:div w:id="1694575487">
      <w:bodyDiv w:val="1"/>
      <w:marLeft w:val="0"/>
      <w:marRight w:val="0"/>
      <w:marTop w:val="0"/>
      <w:marBottom w:val="0"/>
      <w:divBdr>
        <w:top w:val="none" w:sz="0" w:space="0" w:color="auto"/>
        <w:left w:val="none" w:sz="0" w:space="0" w:color="auto"/>
        <w:bottom w:val="none" w:sz="0" w:space="0" w:color="auto"/>
        <w:right w:val="none" w:sz="0" w:space="0" w:color="auto"/>
      </w:divBdr>
    </w:div>
    <w:div w:id="1804805243">
      <w:bodyDiv w:val="1"/>
      <w:marLeft w:val="0"/>
      <w:marRight w:val="0"/>
      <w:marTop w:val="0"/>
      <w:marBottom w:val="0"/>
      <w:divBdr>
        <w:top w:val="none" w:sz="0" w:space="0" w:color="auto"/>
        <w:left w:val="none" w:sz="0" w:space="0" w:color="auto"/>
        <w:bottom w:val="none" w:sz="0" w:space="0" w:color="auto"/>
        <w:right w:val="none" w:sz="0" w:space="0" w:color="auto"/>
      </w:divBdr>
    </w:div>
    <w:div w:id="1865484075">
      <w:bodyDiv w:val="1"/>
      <w:marLeft w:val="0"/>
      <w:marRight w:val="0"/>
      <w:marTop w:val="0"/>
      <w:marBottom w:val="0"/>
      <w:divBdr>
        <w:top w:val="none" w:sz="0" w:space="0" w:color="auto"/>
        <w:left w:val="none" w:sz="0" w:space="0" w:color="auto"/>
        <w:bottom w:val="none" w:sz="0" w:space="0" w:color="auto"/>
        <w:right w:val="none" w:sz="0" w:space="0" w:color="auto"/>
      </w:divBdr>
    </w:div>
    <w:div w:id="2018387130">
      <w:bodyDiv w:val="1"/>
      <w:marLeft w:val="0"/>
      <w:marRight w:val="0"/>
      <w:marTop w:val="0"/>
      <w:marBottom w:val="0"/>
      <w:divBdr>
        <w:top w:val="none" w:sz="0" w:space="0" w:color="auto"/>
        <w:left w:val="none" w:sz="0" w:space="0" w:color="auto"/>
        <w:bottom w:val="none" w:sz="0" w:space="0" w:color="auto"/>
        <w:right w:val="none" w:sz="0" w:space="0" w:color="auto"/>
      </w:divBdr>
    </w:div>
    <w:div w:id="2030984395">
      <w:bodyDiv w:val="1"/>
      <w:marLeft w:val="0"/>
      <w:marRight w:val="0"/>
      <w:marTop w:val="0"/>
      <w:marBottom w:val="0"/>
      <w:divBdr>
        <w:top w:val="none" w:sz="0" w:space="0" w:color="auto"/>
        <w:left w:val="none" w:sz="0" w:space="0" w:color="auto"/>
        <w:bottom w:val="none" w:sz="0" w:space="0" w:color="auto"/>
        <w:right w:val="none" w:sz="0" w:space="0" w:color="auto"/>
      </w:divBdr>
    </w:div>
    <w:div w:id="209964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file:////Users/milesolding/Desktop/University%20year%203/Dissertation/Application%20for%20ethical%20approval.docx" TargetMode="External"/><Relationship Id="rId13" Type="http://schemas.openxmlformats.org/officeDocument/2006/relationships/hyperlink" Target="https://www.samaritan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Library/Group%20Containers/UBF8T346G9.ms/WebArchiveCopyPasteTempFiles/com.microsoft.Word/BCO.0e4b4e7e-fae2-4849-8e4b-788f8cfabab1.p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Library/Group%20Containers/UBF8T346G9.ms/WebArchiveCopyPasteTempFiles/com.microsoft.Word/BCO.0e4b4e7e-fae2-4849-8e4b-788f8cfabab1.p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file:////Users/milesolding/Desktop/University%20year%203/Dissertation/Research%20Proposal%20Sheet%20%20(3).docx" TargetMode="External"/><Relationship Id="rId10" Type="http://schemas.openxmlformats.org/officeDocument/2006/relationships/oleObject" Target="file:////Users/milesolding/Desktop/University%20year%203/Dissertation/Research%20Proposal%20Sheet%20%20(3).docx"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oleObject" Target="file:////Users/milesolding/Desktop/University%20year%203/Dissertation/Application%20for%20ethical%20approva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8CB97-0F6E-4946-9E0B-CBCA495E3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34</Pages>
  <Words>11300</Words>
  <Characters>64413</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 Olding</dc:creator>
  <cp:keywords/>
  <dc:description/>
  <cp:lastModifiedBy>Miles Olding</cp:lastModifiedBy>
  <cp:revision>9</cp:revision>
  <dcterms:created xsi:type="dcterms:W3CDTF">2025-09-26T13:46:00Z</dcterms:created>
  <dcterms:modified xsi:type="dcterms:W3CDTF">2025-09-27T00:05:00Z</dcterms:modified>
</cp:coreProperties>
</file>