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DA550D" w14:textId="6AD0BEC6" w:rsidR="00503E6D" w:rsidRDefault="00180A09" w:rsidP="00180A09">
      <w:pPr>
        <w:jc w:val="center"/>
        <w:rPr>
          <w:b/>
          <w:bCs/>
        </w:rPr>
      </w:pPr>
      <w:r w:rsidRPr="00180A09">
        <w:rPr>
          <w:b/>
          <w:bCs/>
          <w:i/>
          <w:iCs/>
        </w:rPr>
        <w:t>‘The roots of anti-Judaism lie firmly within the New Testament texts themselves'</w:t>
      </w:r>
      <w:r w:rsidRPr="00180A09">
        <w:rPr>
          <w:b/>
          <w:bCs/>
        </w:rPr>
        <w:t>. Evaluate this statement with reference to the contribution of Jewish-Christian dialogue to the study o</w:t>
      </w:r>
      <w:r>
        <w:rPr>
          <w:b/>
          <w:bCs/>
        </w:rPr>
        <w:t>f</w:t>
      </w:r>
      <w:r w:rsidRPr="00180A09">
        <w:rPr>
          <w:b/>
          <w:bCs/>
        </w:rPr>
        <w:t xml:space="preserve"> the Gospel of John</w:t>
      </w:r>
      <w:r>
        <w:rPr>
          <w:b/>
          <w:bCs/>
        </w:rPr>
        <w:t>.</w:t>
      </w:r>
    </w:p>
    <w:p w14:paraId="488F877C" w14:textId="12634274" w:rsidR="00180A09" w:rsidRDefault="00F0016B" w:rsidP="00F0016B">
      <w:pPr>
        <w:rPr>
          <w:b/>
          <w:bCs/>
        </w:rPr>
      </w:pPr>
      <w:r>
        <w:rPr>
          <w:b/>
          <w:bCs/>
        </w:rPr>
        <w:t xml:space="preserve">Introduction </w:t>
      </w:r>
    </w:p>
    <w:p w14:paraId="4F6907AC" w14:textId="45D101F5" w:rsidR="007E24A7" w:rsidRDefault="0065014C" w:rsidP="00180A09">
      <w:pPr>
        <w:jc w:val="both"/>
      </w:pPr>
      <w:r>
        <w:t xml:space="preserve">It has often been noted that the Gospel of John is both the most Jewish and </w:t>
      </w:r>
      <w:r w:rsidR="003307E7">
        <w:t>a</w:t>
      </w:r>
      <w:r>
        <w:t>nti-Jewish text in the New Testament</w:t>
      </w:r>
      <w:r w:rsidR="003307E7">
        <w:t>. Rooted within a rich awareness of the Hebrew scriptures, a</w:t>
      </w:r>
      <w:r w:rsidR="00A95302">
        <w:t>ttentive towards</w:t>
      </w:r>
      <w:r w:rsidR="003307E7">
        <w:t xml:space="preserve"> Jewish heritage and tradition, working within the framework of the Jewish calendar- there can be no denying the Jewish influence that is weaved into the DNA of the fourth gospel. As R. Alan Culpepper writes- “The Gospel of John can hardly be read without a great sensitivity to its pervasive Jewishness”.</w:t>
      </w:r>
      <w:r w:rsidR="003307E7">
        <w:rPr>
          <w:rStyle w:val="FootnoteReference"/>
        </w:rPr>
        <w:footnoteReference w:id="1"/>
      </w:r>
      <w:r w:rsidR="003307E7">
        <w:t xml:space="preserve"> </w:t>
      </w:r>
      <w:r w:rsidR="00726CDC">
        <w:t>And yet</w:t>
      </w:r>
      <w:r w:rsidR="0071694F">
        <w:t>, it is frequently argued that John’s Gospel is systemically and inherently opposed to the religion of Judaism</w:t>
      </w:r>
      <w:r w:rsidR="0071694F" w:rsidRPr="0071694F">
        <w:t xml:space="preserve"> </w:t>
      </w:r>
      <w:r w:rsidR="0071694F">
        <w:t>and is therefore</w:t>
      </w:r>
      <w:r w:rsidR="0071694F" w:rsidRPr="0071694F">
        <w:t xml:space="preserve"> frequently pointed to</w:t>
      </w:r>
      <w:r w:rsidR="00A17664">
        <w:t>wards</w:t>
      </w:r>
      <w:r w:rsidR="0071694F" w:rsidRPr="0071694F">
        <w:t xml:space="preserve"> as a source of anti-Jewish attitude, which has been carried from one generation of Christian thinking to the next</w:t>
      </w:r>
      <w:r w:rsidR="0071694F">
        <w:t xml:space="preserve">. </w:t>
      </w:r>
      <w:r w:rsidR="00227E7A">
        <w:t>Is it possible that the Gospel of John can be home to such Jewish resonance and anti-Jewish rhetoric</w:t>
      </w:r>
      <w:r w:rsidR="0071694F">
        <w:t>, simultaneously</w:t>
      </w:r>
      <w:r w:rsidR="00227E7A">
        <w:t xml:space="preserve">? And if such is the case, what are </w:t>
      </w:r>
      <w:r w:rsidR="00A17664">
        <w:t>theologians, preachers, teachers, readers etc.</w:t>
      </w:r>
      <w:r w:rsidR="00227E7A">
        <w:t xml:space="preserve"> to do with such a complex piece of scripture? </w:t>
      </w:r>
      <w:r w:rsidR="0071694F">
        <w:t xml:space="preserve">These questions have been at the heart of Jewish-Christian dialogue and scholarship. Adele </w:t>
      </w:r>
      <w:proofErr w:type="spellStart"/>
      <w:r w:rsidR="0071694F">
        <w:t>Reinhartz</w:t>
      </w:r>
      <w:proofErr w:type="spellEnd"/>
      <w:r w:rsidR="0071694F">
        <w:t xml:space="preserve"> poses this question, which I believe to be the ultimate question in regard to the Johannine relationship with Judaism- </w:t>
      </w:r>
    </w:p>
    <w:p w14:paraId="041A0D8C" w14:textId="30A6E4A6" w:rsidR="0071694F" w:rsidRDefault="0071694F" w:rsidP="00CD1880">
      <w:pPr>
        <w:jc w:val="center"/>
      </w:pPr>
      <w:r>
        <w:t xml:space="preserve">“was it (the gospel of John) intended at least in part to convey to, or and even </w:t>
      </w:r>
      <w:r w:rsidR="00CD1880">
        <w:t>instil</w:t>
      </w:r>
      <w:r>
        <w:t xml:space="preserve"> in, </w:t>
      </w:r>
      <w:r w:rsidR="00CD1880">
        <w:t>its audience a negative view of Jews? Or did the anti-Judaism emerge only in the history of interpretation?”</w:t>
      </w:r>
      <w:r w:rsidR="00D56C01">
        <w:rPr>
          <w:rStyle w:val="FootnoteReference"/>
        </w:rPr>
        <w:footnoteReference w:id="2"/>
      </w:r>
    </w:p>
    <w:p w14:paraId="7A78B893" w14:textId="2CCC806E" w:rsidR="007E24A7" w:rsidRDefault="00F11A97" w:rsidP="00180A09">
      <w:pPr>
        <w:jc w:val="both"/>
      </w:pPr>
      <w:r>
        <w:t xml:space="preserve">Perhaps there is no clear answer to such a complex question, </w:t>
      </w:r>
      <w:r w:rsidR="0029777F">
        <w:t>or perhaps the problem is that there are many. W</w:t>
      </w:r>
      <w:r>
        <w:t xml:space="preserve">ithin this essay I will explore </w:t>
      </w:r>
      <w:r w:rsidR="00A14EEA">
        <w:t>a number of the common theological and historical</w:t>
      </w:r>
      <w:r>
        <w:t xml:space="preserve"> arguments that</w:t>
      </w:r>
      <w:r w:rsidR="00A14EEA">
        <w:t xml:space="preserve"> either give weight to the assumption that the fourth Gospel is inherently anti-</w:t>
      </w:r>
      <w:r w:rsidR="00E4531D">
        <w:t>Jewish or</w:t>
      </w:r>
      <w:r w:rsidR="00A14EEA">
        <w:t xml:space="preserve"> seek to free the Johannine scriptures of such a lab</w:t>
      </w:r>
      <w:r w:rsidR="0029777F">
        <w:t>el</w:t>
      </w:r>
      <w:r w:rsidR="00A14EEA">
        <w:t xml:space="preserve">. </w:t>
      </w:r>
      <w:r w:rsidR="00E4531D">
        <w:t xml:space="preserve">This topic is both extremely dense and tremendously vast, I will therefore be focusing on three particular accusations placed against the Gospel of John: the negative connotations the author places upon ‘the Jews’, </w:t>
      </w:r>
      <w:r w:rsidR="004F7BE2">
        <w:t>the ways in which it blames Jewish people of deicide and it</w:t>
      </w:r>
      <w:r w:rsidR="00A17664">
        <w:t>s proposed</w:t>
      </w:r>
      <w:r w:rsidR="004F7BE2">
        <w:t xml:space="preserve"> </w:t>
      </w:r>
      <w:proofErr w:type="spellStart"/>
      <w:r w:rsidR="004F7BE2">
        <w:t>supersessionistic</w:t>
      </w:r>
      <w:proofErr w:type="spellEnd"/>
      <w:r w:rsidR="004F7BE2">
        <w:t xml:space="preserve"> aims. </w:t>
      </w:r>
      <w:r w:rsidR="00946307">
        <w:t xml:space="preserve">I will not so much be relying upon my own interpretations of the problematic scriptures, but rather, pulling upon </w:t>
      </w:r>
      <w:r w:rsidR="00A32C55">
        <w:t xml:space="preserve">and evaluating </w:t>
      </w:r>
      <w:r w:rsidR="00946307">
        <w:t>the arguments that have been presented by both Jewish and Christian scholars</w:t>
      </w:r>
      <w:r w:rsidR="00CE039A">
        <w:t xml:space="preserve">, such as the afore mentioned Culpepper and </w:t>
      </w:r>
      <w:proofErr w:type="spellStart"/>
      <w:r w:rsidR="00CE039A">
        <w:t>Reinhartz</w:t>
      </w:r>
      <w:proofErr w:type="spellEnd"/>
      <w:r w:rsidR="00946307">
        <w:t xml:space="preserve">. </w:t>
      </w:r>
    </w:p>
    <w:p w14:paraId="583CC160" w14:textId="77777777" w:rsidR="00DE715D" w:rsidRPr="00DE715D" w:rsidRDefault="00DE715D" w:rsidP="00180A09">
      <w:pPr>
        <w:jc w:val="both"/>
      </w:pPr>
    </w:p>
    <w:p w14:paraId="008CB2DA" w14:textId="1A74F0FD" w:rsidR="007D3C1C" w:rsidRDefault="00F0016B" w:rsidP="00180A09">
      <w:pPr>
        <w:jc w:val="both"/>
        <w:rPr>
          <w:b/>
          <w:bCs/>
        </w:rPr>
      </w:pPr>
      <w:r w:rsidRPr="00F0016B">
        <w:rPr>
          <w:b/>
          <w:bCs/>
        </w:rPr>
        <w:t>Defining ‘The Jews’</w:t>
      </w:r>
      <w:r w:rsidR="00960A93">
        <w:rPr>
          <w:b/>
          <w:bCs/>
        </w:rPr>
        <w:t xml:space="preserve"> in the Fourth Gospel </w:t>
      </w:r>
    </w:p>
    <w:p w14:paraId="642077D1" w14:textId="32C47C14" w:rsidR="00F0016B" w:rsidRPr="00F74B85" w:rsidRDefault="007D3C1C" w:rsidP="00180A09">
      <w:pPr>
        <w:jc w:val="both"/>
      </w:pPr>
      <w:r>
        <w:t xml:space="preserve">The term </w:t>
      </w:r>
      <w:r w:rsidR="00CA0407">
        <w:t>‘</w:t>
      </w:r>
      <w:proofErr w:type="spellStart"/>
      <w:r w:rsidR="00CA0407" w:rsidRPr="00F74B85">
        <w:rPr>
          <w:i/>
          <w:iCs/>
        </w:rPr>
        <w:t>ioudaios</w:t>
      </w:r>
      <w:proofErr w:type="spellEnd"/>
      <w:r w:rsidR="00CA0407" w:rsidRPr="00F74B85">
        <w:rPr>
          <w:i/>
          <w:iCs/>
        </w:rPr>
        <w:t>/</w:t>
      </w:r>
      <w:proofErr w:type="spellStart"/>
      <w:r w:rsidR="00CA0407" w:rsidRPr="00F74B85">
        <w:rPr>
          <w:i/>
          <w:iCs/>
        </w:rPr>
        <w:t>ioudaioi</w:t>
      </w:r>
      <w:proofErr w:type="spellEnd"/>
      <w:r w:rsidR="00CA0407" w:rsidRPr="00F74B85">
        <w:rPr>
          <w:i/>
          <w:iCs/>
        </w:rPr>
        <w:t>’</w:t>
      </w:r>
      <w:r w:rsidR="00CA0407">
        <w:t xml:space="preserve"> (‘Jew/Jews’)</w:t>
      </w:r>
      <w:r w:rsidR="007E24A7">
        <w:rPr>
          <w:b/>
          <w:bCs/>
        </w:rPr>
        <w:t xml:space="preserve"> </w:t>
      </w:r>
      <w:r w:rsidR="00CA0407">
        <w:t xml:space="preserve">is used </w:t>
      </w:r>
      <w:r w:rsidR="00332939">
        <w:t xml:space="preserve">approximately </w:t>
      </w:r>
      <w:r w:rsidR="00CA0407">
        <w:t xml:space="preserve">seventy-one times throughout the fourth Gospel, much more frequently than its </w:t>
      </w:r>
      <w:r w:rsidR="00EC3C29">
        <w:t>S</w:t>
      </w:r>
      <w:r w:rsidR="00CA0407">
        <w:t>ynoptic counterparts.</w:t>
      </w:r>
      <w:r w:rsidR="00A3264A">
        <w:rPr>
          <w:rStyle w:val="FootnoteReference"/>
        </w:rPr>
        <w:footnoteReference w:id="3"/>
      </w:r>
      <w:r w:rsidR="00CA0407">
        <w:t xml:space="preserve"> As Ruth B. Edwards comments, the term itself does not hold intrinsic offense, nor does it </w:t>
      </w:r>
      <w:r w:rsidR="00960A93">
        <w:t>possess within it</w:t>
      </w:r>
      <w:r w:rsidR="00CA0407">
        <w:t xml:space="preserve"> </w:t>
      </w:r>
      <w:r w:rsidR="00DF614A">
        <w:t>inherent</w:t>
      </w:r>
      <w:r w:rsidR="00960A93">
        <w:t>ly</w:t>
      </w:r>
      <w:r w:rsidR="00DF614A">
        <w:t xml:space="preserve"> </w:t>
      </w:r>
      <w:r w:rsidR="00CA0407">
        <w:t>negative connotations.</w:t>
      </w:r>
      <w:r w:rsidR="00CA0407" w:rsidRPr="00CA0407">
        <w:rPr>
          <w:i/>
          <w:iCs/>
        </w:rPr>
        <w:t xml:space="preserve"> </w:t>
      </w:r>
      <w:proofErr w:type="spellStart"/>
      <w:r w:rsidR="00CA0407" w:rsidRPr="00CA0407">
        <w:rPr>
          <w:i/>
          <w:iCs/>
        </w:rPr>
        <w:t>Ioudaios</w:t>
      </w:r>
      <w:proofErr w:type="spellEnd"/>
      <w:r w:rsidR="00CA0407">
        <w:t xml:space="preserve"> is simply a Greek term that was used both by Gentiles and by Jewish people when interacting with Gentiles</w:t>
      </w:r>
      <w:r w:rsidR="00DF614A">
        <w:t xml:space="preserve">; it was usually a term “on the lips of outsiders”, </w:t>
      </w:r>
      <w:r w:rsidR="00CA0407">
        <w:rPr>
          <w:rStyle w:val="FootnoteReference"/>
        </w:rPr>
        <w:footnoteReference w:id="4"/>
      </w:r>
      <w:r w:rsidR="00DF614A">
        <w:t xml:space="preserve"> a word which referred to inhabitants of Judea, or adherents to the Jewish faith. And perhaps that is where the offense begins- </w:t>
      </w:r>
      <w:r w:rsidR="00DF614A">
        <w:lastRenderedPageBreak/>
        <w:t xml:space="preserve">the Johannine author uses this term seventy-one times, and yet not once uses it to describe Jesus or his disciples, </w:t>
      </w:r>
      <w:r w:rsidR="00832242">
        <w:t>despite</w:t>
      </w:r>
      <w:r w:rsidR="00DF614A">
        <w:t xml:space="preserve"> them all being</w:t>
      </w:r>
      <w:r w:rsidR="00EC3C29">
        <w:t xml:space="preserve"> </w:t>
      </w:r>
      <w:r w:rsidR="00DF614A">
        <w:t>inhabitants of Judea and</w:t>
      </w:r>
      <w:r w:rsidR="00EC3C29">
        <w:t xml:space="preserve">/or </w:t>
      </w:r>
      <w:r w:rsidR="00DF614A">
        <w:t>adherents of the Jewish faith.</w:t>
      </w:r>
      <w:r w:rsidR="00832242">
        <w:rPr>
          <w:rStyle w:val="FootnoteReference"/>
        </w:rPr>
        <w:footnoteReference w:id="5"/>
      </w:r>
      <w:r w:rsidR="0013667D">
        <w:t xml:space="preserve"> </w:t>
      </w:r>
      <w:r w:rsidR="00F74B85">
        <w:t>The distancing of Jesus</w:t>
      </w:r>
      <w:r w:rsidR="003E54C7">
        <w:t xml:space="preserve"> and his followers</w:t>
      </w:r>
      <w:r w:rsidR="00F74B85">
        <w:t xml:space="preserve"> from the </w:t>
      </w:r>
      <w:proofErr w:type="spellStart"/>
      <w:r w:rsidR="00F74B85">
        <w:rPr>
          <w:i/>
          <w:iCs/>
        </w:rPr>
        <w:t>Ioudaios</w:t>
      </w:r>
      <w:proofErr w:type="spellEnd"/>
      <w:r w:rsidR="00F74B85">
        <w:rPr>
          <w:i/>
          <w:iCs/>
        </w:rPr>
        <w:t xml:space="preserve"> </w:t>
      </w:r>
      <w:r w:rsidR="00F74B85">
        <w:t>means that we cannot assume that John is using the term in the way that Edwards states, which leaves us with a question of the utmost importance- who is the author referring to when he speaks of the</w:t>
      </w:r>
      <w:r w:rsidR="00F74B85" w:rsidRPr="00F74B85">
        <w:t xml:space="preserve"> </w:t>
      </w:r>
      <w:proofErr w:type="spellStart"/>
      <w:r w:rsidR="00F74B85" w:rsidRPr="00F74B85">
        <w:rPr>
          <w:i/>
          <w:iCs/>
        </w:rPr>
        <w:t>ioudaios</w:t>
      </w:r>
      <w:proofErr w:type="spellEnd"/>
      <w:r w:rsidR="00F74B85" w:rsidRPr="00F74B85">
        <w:rPr>
          <w:i/>
          <w:iCs/>
        </w:rPr>
        <w:t>/</w:t>
      </w:r>
      <w:proofErr w:type="spellStart"/>
      <w:r w:rsidR="00F74B85" w:rsidRPr="00F74B85">
        <w:rPr>
          <w:i/>
          <w:iCs/>
        </w:rPr>
        <w:t>ioudaioi</w:t>
      </w:r>
      <w:proofErr w:type="spellEnd"/>
      <w:r w:rsidR="00F74B85">
        <w:t xml:space="preserve">? </w:t>
      </w:r>
    </w:p>
    <w:p w14:paraId="200E9430" w14:textId="60BF8B27" w:rsidR="00DE715D" w:rsidRDefault="00A3264A" w:rsidP="00180A09">
      <w:pPr>
        <w:jc w:val="both"/>
      </w:pPr>
      <w:r>
        <w:t>It is important to note that the use of the term is varied- s</w:t>
      </w:r>
      <w:r w:rsidR="00EC3C29">
        <w:t>eventeen of the uses are neutral/descriptive,</w:t>
      </w:r>
      <w:r w:rsidR="00D95532">
        <w:t xml:space="preserve"> eight of which refer</w:t>
      </w:r>
      <w:r w:rsidR="00EC3C29">
        <w:t xml:space="preserve"> to specific </w:t>
      </w:r>
      <w:r w:rsidR="00D95532">
        <w:t xml:space="preserve">Jewish social </w:t>
      </w:r>
      <w:r w:rsidR="00EC3C29">
        <w:t>customs, behaviours, rituals</w:t>
      </w:r>
      <w:r w:rsidR="00D95532">
        <w:t>, festivals</w:t>
      </w:r>
      <w:r w:rsidR="00EC3C29">
        <w:t xml:space="preserve"> etc. (cf. </w:t>
      </w:r>
      <w:r w:rsidR="00D95532">
        <w:t>2:6; 2:13; 5:1; 6:4 )</w:t>
      </w:r>
      <w:r>
        <w:t>,</w:t>
      </w:r>
      <w:r w:rsidR="00D95532">
        <w:t xml:space="preserve"> while </w:t>
      </w:r>
      <w:r w:rsidR="00EC3C29">
        <w:t xml:space="preserve">in </w:t>
      </w:r>
      <w:r w:rsidR="00D95532">
        <w:t xml:space="preserve">the </w:t>
      </w:r>
      <w:r w:rsidR="00EC3C29">
        <w:t xml:space="preserve">other </w:t>
      </w:r>
      <w:r w:rsidR="00D95532">
        <w:t xml:space="preserve">nine </w:t>
      </w:r>
      <w:r w:rsidR="00EC3C29">
        <w:t xml:space="preserve">instances, </w:t>
      </w:r>
      <w:proofErr w:type="spellStart"/>
      <w:r w:rsidR="003E54C7">
        <w:rPr>
          <w:i/>
          <w:iCs/>
        </w:rPr>
        <w:t>i</w:t>
      </w:r>
      <w:r w:rsidR="003E54C7" w:rsidRPr="003E54C7">
        <w:rPr>
          <w:i/>
          <w:iCs/>
        </w:rPr>
        <w:t>oudaios</w:t>
      </w:r>
      <w:proofErr w:type="spellEnd"/>
      <w:r w:rsidR="00EC3C29">
        <w:t xml:space="preserve"> </w:t>
      </w:r>
      <w:r w:rsidR="003E54C7">
        <w:t xml:space="preserve">is used to </w:t>
      </w:r>
      <w:r w:rsidR="00D95532">
        <w:t>describe</w:t>
      </w:r>
      <w:r w:rsidR="00EC3C29">
        <w:t xml:space="preserve"> a specific person/group of individuals</w:t>
      </w:r>
      <w:r w:rsidR="008E19A8">
        <w:t xml:space="preserve"> present within the narrative, and does so</w:t>
      </w:r>
      <w:r w:rsidR="00D95532">
        <w:t xml:space="preserve"> in a</w:t>
      </w:r>
      <w:r w:rsidR="00480EFA">
        <w:t xml:space="preserve"> relatively</w:t>
      </w:r>
      <w:r w:rsidR="00D95532">
        <w:t xml:space="preserve"> neutral manner (cf. 3:1; 3:25; 11:19; 18:12). The more problematic </w:t>
      </w:r>
      <w:r w:rsidR="003072F9">
        <w:t xml:space="preserve">uses of the term are the thirteen occurrences in which the </w:t>
      </w:r>
      <w:proofErr w:type="spellStart"/>
      <w:r w:rsidR="003072F9" w:rsidRPr="003072F9">
        <w:rPr>
          <w:i/>
          <w:iCs/>
        </w:rPr>
        <w:t>ioudaioi</w:t>
      </w:r>
      <w:proofErr w:type="spellEnd"/>
      <w:r w:rsidR="003072F9">
        <w:t xml:space="preserve"> question and argue with Jesus on spiritual </w:t>
      </w:r>
      <w:r w:rsidR="006057D1">
        <w:t xml:space="preserve">and theological </w:t>
      </w:r>
      <w:r w:rsidR="003072F9">
        <w:t>matters</w:t>
      </w:r>
      <w:r w:rsidR="00252940">
        <w:t xml:space="preserve"> (cf. 6:52; 7:15; 7:35; 11:36; 11:46)</w:t>
      </w:r>
      <w:r w:rsidR="003072F9">
        <w:t xml:space="preserve">, and the further twenty-nine </w:t>
      </w:r>
      <w:r w:rsidR="00252940">
        <w:t>instances</w:t>
      </w:r>
      <w:r w:rsidR="003072F9">
        <w:t xml:space="preserve"> in which the </w:t>
      </w:r>
      <w:proofErr w:type="spellStart"/>
      <w:r w:rsidR="003072F9">
        <w:rPr>
          <w:i/>
          <w:iCs/>
        </w:rPr>
        <w:t>ioudaioi</w:t>
      </w:r>
      <w:proofErr w:type="spellEnd"/>
      <w:r w:rsidR="003072F9">
        <w:rPr>
          <w:i/>
          <w:iCs/>
        </w:rPr>
        <w:t xml:space="preserve"> </w:t>
      </w:r>
      <w:r w:rsidR="003072F9">
        <w:t xml:space="preserve">express </w:t>
      </w:r>
      <w:r w:rsidR="00480EFA">
        <w:t>violence,</w:t>
      </w:r>
      <w:r w:rsidR="00252940">
        <w:t xml:space="preserve"> </w:t>
      </w:r>
      <w:r w:rsidR="003072F9">
        <w:t>anger and hostility towards Jesus and his followers, enacting reciprocated anger and ridicule from Jesus himself</w:t>
      </w:r>
      <w:r w:rsidR="00252940">
        <w:t xml:space="preserve"> (cf. 1:19; 2:12; 5:10; 8:48)</w:t>
      </w:r>
      <w:r w:rsidR="003072F9">
        <w:t>.</w:t>
      </w:r>
      <w:r w:rsidR="00252940">
        <w:t xml:space="preserve"> </w:t>
      </w:r>
      <w:r w:rsidR="00332939">
        <w:t xml:space="preserve">It is these latter uses of the term that have led Rosemary </w:t>
      </w:r>
      <w:proofErr w:type="spellStart"/>
      <w:r w:rsidR="00332939">
        <w:t>Ruether</w:t>
      </w:r>
      <w:proofErr w:type="spellEnd"/>
      <w:r w:rsidR="00D359FB">
        <w:t xml:space="preserve"> (as well as many other scholars)</w:t>
      </w:r>
      <w:r w:rsidR="00332939">
        <w:t xml:space="preserve"> </w:t>
      </w:r>
      <w:r>
        <w:t xml:space="preserve">to state that John uses the term </w:t>
      </w:r>
      <w:proofErr w:type="spellStart"/>
      <w:r w:rsidR="006057D1" w:rsidRPr="006057D1">
        <w:rPr>
          <w:i/>
          <w:iCs/>
        </w:rPr>
        <w:t>Ioudaios</w:t>
      </w:r>
      <w:proofErr w:type="spellEnd"/>
      <w:r w:rsidR="00D2034E">
        <w:rPr>
          <w:i/>
          <w:iCs/>
        </w:rPr>
        <w:t>/’</w:t>
      </w:r>
      <w:r w:rsidR="00D2034E">
        <w:t>The Jews’</w:t>
      </w:r>
      <w:r w:rsidR="006057D1">
        <w:t xml:space="preserve"> </w:t>
      </w:r>
      <w:r>
        <w:t>to refer to the ‘fallen universe of darkness’, an ‘alienated people’ and people who are from ‘below’.</w:t>
      </w:r>
      <w:r>
        <w:rPr>
          <w:rStyle w:val="FootnoteReference"/>
        </w:rPr>
        <w:footnoteReference w:id="6"/>
      </w:r>
      <w:r w:rsidR="009C7433">
        <w:t xml:space="preserve"> </w:t>
      </w:r>
    </w:p>
    <w:p w14:paraId="277EC674" w14:textId="7280F7CA" w:rsidR="00D2034E" w:rsidRDefault="00D2034E" w:rsidP="00180A09">
      <w:pPr>
        <w:jc w:val="both"/>
      </w:pPr>
      <w:r>
        <w:t xml:space="preserve">Such a theory has been largely expounded </w:t>
      </w:r>
      <w:r w:rsidR="003C5981">
        <w:t xml:space="preserve">by Rudolf </w:t>
      </w:r>
      <w:proofErr w:type="spellStart"/>
      <w:r w:rsidR="003C5981">
        <w:t>Bultmann</w:t>
      </w:r>
      <w:r w:rsidR="00E44730">
        <w:t>n</w:t>
      </w:r>
      <w:proofErr w:type="spellEnd"/>
      <w:r w:rsidR="00E44730">
        <w:t xml:space="preserve"> who identifies John’s use of the term as referring to a people who are ignorant, blind and signposts of unbelief- placing them in direct opposition to Jesus and his followers.</w:t>
      </w:r>
      <w:r w:rsidR="00E44730">
        <w:rPr>
          <w:rStyle w:val="FootnoteReference"/>
        </w:rPr>
        <w:footnoteReference w:id="7"/>
      </w:r>
      <w:r w:rsidR="00E44730">
        <w:t xml:space="preserve"> </w:t>
      </w:r>
      <w:r w:rsidR="003C5981">
        <w:t xml:space="preserve"> </w:t>
      </w:r>
      <w:r w:rsidR="00E2479E">
        <w:t>Such dualistic opposition is a common motif within Johannine theology, as he uses juxtaposi</w:t>
      </w:r>
      <w:r w:rsidR="00D359FB">
        <w:t xml:space="preserve">ng </w:t>
      </w:r>
      <w:r w:rsidR="0041036D">
        <w:t xml:space="preserve">metaphors </w:t>
      </w:r>
      <w:r w:rsidR="00D359FB">
        <w:t xml:space="preserve">such as </w:t>
      </w:r>
      <w:r w:rsidR="0041036D">
        <w:t>light/dark, above/below, accepting/rejecting</w:t>
      </w:r>
      <w:r w:rsidR="00D359FB">
        <w:t>;</w:t>
      </w:r>
      <w:r w:rsidR="0041036D">
        <w:t xml:space="preserve"> all of which ultimately</w:t>
      </w:r>
      <w:r w:rsidR="0041036D" w:rsidRPr="0041036D">
        <w:t xml:space="preserve"> represent the </w:t>
      </w:r>
      <w:r w:rsidR="00A71F0A">
        <w:t>vital</w:t>
      </w:r>
      <w:r w:rsidR="0041036D" w:rsidRPr="0041036D">
        <w:t xml:space="preserve"> differentiation between those who believe in Jesus and those who do not.</w:t>
      </w:r>
      <w:r w:rsidR="0041036D">
        <w:t xml:space="preserve"> Both Bultmann and </w:t>
      </w:r>
      <w:proofErr w:type="spellStart"/>
      <w:r w:rsidR="0041036D">
        <w:t>Reinhartz</w:t>
      </w:r>
      <w:proofErr w:type="spellEnd"/>
      <w:r w:rsidR="0041036D">
        <w:t xml:space="preserve"> have noted that “the negative elements are directly </w:t>
      </w:r>
      <w:r w:rsidR="004A1ACC">
        <w:t xml:space="preserve">identified </w:t>
      </w:r>
      <w:r w:rsidR="0041036D">
        <w:t xml:space="preserve">with </w:t>
      </w:r>
      <w:r w:rsidR="0041036D">
        <w:rPr>
          <w:i/>
          <w:iCs/>
        </w:rPr>
        <w:t xml:space="preserve">hoi </w:t>
      </w:r>
      <w:proofErr w:type="spellStart"/>
      <w:r w:rsidR="0041036D">
        <w:rPr>
          <w:i/>
          <w:iCs/>
        </w:rPr>
        <w:t>ioudaioi</w:t>
      </w:r>
      <w:proofErr w:type="spellEnd"/>
      <w:r w:rsidR="0041036D">
        <w:rPr>
          <w:i/>
          <w:iCs/>
        </w:rPr>
        <w:t>”</w:t>
      </w:r>
      <w:r w:rsidR="004A1ACC">
        <w:rPr>
          <w:i/>
          <w:iCs/>
        </w:rPr>
        <w:t xml:space="preserve">, </w:t>
      </w:r>
      <w:r w:rsidR="0041036D">
        <w:rPr>
          <w:rStyle w:val="FootnoteReference"/>
          <w:i/>
          <w:iCs/>
        </w:rPr>
        <w:footnoteReference w:id="8"/>
      </w:r>
      <w:r w:rsidR="004A1ACC">
        <w:t xml:space="preserve"> </w:t>
      </w:r>
      <w:r w:rsidR="008E19A8">
        <w:t xml:space="preserve">leading </w:t>
      </w:r>
      <w:proofErr w:type="spellStart"/>
      <w:r w:rsidR="008E19A8">
        <w:t>Reinhartz</w:t>
      </w:r>
      <w:proofErr w:type="spellEnd"/>
      <w:r w:rsidR="008E19A8">
        <w:t xml:space="preserve"> to further write that </w:t>
      </w:r>
      <w:r w:rsidR="008E19A8" w:rsidRPr="008E19A8">
        <w:t xml:space="preserve">“the </w:t>
      </w:r>
      <w:proofErr w:type="spellStart"/>
      <w:r w:rsidR="008E19A8" w:rsidRPr="008E19A8">
        <w:rPr>
          <w:i/>
          <w:iCs/>
        </w:rPr>
        <w:t>ioudaioi</w:t>
      </w:r>
      <w:proofErr w:type="spellEnd"/>
      <w:r w:rsidR="008E19A8" w:rsidRPr="008E19A8">
        <w:t xml:space="preserve"> function as the corporate villain in John’s narrative”.</w:t>
      </w:r>
      <w:r w:rsidR="008E19A8" w:rsidRPr="008E19A8">
        <w:rPr>
          <w:vertAlign w:val="superscript"/>
        </w:rPr>
        <w:footnoteReference w:id="9"/>
      </w:r>
      <w:r w:rsidR="008E19A8">
        <w:t xml:space="preserve"> </w:t>
      </w:r>
      <w:r w:rsidR="008321C9">
        <w:t xml:space="preserve">Perhaps the most problematic </w:t>
      </w:r>
      <w:r w:rsidR="000969E6">
        <w:t xml:space="preserve">example of </w:t>
      </w:r>
      <w:r w:rsidR="006938CF">
        <w:t xml:space="preserve">this </w:t>
      </w:r>
      <w:r w:rsidR="000969E6">
        <w:t>metaphorical opposition is found</w:t>
      </w:r>
      <w:r w:rsidR="00F82CC0">
        <w:t xml:space="preserve"> during </w:t>
      </w:r>
      <w:r w:rsidR="006938CF">
        <w:t xml:space="preserve">a </w:t>
      </w:r>
      <w:r w:rsidR="00F82CC0">
        <w:t xml:space="preserve">confrontation between Jesus and </w:t>
      </w:r>
      <w:r w:rsidR="00F37279">
        <w:t>‘</w:t>
      </w:r>
      <w:r w:rsidR="00F82CC0">
        <w:t>the</w:t>
      </w:r>
      <w:r w:rsidR="00F37279">
        <w:t xml:space="preserve"> Jews’</w:t>
      </w:r>
      <w:r w:rsidR="006938CF">
        <w:t xml:space="preserve">, the confrontation </w:t>
      </w:r>
      <w:r w:rsidR="00DD0CDA">
        <w:t>finds its dramatic climax in Jesus’ following statement</w:t>
      </w:r>
      <w:r w:rsidR="000969E6">
        <w:t>:</w:t>
      </w:r>
    </w:p>
    <w:p w14:paraId="4970088E" w14:textId="4646B802" w:rsidR="000969E6" w:rsidRDefault="000969E6" w:rsidP="000969E6">
      <w:pPr>
        <w:jc w:val="center"/>
      </w:pPr>
      <w:r w:rsidRPr="000969E6">
        <w:rPr>
          <w:b/>
          <w:bCs/>
          <w:i/>
          <w:iCs/>
          <w:vertAlign w:val="superscript"/>
        </w:rPr>
        <w:t> </w:t>
      </w:r>
      <w:r w:rsidRPr="000969E6">
        <w:rPr>
          <w:i/>
          <w:iCs/>
        </w:rPr>
        <w:t>You are from your father the devil, and you choose to do your father’s desires. He was a murderer from the beginning and does not stand in the truth, because there is no truth in him. When he lies, he speaks according to his own nature, for he is a liar and the father of lies</w:t>
      </w:r>
      <w:r>
        <w:rPr>
          <w:i/>
          <w:iCs/>
        </w:rPr>
        <w:t xml:space="preserve"> </w:t>
      </w:r>
      <w:r>
        <w:t>(John 8:44)</w:t>
      </w:r>
    </w:p>
    <w:p w14:paraId="220DF02E" w14:textId="3F320CBF" w:rsidR="000969E6" w:rsidRDefault="00F82CC0" w:rsidP="000969E6">
      <w:pPr>
        <w:jc w:val="both"/>
      </w:pPr>
      <w:r>
        <w:t xml:space="preserve">Jesus juxtaposes this </w:t>
      </w:r>
      <w:r w:rsidR="00DD0CDA">
        <w:t xml:space="preserve">accusation </w:t>
      </w:r>
      <w:r>
        <w:t xml:space="preserve">with the claim that he has come from God, commissioned to reside upon the earth as his divine agent of salvation (8:42). </w:t>
      </w:r>
      <w:r w:rsidR="00D00643">
        <w:t>With these words</w:t>
      </w:r>
      <w:r w:rsidR="000F35B4">
        <w:t xml:space="preserve"> powerful words Jesus</w:t>
      </w:r>
      <w:r w:rsidR="00D00643">
        <w:t xml:space="preserve"> is tethering the identities of the </w:t>
      </w:r>
      <w:proofErr w:type="spellStart"/>
      <w:r w:rsidR="00023F02">
        <w:rPr>
          <w:i/>
          <w:iCs/>
        </w:rPr>
        <w:t>ioudaoi</w:t>
      </w:r>
      <w:proofErr w:type="spellEnd"/>
      <w:r w:rsidR="00D00643">
        <w:t xml:space="preserve"> with </w:t>
      </w:r>
      <w:r w:rsidR="00E056E8">
        <w:t>the devil</w:t>
      </w:r>
      <w:r w:rsidR="00E12A64">
        <w:t xml:space="preserve"> himself- the </w:t>
      </w:r>
      <w:r w:rsidR="00D00643">
        <w:t>epitome of evil, the source of all that is in opposition to God</w:t>
      </w:r>
      <w:r w:rsidR="00E12A64">
        <w:t xml:space="preserve">. Furthermore, </w:t>
      </w:r>
      <w:r w:rsidR="000F35B4">
        <w:t>he</w:t>
      </w:r>
      <w:r w:rsidR="00E12A64">
        <w:t xml:space="preserve"> is claiming that they share in his nature, exhibiting his characteristics</w:t>
      </w:r>
      <w:r w:rsidR="00D00643">
        <w:t>.</w:t>
      </w:r>
      <w:r w:rsidR="00023F02">
        <w:rPr>
          <w:rStyle w:val="FootnoteReference"/>
        </w:rPr>
        <w:footnoteReference w:id="10"/>
      </w:r>
      <w:r w:rsidR="00D00643">
        <w:t xml:space="preserve"> </w:t>
      </w:r>
      <w:r w:rsidR="00E12A64" w:rsidRPr="00E12A64">
        <w:t xml:space="preserve">These words hold immense power; they are not coming from the mouth of an ‘other’ </w:t>
      </w:r>
      <w:r w:rsidR="00E12A64" w:rsidRPr="00E12A64">
        <w:lastRenderedPageBreak/>
        <w:t xml:space="preserve">or even the narrator, these words are coming from Jesus himself. </w:t>
      </w:r>
      <w:r w:rsidR="00DD0CDA">
        <w:t>Perhaps this is why the link between Jewish people and</w:t>
      </w:r>
      <w:r>
        <w:t xml:space="preserve"> Satan/Satanic </w:t>
      </w:r>
      <w:r w:rsidR="00DD0CDA">
        <w:t>traits</w:t>
      </w:r>
      <w:r>
        <w:t xml:space="preserve"> has been one of the most persistent and damaging forms of not only anti-Judaism, but also anti-Semitism. </w:t>
      </w:r>
    </w:p>
    <w:p w14:paraId="436355F1" w14:textId="5F216BA6" w:rsidR="007A4126" w:rsidRDefault="0033539A" w:rsidP="000969E6">
      <w:pPr>
        <w:jc w:val="both"/>
      </w:pPr>
      <w:r>
        <w:t xml:space="preserve">While it is clear that </w:t>
      </w:r>
      <w:r w:rsidR="00E056E8">
        <w:t xml:space="preserve">the Johannine author seeks to </w:t>
      </w:r>
      <w:r w:rsidR="00000540">
        <w:t xml:space="preserve">distance </w:t>
      </w:r>
      <w:r w:rsidR="00E056E8">
        <w:t xml:space="preserve"> Jesus</w:t>
      </w:r>
      <w:r w:rsidR="00F9248B">
        <w:t xml:space="preserve"> and his disciples</w:t>
      </w:r>
      <w:r w:rsidR="00E056E8">
        <w:t xml:space="preserve"> from the </w:t>
      </w:r>
      <w:proofErr w:type="spellStart"/>
      <w:r w:rsidR="00F9248B">
        <w:rPr>
          <w:i/>
          <w:iCs/>
        </w:rPr>
        <w:t>i</w:t>
      </w:r>
      <w:r w:rsidR="00E056E8" w:rsidRPr="00E056E8">
        <w:rPr>
          <w:i/>
          <w:iCs/>
        </w:rPr>
        <w:t>oudaioi</w:t>
      </w:r>
      <w:proofErr w:type="spellEnd"/>
      <w:r w:rsidR="00E056E8">
        <w:t xml:space="preserve">, and present a chasm of </w:t>
      </w:r>
      <w:r w:rsidR="00000540">
        <w:t xml:space="preserve">spiritual </w:t>
      </w:r>
      <w:r w:rsidR="00E056E8">
        <w:t>separation between the two</w:t>
      </w:r>
      <w:r w:rsidR="00F9248B">
        <w:t xml:space="preserve"> communities</w:t>
      </w:r>
      <w:r w:rsidR="00E056E8">
        <w:t>, arguably culminating in the afore mentioned reference to the devil</w:t>
      </w:r>
      <w:r w:rsidR="00F9248B">
        <w:t xml:space="preserve"> (8:44)</w:t>
      </w:r>
      <w:r w:rsidR="00E056E8">
        <w:t>, there has been considerable effor</w:t>
      </w:r>
      <w:r w:rsidR="00F9248B">
        <w:t xml:space="preserve">t </w:t>
      </w:r>
      <w:r w:rsidR="004E208E">
        <w:t xml:space="preserve">made </w:t>
      </w:r>
      <w:r w:rsidR="00F9248B">
        <w:t>to soften the</w:t>
      </w:r>
      <w:r w:rsidR="00E056E8">
        <w:t xml:space="preserve"> accusation of </w:t>
      </w:r>
      <w:r w:rsidR="00F9248B">
        <w:t xml:space="preserve">blatant </w:t>
      </w:r>
      <w:r w:rsidR="00E056E8">
        <w:t xml:space="preserve">anti-Jewish rhetoric </w:t>
      </w:r>
      <w:r w:rsidR="00F9248B">
        <w:t xml:space="preserve">proposed by </w:t>
      </w:r>
      <w:r w:rsidR="004E208E">
        <w:t xml:space="preserve">the likes of </w:t>
      </w:r>
      <w:proofErr w:type="spellStart"/>
      <w:r w:rsidR="00F9248B">
        <w:t>Ruether</w:t>
      </w:r>
      <w:proofErr w:type="spellEnd"/>
      <w:r w:rsidR="00F9248B">
        <w:t xml:space="preserve">, Bultmann and </w:t>
      </w:r>
      <w:proofErr w:type="spellStart"/>
      <w:r w:rsidR="00F9248B">
        <w:t>Reinhartz</w:t>
      </w:r>
      <w:proofErr w:type="spellEnd"/>
      <w:r w:rsidR="00F9248B">
        <w:t xml:space="preserve"> (among many others). The afore mentioned question of- who exactly are </w:t>
      </w:r>
      <w:r w:rsidR="00F9248B" w:rsidRPr="00F9248B">
        <w:rPr>
          <w:i/>
          <w:iCs/>
        </w:rPr>
        <w:t xml:space="preserve">the Jews/hoi </w:t>
      </w:r>
      <w:proofErr w:type="spellStart"/>
      <w:r w:rsidR="00F9248B" w:rsidRPr="00F9248B">
        <w:rPr>
          <w:i/>
          <w:iCs/>
        </w:rPr>
        <w:t>ioudaioi</w:t>
      </w:r>
      <w:proofErr w:type="spellEnd"/>
      <w:r w:rsidR="00F9248B">
        <w:rPr>
          <w:i/>
          <w:iCs/>
        </w:rPr>
        <w:t xml:space="preserve"> </w:t>
      </w:r>
      <w:r w:rsidR="00F9248B">
        <w:t xml:space="preserve">that John is referring </w:t>
      </w:r>
      <w:r w:rsidR="00000540">
        <w:t xml:space="preserve">to? - has been central to this </w:t>
      </w:r>
      <w:r w:rsidR="007A4126">
        <w:t>work</w:t>
      </w:r>
      <w:r w:rsidR="00000540">
        <w:t>.</w:t>
      </w:r>
    </w:p>
    <w:p w14:paraId="0022856F" w14:textId="44FE069E" w:rsidR="001A1055" w:rsidRDefault="00000540" w:rsidP="000969E6">
      <w:pPr>
        <w:jc w:val="both"/>
      </w:pPr>
      <w:r>
        <w:t xml:space="preserve"> </w:t>
      </w:r>
      <w:r w:rsidR="00997C4B">
        <w:t xml:space="preserve">When using the term ‘the Jews’, is John referring to all adherents of the Jewish faith-past, present and future? If so, the accusation of anti-Judaism must surely stand. Or broader yet, is he referring to Jewish people as an ethnic grouping? In which case, anti-Semitism is the underlying </w:t>
      </w:r>
      <w:r w:rsidR="00EA00F1">
        <w:t>bias</w:t>
      </w:r>
      <w:r w:rsidR="00997C4B">
        <w:t xml:space="preserve">. </w:t>
      </w:r>
      <w:r w:rsidR="00B8713D">
        <w:t>An opposing question might be, is</w:t>
      </w:r>
      <w:r w:rsidR="00997C4B">
        <w:t xml:space="preserve"> it possible that John’s reference is far more specific, and i</w:t>
      </w:r>
      <w:r w:rsidR="00EA00F1">
        <w:t>s</w:t>
      </w:r>
      <w:r w:rsidR="00997C4B">
        <w:t xml:space="preserve"> confined to the people within his </w:t>
      </w:r>
      <w:r w:rsidR="003B663B">
        <w:t>narrative?</w:t>
      </w:r>
      <w:r w:rsidR="00997C4B">
        <w:t xml:space="preserve"> </w:t>
      </w:r>
      <w:r w:rsidR="003B663B">
        <w:t>Everything depends upon the answer to this question</w:t>
      </w:r>
      <w:r w:rsidR="00EA00F1">
        <w:t>,</w:t>
      </w:r>
      <w:r w:rsidR="003B663B">
        <w:t xml:space="preserve"> and yet, as Ruth Edwards notes, his varied and ambiguous use of the term means that there is no simple way of answering it.</w:t>
      </w:r>
      <w:r w:rsidR="003B663B">
        <w:rPr>
          <w:rStyle w:val="FootnoteReference"/>
        </w:rPr>
        <w:footnoteReference w:id="11"/>
      </w:r>
      <w:r w:rsidR="00B3472E">
        <w:t xml:space="preserve"> In 1982</w:t>
      </w:r>
      <w:r w:rsidR="00647319">
        <w:t>,</w:t>
      </w:r>
      <w:r w:rsidR="003B663B">
        <w:t xml:space="preserve"> </w:t>
      </w:r>
      <w:r w:rsidR="00B3472E">
        <w:t xml:space="preserve">Von </w:t>
      </w:r>
      <w:proofErr w:type="spellStart"/>
      <w:r w:rsidR="00B3472E">
        <w:t>W</w:t>
      </w:r>
      <w:r w:rsidR="00BE3434">
        <w:t>ah</w:t>
      </w:r>
      <w:r w:rsidR="00B3472E">
        <w:t>lde</w:t>
      </w:r>
      <w:proofErr w:type="spellEnd"/>
      <w:r w:rsidR="00B3472E">
        <w:t xml:space="preserve"> presented a detailed analysis of each instance in which the term </w:t>
      </w:r>
      <w:proofErr w:type="spellStart"/>
      <w:r w:rsidR="00B3472E" w:rsidRPr="00B3472E">
        <w:rPr>
          <w:i/>
          <w:iCs/>
        </w:rPr>
        <w:t>ioudaioi</w:t>
      </w:r>
      <w:proofErr w:type="spellEnd"/>
      <w:r w:rsidR="00B3472E" w:rsidRPr="00B3472E">
        <w:rPr>
          <w:i/>
          <w:iCs/>
        </w:rPr>
        <w:t>/</w:t>
      </w:r>
      <w:proofErr w:type="spellStart"/>
      <w:r w:rsidR="00B3472E" w:rsidRPr="00B3472E">
        <w:rPr>
          <w:i/>
          <w:iCs/>
        </w:rPr>
        <w:t>ioudaios</w:t>
      </w:r>
      <w:proofErr w:type="spellEnd"/>
      <w:r w:rsidR="00647319">
        <w:rPr>
          <w:i/>
          <w:iCs/>
        </w:rPr>
        <w:t xml:space="preserve"> </w:t>
      </w:r>
      <w:r w:rsidR="00647319" w:rsidRPr="00647319">
        <w:t>is used</w:t>
      </w:r>
      <w:r w:rsidR="00B3472E" w:rsidRPr="00647319">
        <w:t>,</w:t>
      </w:r>
      <w:r w:rsidR="00B3472E">
        <w:t xml:space="preserve"> paying particular attention to the occasions in which it is used to denote a hostile group of Jesus’ opponents. In doing such a study, he concluded that the Johannine author must be intending to reference the Jewish authorities only.</w:t>
      </w:r>
      <w:r w:rsidR="00B3472E">
        <w:rPr>
          <w:rStyle w:val="FootnoteReference"/>
        </w:rPr>
        <w:footnoteReference w:id="12"/>
      </w:r>
      <w:r w:rsidR="00647319">
        <w:t xml:space="preserve"> </w:t>
      </w:r>
      <w:r w:rsidR="007D553C">
        <w:t xml:space="preserve">This is </w:t>
      </w:r>
      <w:r w:rsidR="001A1055">
        <w:t xml:space="preserve">the </w:t>
      </w:r>
      <w:r w:rsidR="007D553C">
        <w:t>conclusion that Edwards also settles upon, writing that</w:t>
      </w:r>
      <w:r w:rsidR="001A1055">
        <w:t>:</w:t>
      </w:r>
    </w:p>
    <w:p w14:paraId="5F106A22" w14:textId="1CA007BC" w:rsidR="000F265A" w:rsidRPr="001A1055" w:rsidRDefault="007D553C" w:rsidP="001A1055">
      <w:pPr>
        <w:jc w:val="center"/>
        <w:rPr>
          <w:i/>
          <w:iCs/>
        </w:rPr>
      </w:pPr>
      <w:r w:rsidRPr="001A1055">
        <w:rPr>
          <w:i/>
          <w:iCs/>
        </w:rPr>
        <w:t>“</w:t>
      </w:r>
      <w:r w:rsidR="001A1055">
        <w:rPr>
          <w:i/>
          <w:iCs/>
        </w:rPr>
        <w:t xml:space="preserve">Nor is it (the Gospel of John) anti-Jewish, since </w:t>
      </w:r>
      <w:r w:rsidRPr="001A1055">
        <w:rPr>
          <w:i/>
          <w:iCs/>
        </w:rPr>
        <w:t xml:space="preserve">where John portrays Jews negatively, this is not because of their religion in itself, but because of the attitudes and actions that he deems wrong, especially </w:t>
      </w:r>
      <w:r w:rsidR="001A1055" w:rsidRPr="001A1055">
        <w:rPr>
          <w:i/>
          <w:iCs/>
        </w:rPr>
        <w:t>those of the Jerusalem religious authorities.”</w:t>
      </w:r>
      <w:r w:rsidR="001A1055">
        <w:rPr>
          <w:rStyle w:val="FootnoteReference"/>
          <w:i/>
          <w:iCs/>
        </w:rPr>
        <w:footnoteReference w:id="13"/>
      </w:r>
    </w:p>
    <w:p w14:paraId="595119E2" w14:textId="4A9DCEB2" w:rsidR="00EF447E" w:rsidRDefault="00B8713D" w:rsidP="00180A09">
      <w:pPr>
        <w:jc w:val="both"/>
      </w:pPr>
      <w:r>
        <w:t xml:space="preserve">Similarly, attention has been placed upon the examples of positive </w:t>
      </w:r>
      <w:r w:rsidR="00EF656C">
        <w:t>references towards the Jewish community</w:t>
      </w:r>
      <w:r>
        <w:t xml:space="preserve"> within the fourth Gospel; </w:t>
      </w:r>
      <w:r w:rsidR="00C52ADA">
        <w:t xml:space="preserve">examples such as </w:t>
      </w:r>
      <w:r w:rsidR="008716FB">
        <w:t xml:space="preserve">Nathanael (1:43-50) who is specifically mentioned as being </w:t>
      </w:r>
      <w:r w:rsidR="008716FB" w:rsidRPr="008716FB">
        <w:t>“an Israelite in whom there is no deceit!”</w:t>
      </w:r>
      <w:r w:rsidR="008716FB">
        <w:t xml:space="preserve"> (1:47). Additionally, Jesus is given the title of ‘King of the Jews’</w:t>
      </w:r>
      <w:r w:rsidR="00EF656C">
        <w:t>, and himself states that “ salvation is from the Jews” (4:9)- these passages have been used as examples of the nuanced way in which the Johannine author employs the term</w:t>
      </w:r>
      <w:r w:rsidR="00E41BD8">
        <w:t xml:space="preserve">s </w:t>
      </w:r>
      <w:proofErr w:type="spellStart"/>
      <w:r w:rsidR="00E41BD8" w:rsidRPr="00E41BD8">
        <w:rPr>
          <w:i/>
          <w:iCs/>
        </w:rPr>
        <w:t>ioudaioi</w:t>
      </w:r>
      <w:proofErr w:type="spellEnd"/>
      <w:r w:rsidR="00E41BD8" w:rsidRPr="00E41BD8">
        <w:rPr>
          <w:i/>
          <w:iCs/>
        </w:rPr>
        <w:t>/</w:t>
      </w:r>
      <w:proofErr w:type="spellStart"/>
      <w:r w:rsidR="00E41BD8" w:rsidRPr="00E41BD8">
        <w:rPr>
          <w:i/>
          <w:iCs/>
        </w:rPr>
        <w:t>ioudaios</w:t>
      </w:r>
      <w:proofErr w:type="spellEnd"/>
      <w:r w:rsidR="00EF656C">
        <w:t>,</w:t>
      </w:r>
      <w:r w:rsidR="0085298D">
        <w:t xml:space="preserve"> arguing against the accusation that the term vilifies Judaism in its entirety. Y</w:t>
      </w:r>
      <w:r w:rsidR="00EF656C">
        <w:t>et such example</w:t>
      </w:r>
      <w:r w:rsidR="00E41BD8">
        <w:t>s</w:t>
      </w:r>
      <w:r w:rsidR="00EF656C">
        <w:t xml:space="preserve"> have done little to pacify the </w:t>
      </w:r>
      <w:r w:rsidR="00CB63D1">
        <w:t xml:space="preserve">accusations of </w:t>
      </w:r>
      <w:proofErr w:type="spellStart"/>
      <w:r w:rsidR="00CB63D1">
        <w:t>Ruether</w:t>
      </w:r>
      <w:proofErr w:type="spellEnd"/>
      <w:r w:rsidR="00CB63D1">
        <w:t xml:space="preserve"> who concludes that “’The Jews’ for John, are the very incarnation of the false, apostate principle of the fallen world, alienated from its true being in God”.</w:t>
      </w:r>
      <w:r w:rsidR="00CB63D1">
        <w:rPr>
          <w:rStyle w:val="FootnoteReference"/>
        </w:rPr>
        <w:footnoteReference w:id="14"/>
      </w:r>
    </w:p>
    <w:p w14:paraId="230F638C" w14:textId="77777777" w:rsidR="002C61F5" w:rsidRPr="002C61F5" w:rsidRDefault="002C61F5" w:rsidP="00180A09">
      <w:pPr>
        <w:jc w:val="both"/>
      </w:pPr>
    </w:p>
    <w:p w14:paraId="47159824" w14:textId="61FF3DDA" w:rsidR="00F0016B" w:rsidRDefault="00F0016B" w:rsidP="00180A09">
      <w:pPr>
        <w:jc w:val="both"/>
        <w:rPr>
          <w:b/>
          <w:bCs/>
        </w:rPr>
      </w:pPr>
      <w:r>
        <w:rPr>
          <w:b/>
          <w:bCs/>
        </w:rPr>
        <w:t xml:space="preserve">The </w:t>
      </w:r>
      <w:r w:rsidR="002C61F5">
        <w:rPr>
          <w:b/>
          <w:bCs/>
        </w:rPr>
        <w:t xml:space="preserve">Accusation of Deicide </w:t>
      </w:r>
      <w:r>
        <w:rPr>
          <w:b/>
          <w:bCs/>
        </w:rPr>
        <w:t xml:space="preserve"> </w:t>
      </w:r>
    </w:p>
    <w:p w14:paraId="74E594B4" w14:textId="00D11F6E" w:rsidR="00F2373C" w:rsidRDefault="00AC30E2" w:rsidP="00180A09">
      <w:pPr>
        <w:jc w:val="both"/>
      </w:pPr>
      <w:r>
        <w:t>At the heart of, not only the Johannine narrative, but the narrative of Jesus’ life within each of the four Gospels, is his unjust death</w:t>
      </w:r>
      <w:r w:rsidR="009E1C12">
        <w:t>. I</w:t>
      </w:r>
      <w:r w:rsidR="00F54B0E">
        <w:t xml:space="preserve">t is the hook </w:t>
      </w:r>
      <w:r w:rsidR="009E1C12">
        <w:t>up</w:t>
      </w:r>
      <w:r w:rsidR="00F54B0E">
        <w:t xml:space="preserve">on which every one of his sayings, teachings, miracles, and signs hang. </w:t>
      </w:r>
      <w:r w:rsidR="00E81946">
        <w:t>Jesus</w:t>
      </w:r>
      <w:r w:rsidR="00734DD6">
        <w:t>’</w:t>
      </w:r>
      <w:r w:rsidR="00E81946">
        <w:t xml:space="preserve"> death and resurrection are the foundation upon which Christian doctrine rests. It has therefore been argued that his death and resurrection are also the foundation upon which anti-Jewish polemic</w:t>
      </w:r>
      <w:r w:rsidR="009E1C12">
        <w:t xml:space="preserve"> has been </w:t>
      </w:r>
      <w:r w:rsidR="00E81946">
        <w:t>constructed</w:t>
      </w:r>
      <w:r w:rsidR="008A4574">
        <w:t>, particularly in the Gospel of John</w:t>
      </w:r>
      <w:r w:rsidR="00E81946">
        <w:t xml:space="preserve">. </w:t>
      </w:r>
      <w:r w:rsidR="00734DD6">
        <w:t>T</w:t>
      </w:r>
      <w:r w:rsidR="008A4574">
        <w:t xml:space="preserve">his could be because the </w:t>
      </w:r>
      <w:r w:rsidR="008A4574">
        <w:lastRenderedPageBreak/>
        <w:t>Jewish people are depicted as being angry by-standers of Jesus’ death, still not understanding his identity or purpose even when he is resurrected</w:t>
      </w:r>
      <w:r w:rsidR="00E77891">
        <w:t xml:space="preserve"> (or rather ‘lifted up’- John 8:30)</w:t>
      </w:r>
      <w:r w:rsidR="008A4574">
        <w:t>. A</w:t>
      </w:r>
      <w:r w:rsidR="001151C5">
        <w:t xml:space="preserve"> more </w:t>
      </w:r>
      <w:r w:rsidR="00B64D2E">
        <w:t xml:space="preserve">alarming </w:t>
      </w:r>
      <w:r w:rsidR="000A5C14">
        <w:t>interpretation,</w:t>
      </w:r>
      <w:r w:rsidR="001151C5">
        <w:t xml:space="preserve"> however, is that</w:t>
      </w:r>
      <w:r w:rsidR="008A4574">
        <w:t xml:space="preserve"> John accuses the Jewish people of deicide- the act of </w:t>
      </w:r>
      <w:r w:rsidR="009E1C12">
        <w:t>murdering</w:t>
      </w:r>
      <w:r w:rsidR="008A4574">
        <w:t xml:space="preserve"> God</w:t>
      </w:r>
      <w:r w:rsidR="00673281">
        <w:t xml:space="preserve">. </w:t>
      </w:r>
      <w:r w:rsidR="00471649">
        <w:t xml:space="preserve">As the narrative progresses </w:t>
      </w:r>
      <w:r w:rsidR="00471649">
        <w:rPr>
          <w:i/>
          <w:iCs/>
        </w:rPr>
        <w:t>t</w:t>
      </w:r>
      <w:r w:rsidR="00C758E7" w:rsidRPr="00673281">
        <w:rPr>
          <w:i/>
          <w:iCs/>
        </w:rPr>
        <w:t>h</w:t>
      </w:r>
      <w:r w:rsidR="00673281" w:rsidRPr="00673281">
        <w:rPr>
          <w:i/>
          <w:iCs/>
        </w:rPr>
        <w:t>e Jews</w:t>
      </w:r>
      <w:r w:rsidR="00C758E7">
        <w:t xml:space="preserve"> move from simply disagreeing or questioning </w:t>
      </w:r>
      <w:r w:rsidR="00D70E1C">
        <w:t>Jesus</w:t>
      </w:r>
      <w:r w:rsidR="00C758E7">
        <w:t xml:space="preserve"> to plotting to </w:t>
      </w:r>
      <w:r w:rsidR="00D70E1C">
        <w:t xml:space="preserve">harm </w:t>
      </w:r>
      <w:r w:rsidR="00C758E7">
        <w:t xml:space="preserve">him (5:18; 7:10), </w:t>
      </w:r>
      <w:r w:rsidR="00D70E1C">
        <w:t>then endeavouring</w:t>
      </w:r>
      <w:r w:rsidR="00C758E7">
        <w:t xml:space="preserve"> to kill him themselves by attempting to stone him (10:31) before calling for a more official death sentence to be placed upon him (19:7) and insisting that it be carried out, despite Pilate’s doubts</w:t>
      </w:r>
      <w:r w:rsidR="00D70E1C">
        <w:t xml:space="preserve"> </w:t>
      </w:r>
      <w:r w:rsidR="00C758E7">
        <w:t xml:space="preserve">(18:31-40). </w:t>
      </w:r>
      <w:r w:rsidR="00CE75D8">
        <w:t xml:space="preserve">It seems that through-out the trajectory of the fourth Gospel, </w:t>
      </w:r>
      <w:r w:rsidR="00CE75D8" w:rsidRPr="00673281">
        <w:rPr>
          <w:i/>
          <w:iCs/>
        </w:rPr>
        <w:t>the Jews</w:t>
      </w:r>
      <w:r w:rsidR="00CE75D8">
        <w:t xml:space="preserve"> are depicted as a people who are continuously growing in hostility towards Jesus</w:t>
      </w:r>
      <w:r w:rsidR="00A0694C">
        <w:t xml:space="preserve"> with </w:t>
      </w:r>
      <w:r w:rsidR="00CE75D8">
        <w:t xml:space="preserve">their aggression continuing to intensify as the reader journeys towards the all-important final chapters of the Gospel. </w:t>
      </w:r>
      <w:proofErr w:type="spellStart"/>
      <w:r w:rsidR="00B76C9C">
        <w:t>Reinhartz</w:t>
      </w:r>
      <w:proofErr w:type="spellEnd"/>
      <w:r w:rsidR="00B76C9C">
        <w:t xml:space="preserve"> has</w:t>
      </w:r>
      <w:r w:rsidR="009625DE">
        <w:t xml:space="preserve"> observed </w:t>
      </w:r>
      <w:r w:rsidR="00B76C9C">
        <w:t>that this shift from</w:t>
      </w:r>
      <w:r w:rsidR="009625DE">
        <w:t xml:space="preserve"> </w:t>
      </w:r>
      <w:r w:rsidR="009625DE" w:rsidRPr="009625DE">
        <w:rPr>
          <w:i/>
          <w:iCs/>
        </w:rPr>
        <w:t>the Jews</w:t>
      </w:r>
      <w:r w:rsidR="00B76C9C">
        <w:t xml:space="preserve"> being </w:t>
      </w:r>
      <w:r w:rsidR="009625DE">
        <w:t xml:space="preserve">merely a </w:t>
      </w:r>
      <w:r w:rsidR="00B76C9C">
        <w:t>sceptical</w:t>
      </w:r>
      <w:r w:rsidR="009625DE">
        <w:t xml:space="preserve"> audience</w:t>
      </w:r>
      <w:r w:rsidR="00B76C9C">
        <w:t xml:space="preserve"> to exhibiting “murderous intents and extreme behaviour”</w:t>
      </w:r>
      <w:r w:rsidR="009625DE">
        <w:rPr>
          <w:rStyle w:val="FootnoteReference"/>
        </w:rPr>
        <w:footnoteReference w:id="15"/>
      </w:r>
      <w:r w:rsidR="00B76C9C">
        <w:t xml:space="preserve"> has been underlying since they </w:t>
      </w:r>
      <w:r w:rsidR="009625DE">
        <w:t>interrogated John the Baptist in the very first chapter (1:19-27). She notes that “after these introductory chapters, however, the Jews’ antagonism toward Jesus and those associated with him proceeds beyond words to an intention to harm”.</w:t>
      </w:r>
      <w:r w:rsidR="009625DE">
        <w:rPr>
          <w:rStyle w:val="FootnoteReference"/>
        </w:rPr>
        <w:footnoteReference w:id="16"/>
      </w:r>
      <w:r w:rsidR="00E176C8">
        <w:t xml:space="preserve"> </w:t>
      </w:r>
      <w:proofErr w:type="spellStart"/>
      <w:r w:rsidR="00E176C8">
        <w:t>Reinhartz</w:t>
      </w:r>
      <w:proofErr w:type="spellEnd"/>
      <w:r w:rsidR="00E176C8">
        <w:t xml:space="preserve"> identifies these </w:t>
      </w:r>
      <w:r w:rsidR="00CE75D8">
        <w:t xml:space="preserve">ever-emerging </w:t>
      </w:r>
      <w:r w:rsidR="00E176C8">
        <w:t xml:space="preserve">murderous intentions as a way in which the author seeks to vilify </w:t>
      </w:r>
      <w:r w:rsidR="00E176C8" w:rsidRPr="00E176C8">
        <w:rPr>
          <w:i/>
          <w:iCs/>
        </w:rPr>
        <w:t>the Jews</w:t>
      </w:r>
      <w:r w:rsidR="00E176C8">
        <w:rPr>
          <w:i/>
          <w:iCs/>
        </w:rPr>
        <w:t xml:space="preserve">, </w:t>
      </w:r>
      <w:r w:rsidR="00E176C8" w:rsidRPr="00E176C8">
        <w:t>tainting its audiences’</w:t>
      </w:r>
      <w:r w:rsidR="00E176C8">
        <w:t xml:space="preserve"> perception and </w:t>
      </w:r>
      <w:r w:rsidR="00C40CCF">
        <w:t>ultimately</w:t>
      </w:r>
      <w:r w:rsidR="00E176C8">
        <w:t xml:space="preserve"> implanting anti-Jewish attitudes</w:t>
      </w:r>
      <w:r w:rsidR="00CE75D8">
        <w:t xml:space="preserve"> long before Jesus is put to death</w:t>
      </w:r>
      <w:r w:rsidR="00E176C8">
        <w:t xml:space="preserve">. </w:t>
      </w:r>
    </w:p>
    <w:p w14:paraId="15E324F3" w14:textId="6B16A0FF" w:rsidR="000A5C14" w:rsidRPr="00E176C8" w:rsidRDefault="00F2373C" w:rsidP="00180A09">
      <w:pPr>
        <w:jc w:val="both"/>
      </w:pPr>
      <w:r>
        <w:t xml:space="preserve">If </w:t>
      </w:r>
      <w:proofErr w:type="spellStart"/>
      <w:r>
        <w:t>Reinhartz</w:t>
      </w:r>
      <w:proofErr w:type="spellEnd"/>
      <w:r>
        <w:t>’ interpretation of the fourth Gospel is correct, and the Johannine author has been planting seeds of vilification since the first chapter, it could be strongly argued tha</w:t>
      </w:r>
      <w:r w:rsidR="00782AD0">
        <w:t>t</w:t>
      </w:r>
      <w:r>
        <w:t xml:space="preserve"> </w:t>
      </w:r>
      <w:r w:rsidR="00782AD0">
        <w:t xml:space="preserve">Jesus’ trial </w:t>
      </w:r>
      <w:r>
        <w:t>is where the literary fruits of such seeds can be clearly seen</w:t>
      </w:r>
      <w:r w:rsidR="00925790">
        <w:t xml:space="preserve">- it is the aggressive climax, the lowest point in the relations between Jesus and </w:t>
      </w:r>
      <w:r w:rsidR="00925790">
        <w:rPr>
          <w:i/>
          <w:iCs/>
        </w:rPr>
        <w:t>the Jews</w:t>
      </w:r>
      <w:r>
        <w:t xml:space="preserve">. </w:t>
      </w:r>
      <w:r w:rsidR="006E59D4">
        <w:t xml:space="preserve">I will </w:t>
      </w:r>
      <w:r w:rsidR="00A0694C">
        <w:t xml:space="preserve">therefore </w:t>
      </w:r>
      <w:r w:rsidR="006E59D4">
        <w:t xml:space="preserve">briefly explore the Johannine </w:t>
      </w:r>
      <w:r w:rsidR="00782AD0">
        <w:t>trial</w:t>
      </w:r>
      <w:r w:rsidR="006E59D4">
        <w:t xml:space="preserve">, highlighting </w:t>
      </w:r>
      <w:r w:rsidR="006A2B37">
        <w:t xml:space="preserve">several of the specific </w:t>
      </w:r>
      <w:r w:rsidR="006E59D4">
        <w:t>moments that have been i</w:t>
      </w:r>
      <w:r w:rsidR="00B7219E">
        <w:t>nterpreted</w:t>
      </w:r>
      <w:r w:rsidR="006E59D4">
        <w:t xml:space="preserve"> as </w:t>
      </w:r>
      <w:r w:rsidR="00832248">
        <w:t xml:space="preserve">propagating anti-Jewish attitudes. </w:t>
      </w:r>
    </w:p>
    <w:p w14:paraId="45C5CFB3" w14:textId="5AB84DF5" w:rsidR="002C61F5" w:rsidRDefault="00BA3543" w:rsidP="00180A09">
      <w:pPr>
        <w:jc w:val="both"/>
        <w:rPr>
          <w:bCs/>
        </w:rPr>
      </w:pPr>
      <w:r>
        <w:rPr>
          <w:bCs/>
        </w:rPr>
        <w:t xml:space="preserve">Raymond E. Brown observes that unlike the Synoptic Gospels, Jesus’ experience in the Sanhedrin court is given very </w:t>
      </w:r>
      <w:r w:rsidR="00FA21E2">
        <w:rPr>
          <w:bCs/>
        </w:rPr>
        <w:t>little</w:t>
      </w:r>
      <w:r>
        <w:rPr>
          <w:bCs/>
        </w:rPr>
        <w:t xml:space="preserve"> time or detail,</w:t>
      </w:r>
      <w:r w:rsidR="00B42BAD">
        <w:rPr>
          <w:bCs/>
        </w:rPr>
        <w:t xml:space="preserve"> in fact, it is not even described in such official terms- Jesus’ interaction with the High Priest Annas is brief</w:t>
      </w:r>
      <w:r w:rsidR="00182BC8">
        <w:rPr>
          <w:bCs/>
        </w:rPr>
        <w:t xml:space="preserve"> (18:19-24)</w:t>
      </w:r>
      <w:r w:rsidR="00B42BAD">
        <w:rPr>
          <w:bCs/>
        </w:rPr>
        <w:t xml:space="preserve">, while his interaction with High Priest Caiaphas </w:t>
      </w:r>
      <w:r w:rsidR="008B21BF">
        <w:rPr>
          <w:bCs/>
        </w:rPr>
        <w:t xml:space="preserve">is </w:t>
      </w:r>
      <w:r w:rsidR="00B42BAD">
        <w:rPr>
          <w:bCs/>
        </w:rPr>
        <w:t>not exp</w:t>
      </w:r>
      <w:r w:rsidR="00405FA9">
        <w:rPr>
          <w:bCs/>
        </w:rPr>
        <w:t>ounded</w:t>
      </w:r>
      <w:r w:rsidR="00B42BAD">
        <w:rPr>
          <w:bCs/>
        </w:rPr>
        <w:t xml:space="preserve"> at all.</w:t>
      </w:r>
      <w:r w:rsidR="008B21BF">
        <w:rPr>
          <w:bCs/>
        </w:rPr>
        <w:t xml:space="preserve"> It appears</w:t>
      </w:r>
      <w:r w:rsidR="00B42BAD">
        <w:rPr>
          <w:bCs/>
        </w:rPr>
        <w:t xml:space="preserve"> </w:t>
      </w:r>
      <w:r w:rsidR="008B21BF">
        <w:rPr>
          <w:bCs/>
        </w:rPr>
        <w:t xml:space="preserve">as though </w:t>
      </w:r>
      <w:r w:rsidR="00B42BAD">
        <w:rPr>
          <w:bCs/>
        </w:rPr>
        <w:t xml:space="preserve">Jesus’ dealings with the Jewish authorities are merely used </w:t>
      </w:r>
      <w:r>
        <w:rPr>
          <w:bCs/>
        </w:rPr>
        <w:t xml:space="preserve">as a </w:t>
      </w:r>
      <w:r w:rsidR="008B21BF">
        <w:rPr>
          <w:bCs/>
        </w:rPr>
        <w:t>stopgap</w:t>
      </w:r>
      <w:r>
        <w:rPr>
          <w:bCs/>
        </w:rPr>
        <w:t xml:space="preserve"> between his arrest and his meeting with Pilate</w:t>
      </w:r>
      <w:r w:rsidR="008B21BF">
        <w:rPr>
          <w:bCs/>
        </w:rPr>
        <w:t>. A meeting</w:t>
      </w:r>
      <w:r>
        <w:rPr>
          <w:bCs/>
        </w:rPr>
        <w:t xml:space="preserve"> which is</w:t>
      </w:r>
      <w:r w:rsidR="00B42BAD">
        <w:rPr>
          <w:bCs/>
        </w:rPr>
        <w:t xml:space="preserve">, in contrast, presented </w:t>
      </w:r>
      <w:r>
        <w:rPr>
          <w:bCs/>
        </w:rPr>
        <w:t xml:space="preserve">carefully and thoroughly. </w:t>
      </w:r>
      <w:r w:rsidR="00FA21E2">
        <w:rPr>
          <w:bCs/>
        </w:rPr>
        <w:t xml:space="preserve">While on the surface, </w:t>
      </w:r>
      <w:r w:rsidR="008B21BF">
        <w:rPr>
          <w:bCs/>
        </w:rPr>
        <w:t>it</w:t>
      </w:r>
      <w:r w:rsidR="00FA21E2">
        <w:rPr>
          <w:bCs/>
        </w:rPr>
        <w:t xml:space="preserve"> may seem as though the author is removing the responsibility of Jesus’ death from the Jewish authorities and placing it firmly at Pilate’s door, I would </w:t>
      </w:r>
      <w:r w:rsidR="00545301">
        <w:rPr>
          <w:bCs/>
        </w:rPr>
        <w:t>suggest</w:t>
      </w:r>
      <w:r w:rsidR="00FA21E2">
        <w:rPr>
          <w:bCs/>
        </w:rPr>
        <w:t xml:space="preserve"> that the following observations </w:t>
      </w:r>
      <w:r w:rsidR="00545301">
        <w:rPr>
          <w:bCs/>
        </w:rPr>
        <w:t>make it clear that this was</w:t>
      </w:r>
      <w:r w:rsidR="00405FA9">
        <w:rPr>
          <w:bCs/>
        </w:rPr>
        <w:t xml:space="preserve"> not</w:t>
      </w:r>
      <w:r w:rsidR="00545301">
        <w:rPr>
          <w:bCs/>
        </w:rPr>
        <w:t xml:space="preserve"> the authors intent. Brown notes the intentionality of the setting and structure</w:t>
      </w:r>
      <w:r w:rsidR="00405FA9">
        <w:rPr>
          <w:bCs/>
        </w:rPr>
        <w:t xml:space="preserve"> of the scene</w:t>
      </w:r>
      <w:r w:rsidR="00545301">
        <w:rPr>
          <w:bCs/>
        </w:rPr>
        <w:t>, as Pilate</w:t>
      </w:r>
      <w:r w:rsidR="00182BC8">
        <w:rPr>
          <w:bCs/>
        </w:rPr>
        <w:t>’s physical movements reflect his inner-turmoil and conflicting conscience- “by having Pilate shuffle between the Jews outside and Jesus inside, John puts the indecisive on trial for failing to listen to the truth”.</w:t>
      </w:r>
      <w:r w:rsidR="00182BC8">
        <w:rPr>
          <w:rStyle w:val="FootnoteReference"/>
          <w:bCs/>
        </w:rPr>
        <w:footnoteReference w:id="17"/>
      </w:r>
      <w:r w:rsidR="00182BC8">
        <w:rPr>
          <w:bCs/>
        </w:rPr>
        <w:t xml:space="preserve"> </w:t>
      </w:r>
      <w:r w:rsidR="00405FA9">
        <w:rPr>
          <w:bCs/>
        </w:rPr>
        <w:t>T</w:t>
      </w:r>
      <w:r w:rsidR="00182BC8">
        <w:rPr>
          <w:bCs/>
        </w:rPr>
        <w:t xml:space="preserve">he author is using </w:t>
      </w:r>
      <w:r w:rsidR="00F610D7">
        <w:rPr>
          <w:bCs/>
        </w:rPr>
        <w:t>the</w:t>
      </w:r>
      <w:r w:rsidR="00182BC8">
        <w:rPr>
          <w:bCs/>
        </w:rPr>
        <w:t xml:space="preserve"> physical se</w:t>
      </w:r>
      <w:r w:rsidR="00BF1583">
        <w:rPr>
          <w:bCs/>
        </w:rPr>
        <w:t>gregation</w:t>
      </w:r>
      <w:r w:rsidR="00182BC8">
        <w:rPr>
          <w:bCs/>
        </w:rPr>
        <w:t xml:space="preserve"> of Jesus from </w:t>
      </w:r>
      <w:r w:rsidR="00182BC8">
        <w:rPr>
          <w:bCs/>
          <w:i/>
          <w:iCs/>
        </w:rPr>
        <w:t>the Jews</w:t>
      </w:r>
      <w:r w:rsidR="00F610D7">
        <w:rPr>
          <w:bCs/>
          <w:i/>
          <w:iCs/>
        </w:rPr>
        <w:t xml:space="preserve"> </w:t>
      </w:r>
      <w:r w:rsidR="00F610D7">
        <w:rPr>
          <w:bCs/>
          <w:iCs/>
        </w:rPr>
        <w:t>(who remain outside, so as not to spiritually defile themselves)</w:t>
      </w:r>
      <w:r w:rsidR="00182BC8">
        <w:rPr>
          <w:bCs/>
        </w:rPr>
        <w:t xml:space="preserve"> to once again emphasise the spiritual chasm between them</w:t>
      </w:r>
      <w:r w:rsidR="00F610D7">
        <w:rPr>
          <w:bCs/>
        </w:rPr>
        <w:t xml:space="preserve"> (18:28- 19:16)</w:t>
      </w:r>
      <w:r w:rsidR="00BF1583">
        <w:rPr>
          <w:bCs/>
        </w:rPr>
        <w:t xml:space="preserve">- </w:t>
      </w:r>
      <w:r w:rsidR="00405FA9">
        <w:rPr>
          <w:bCs/>
        </w:rPr>
        <w:t xml:space="preserve">As has already been explored, </w:t>
      </w:r>
      <w:r w:rsidR="00BF1583">
        <w:rPr>
          <w:bCs/>
        </w:rPr>
        <w:t>this is</w:t>
      </w:r>
      <w:r w:rsidR="00D24137">
        <w:rPr>
          <w:bCs/>
        </w:rPr>
        <w:t xml:space="preserve"> </w:t>
      </w:r>
      <w:r w:rsidR="00BF1583">
        <w:rPr>
          <w:bCs/>
        </w:rPr>
        <w:t>typical of the Johannine</w:t>
      </w:r>
      <w:r w:rsidR="00182BC8">
        <w:rPr>
          <w:bCs/>
        </w:rPr>
        <w:t xml:space="preserve"> </w:t>
      </w:r>
      <w:r w:rsidR="00BF1583">
        <w:rPr>
          <w:bCs/>
        </w:rPr>
        <w:t>‘rhetoric of binary opposition’.</w:t>
      </w:r>
      <w:r w:rsidR="00BF1583">
        <w:rPr>
          <w:rStyle w:val="FootnoteReference"/>
          <w:bCs/>
        </w:rPr>
        <w:footnoteReference w:id="18"/>
      </w:r>
      <w:r w:rsidR="00FA604E">
        <w:rPr>
          <w:bCs/>
        </w:rPr>
        <w:t xml:space="preserve"> </w:t>
      </w:r>
      <w:r w:rsidR="00A60B04">
        <w:rPr>
          <w:bCs/>
        </w:rPr>
        <w:t>The author further distinguishes Pilate from the Jewish community, as Pilate verbally distances himself f</w:t>
      </w:r>
      <w:r w:rsidR="00405FA9">
        <w:rPr>
          <w:bCs/>
        </w:rPr>
        <w:t>ro</w:t>
      </w:r>
      <w:r w:rsidR="00A60B04">
        <w:rPr>
          <w:bCs/>
        </w:rPr>
        <w:t xml:space="preserve">m </w:t>
      </w:r>
      <w:r w:rsidR="00A60B04">
        <w:rPr>
          <w:bCs/>
          <w:i/>
          <w:iCs/>
        </w:rPr>
        <w:t>the Jews</w:t>
      </w:r>
      <w:r w:rsidR="00A60B04">
        <w:rPr>
          <w:bCs/>
        </w:rPr>
        <w:t>- “I am not a Jew, am I? you</w:t>
      </w:r>
      <w:r w:rsidR="002C499D">
        <w:rPr>
          <w:bCs/>
        </w:rPr>
        <w:t>r</w:t>
      </w:r>
      <w:r w:rsidR="00A60B04">
        <w:rPr>
          <w:bCs/>
        </w:rPr>
        <w:t xml:space="preserve"> own nation and the chief priests have handed you over to me. What have you done?” (18:35)</w:t>
      </w:r>
      <w:r w:rsidR="00430275">
        <w:rPr>
          <w:bCs/>
        </w:rPr>
        <w:t xml:space="preserve">, his </w:t>
      </w:r>
      <w:r w:rsidR="002C499D">
        <w:rPr>
          <w:bCs/>
        </w:rPr>
        <w:t xml:space="preserve">apparent </w:t>
      </w:r>
      <w:r w:rsidR="00430275">
        <w:rPr>
          <w:bCs/>
        </w:rPr>
        <w:t xml:space="preserve">ignorance towards Jesus’ </w:t>
      </w:r>
      <w:r w:rsidR="002C499D">
        <w:rPr>
          <w:bCs/>
        </w:rPr>
        <w:t xml:space="preserve">alleged </w:t>
      </w:r>
      <w:r w:rsidR="00430275">
        <w:rPr>
          <w:bCs/>
        </w:rPr>
        <w:t xml:space="preserve">crimes is the perfect stage upon which </w:t>
      </w:r>
      <w:r w:rsidR="00430275" w:rsidRPr="00430275">
        <w:rPr>
          <w:bCs/>
          <w:i/>
          <w:iCs/>
        </w:rPr>
        <w:t>the Jews</w:t>
      </w:r>
      <w:r w:rsidR="00430275">
        <w:rPr>
          <w:bCs/>
        </w:rPr>
        <w:t xml:space="preserve"> are able to bring their own accusations forward. </w:t>
      </w:r>
    </w:p>
    <w:p w14:paraId="0E944C14" w14:textId="79FDB895" w:rsidR="00430275" w:rsidRDefault="005B562E" w:rsidP="00180A09">
      <w:pPr>
        <w:jc w:val="both"/>
        <w:rPr>
          <w:bCs/>
        </w:rPr>
      </w:pPr>
      <w:r>
        <w:rPr>
          <w:bCs/>
        </w:rPr>
        <w:t>Four times Pilate informs the Jewish crowd (and subsequently, the readers of the text) that he can find no cause for which Jesus deserve</w:t>
      </w:r>
      <w:r w:rsidR="002C499D">
        <w:rPr>
          <w:bCs/>
        </w:rPr>
        <w:t>s</w:t>
      </w:r>
      <w:r>
        <w:rPr>
          <w:bCs/>
        </w:rPr>
        <w:t xml:space="preserve"> to be killed (</w:t>
      </w:r>
      <w:r w:rsidR="002C499D">
        <w:rPr>
          <w:bCs/>
        </w:rPr>
        <w:t>18:38; 19: 4, 6, 16)</w:t>
      </w:r>
      <w:r w:rsidR="00703E8F">
        <w:rPr>
          <w:bCs/>
        </w:rPr>
        <w:t xml:space="preserve">, all of which are met with </w:t>
      </w:r>
      <w:r w:rsidR="006D325E">
        <w:rPr>
          <w:bCs/>
        </w:rPr>
        <w:lastRenderedPageBreak/>
        <w:t xml:space="preserve">aggressive </w:t>
      </w:r>
      <w:r w:rsidR="00703E8F">
        <w:rPr>
          <w:bCs/>
        </w:rPr>
        <w:t>calls for Jesus to be crucified</w:t>
      </w:r>
      <w:r w:rsidR="00AD04FB">
        <w:rPr>
          <w:bCs/>
        </w:rPr>
        <w:t xml:space="preserve"> regardless</w:t>
      </w:r>
      <w:r w:rsidR="00703E8F">
        <w:rPr>
          <w:bCs/>
        </w:rPr>
        <w:t xml:space="preserve"> (19:6, 12, 15)</w:t>
      </w:r>
      <w:r w:rsidR="00AD04FB">
        <w:rPr>
          <w:bCs/>
        </w:rPr>
        <w:t>. T</w:t>
      </w:r>
      <w:r w:rsidR="00703E8F">
        <w:rPr>
          <w:bCs/>
        </w:rPr>
        <w:t>he crowd even resorting to a form of blackmail, taunting Pilate with accusations of treason against Caesar (19:12)</w:t>
      </w:r>
      <w:r w:rsidR="00AD04FB">
        <w:rPr>
          <w:bCs/>
        </w:rPr>
        <w:t xml:space="preserve"> until</w:t>
      </w:r>
      <w:r w:rsidR="00703E8F">
        <w:rPr>
          <w:bCs/>
        </w:rPr>
        <w:t xml:space="preserve"> eventually Pilate relents and permits to crowd to “take him yourselves and crucify him” (19:6). </w:t>
      </w:r>
      <w:r w:rsidR="00123893">
        <w:rPr>
          <w:bCs/>
        </w:rPr>
        <w:t xml:space="preserve">C.K Barrett </w:t>
      </w:r>
      <w:r w:rsidR="003E5BF4">
        <w:rPr>
          <w:bCs/>
        </w:rPr>
        <w:t>states that “Pilate’s action places all the responsibility on the Jews”</w:t>
      </w:r>
      <w:r w:rsidR="003E5BF4">
        <w:rPr>
          <w:rStyle w:val="FootnoteReference"/>
          <w:bCs/>
        </w:rPr>
        <w:footnoteReference w:id="19"/>
      </w:r>
      <w:r w:rsidR="00060C15">
        <w:rPr>
          <w:bCs/>
        </w:rPr>
        <w:t xml:space="preserve"> further noting that “Pilate is represented as not unfriendly to Jesus: he does not wish to put him to death, and he sees that he is the victim of a Jewish plot”</w:t>
      </w:r>
      <w:r w:rsidR="005A0319">
        <w:rPr>
          <w:bCs/>
        </w:rPr>
        <w:t>.</w:t>
      </w:r>
      <w:r w:rsidR="00060C15">
        <w:rPr>
          <w:rStyle w:val="FootnoteReference"/>
          <w:bCs/>
        </w:rPr>
        <w:footnoteReference w:id="20"/>
      </w:r>
      <w:r w:rsidR="005A0319">
        <w:rPr>
          <w:bCs/>
        </w:rPr>
        <w:t xml:space="preserve"> Interestingly, John ensures that the reader of </w:t>
      </w:r>
      <w:r w:rsidR="00AD04FB">
        <w:rPr>
          <w:bCs/>
        </w:rPr>
        <w:t>his</w:t>
      </w:r>
      <w:r w:rsidR="005A0319">
        <w:rPr>
          <w:bCs/>
        </w:rPr>
        <w:t xml:space="preserve"> text is aware of the time that Jesus is ‘handed over’ by Pilate to be crucified as a victim of </w:t>
      </w:r>
      <w:r w:rsidR="00AD04FB">
        <w:rPr>
          <w:bCs/>
        </w:rPr>
        <w:t>this</w:t>
      </w:r>
      <w:r w:rsidR="005A0319">
        <w:rPr>
          <w:bCs/>
        </w:rPr>
        <w:t xml:space="preserve"> ‘Jewish plot’- it is at noon, on the day of Passover preparation (19:14). This is the exact time that priests in the Temple would have begun to slaughter the Passover lambs; I would suggest that such a detail is unlikely to be a coincidence. </w:t>
      </w:r>
      <w:r w:rsidR="005B3437">
        <w:rPr>
          <w:bCs/>
        </w:rPr>
        <w:t>I agree with Brown when he suggests that “openly now, the real issue is religious, not political”</w:t>
      </w:r>
      <w:r w:rsidR="004E550C">
        <w:rPr>
          <w:bCs/>
        </w:rPr>
        <w:t>.</w:t>
      </w:r>
      <w:r w:rsidR="005B3437">
        <w:rPr>
          <w:rStyle w:val="FootnoteReference"/>
          <w:bCs/>
        </w:rPr>
        <w:footnoteReference w:id="21"/>
      </w:r>
      <w:r w:rsidR="004E550C">
        <w:rPr>
          <w:bCs/>
        </w:rPr>
        <w:t xml:space="preserve"> </w:t>
      </w:r>
      <w:r w:rsidR="00EB795E">
        <w:rPr>
          <w:bCs/>
        </w:rPr>
        <w:t>Of course, this is made all the more clear when one remembers that the Jewish authorities had neither the power nor the resources to condemn a person to death, it was almost certainly Roman soldiers who crucified Jesus- therefore, the ‘handing over’ of Jesus could not have been a physical act</w:t>
      </w:r>
      <w:r w:rsidR="00176A46">
        <w:rPr>
          <w:bCs/>
        </w:rPr>
        <w:t xml:space="preserve">. Therefore, Pilate’s words could be interpreted as </w:t>
      </w:r>
      <w:r w:rsidR="00EB795E">
        <w:rPr>
          <w:bCs/>
        </w:rPr>
        <w:t xml:space="preserve">taunt form the lips of </w:t>
      </w:r>
      <w:r w:rsidR="009832CC">
        <w:rPr>
          <w:bCs/>
        </w:rPr>
        <w:t xml:space="preserve">both </w:t>
      </w:r>
      <w:r w:rsidR="00EB795E">
        <w:rPr>
          <w:bCs/>
        </w:rPr>
        <w:t>Pilate and the author- a means by which he is able to “fasten responsibility for the death of Jesus on the Jews rather than the Romans”.</w:t>
      </w:r>
      <w:r w:rsidR="009B51A7">
        <w:rPr>
          <w:rStyle w:val="FootnoteReference"/>
          <w:bCs/>
        </w:rPr>
        <w:footnoteReference w:id="22"/>
      </w:r>
      <w:r w:rsidR="00EB795E">
        <w:rPr>
          <w:bCs/>
        </w:rPr>
        <w:t xml:space="preserve"> </w:t>
      </w:r>
    </w:p>
    <w:p w14:paraId="4119B784" w14:textId="740DCE1A" w:rsidR="009B51A7" w:rsidRPr="00730B75" w:rsidRDefault="00FB06C7" w:rsidP="00180A09">
      <w:pPr>
        <w:jc w:val="both"/>
        <w:rPr>
          <w:bCs/>
        </w:rPr>
      </w:pPr>
      <w:r>
        <w:rPr>
          <w:bCs/>
        </w:rPr>
        <w:t>It is literary</w:t>
      </w:r>
      <w:r w:rsidR="00982742">
        <w:rPr>
          <w:bCs/>
        </w:rPr>
        <w:t xml:space="preserve"> and theological</w:t>
      </w:r>
      <w:r>
        <w:rPr>
          <w:bCs/>
        </w:rPr>
        <w:t xml:space="preserve"> details such as these that have led Rosemary </w:t>
      </w:r>
      <w:proofErr w:type="spellStart"/>
      <w:r>
        <w:rPr>
          <w:bCs/>
        </w:rPr>
        <w:t>Ruether</w:t>
      </w:r>
      <w:proofErr w:type="spellEnd"/>
      <w:r>
        <w:rPr>
          <w:bCs/>
        </w:rPr>
        <w:t xml:space="preserve"> to conclude that “</w:t>
      </w:r>
      <w:r w:rsidR="000563DC">
        <w:rPr>
          <w:bCs/>
        </w:rPr>
        <w:t>John goes the farthest of all of the Gospels in deeply depicting Jesus as actually being crucified by the Jews”</w:t>
      </w:r>
      <w:r w:rsidR="00982742">
        <w:rPr>
          <w:bCs/>
        </w:rPr>
        <w:t>.</w:t>
      </w:r>
      <w:r w:rsidR="000563DC">
        <w:rPr>
          <w:rStyle w:val="FootnoteReference"/>
          <w:bCs/>
        </w:rPr>
        <w:footnoteReference w:id="23"/>
      </w:r>
      <w:r w:rsidR="00982742">
        <w:rPr>
          <w:bCs/>
        </w:rPr>
        <w:t xml:space="preserve"> As Jesus is presented as being not only with God, but being God incarnate from the very first line of the Gospel</w:t>
      </w:r>
      <w:r w:rsidR="00AA4BEA">
        <w:rPr>
          <w:bCs/>
        </w:rPr>
        <w:t>’s prologue</w:t>
      </w:r>
      <w:r w:rsidR="00982742">
        <w:rPr>
          <w:bCs/>
        </w:rPr>
        <w:t xml:space="preserve"> (1:1), it therefore seems </w:t>
      </w:r>
      <w:r w:rsidR="00730B75">
        <w:rPr>
          <w:bCs/>
        </w:rPr>
        <w:t xml:space="preserve">feasible to come to the conclusion that John is accusing </w:t>
      </w:r>
      <w:r w:rsidR="00730B75">
        <w:rPr>
          <w:bCs/>
          <w:i/>
          <w:iCs/>
        </w:rPr>
        <w:t xml:space="preserve">the Jews </w:t>
      </w:r>
      <w:r w:rsidR="00730B75">
        <w:rPr>
          <w:bCs/>
        </w:rPr>
        <w:t xml:space="preserve">of deicide. Ruth B. Edwards </w:t>
      </w:r>
      <w:r w:rsidR="00282F7B">
        <w:rPr>
          <w:bCs/>
        </w:rPr>
        <w:t>argues</w:t>
      </w:r>
      <w:r w:rsidR="00730B75">
        <w:rPr>
          <w:bCs/>
        </w:rPr>
        <w:t xml:space="preserve"> </w:t>
      </w:r>
      <w:r w:rsidR="00282F7B">
        <w:rPr>
          <w:bCs/>
        </w:rPr>
        <w:t>against such a conclusion</w:t>
      </w:r>
      <w:r w:rsidR="00730B75">
        <w:rPr>
          <w:bCs/>
        </w:rPr>
        <w:t xml:space="preserve">- </w:t>
      </w:r>
      <w:r w:rsidR="00CD0916">
        <w:rPr>
          <w:bCs/>
        </w:rPr>
        <w:t>claiming that nowhere does John attribute the crime of deicide to the Jewish people present at the death of Jesus, nor to their descendants.</w:t>
      </w:r>
      <w:r w:rsidR="00CD0916">
        <w:rPr>
          <w:rStyle w:val="FootnoteReference"/>
          <w:bCs/>
        </w:rPr>
        <w:footnoteReference w:id="24"/>
      </w:r>
      <w:r w:rsidR="00CD0916">
        <w:rPr>
          <w:bCs/>
        </w:rPr>
        <w:t xml:space="preserve"> </w:t>
      </w:r>
      <w:r w:rsidR="00AA4BEA" w:rsidRPr="00AA4BEA">
        <w:rPr>
          <w:bCs/>
        </w:rPr>
        <w:t xml:space="preserve">To assume as much would be </w:t>
      </w:r>
      <w:r w:rsidR="008425B5">
        <w:rPr>
          <w:bCs/>
        </w:rPr>
        <w:t xml:space="preserve">placing meaning into the narrative </w:t>
      </w:r>
      <w:r w:rsidR="00AA4BEA" w:rsidRPr="00AA4BEA">
        <w:rPr>
          <w:bCs/>
        </w:rPr>
        <w:t xml:space="preserve">that is not there, it would be </w:t>
      </w:r>
      <w:r w:rsidR="008425B5" w:rsidRPr="00AA4BEA">
        <w:rPr>
          <w:bCs/>
        </w:rPr>
        <w:t>eisege</w:t>
      </w:r>
      <w:r w:rsidR="008425B5">
        <w:rPr>
          <w:bCs/>
        </w:rPr>
        <w:t xml:space="preserve">sis. </w:t>
      </w:r>
      <w:r w:rsidR="00CD0916">
        <w:rPr>
          <w:bCs/>
        </w:rPr>
        <w:t>She further argues that the use</w:t>
      </w:r>
      <w:r w:rsidR="00DA00AD">
        <w:rPr>
          <w:bCs/>
        </w:rPr>
        <w:t>s</w:t>
      </w:r>
      <w:r w:rsidR="00CD0916">
        <w:rPr>
          <w:bCs/>
        </w:rPr>
        <w:t xml:space="preserve"> of </w:t>
      </w:r>
      <w:r w:rsidR="00CD0916" w:rsidRPr="00CD0916">
        <w:rPr>
          <w:bCs/>
          <w:i/>
          <w:iCs/>
        </w:rPr>
        <w:t xml:space="preserve">hoi </w:t>
      </w:r>
      <w:proofErr w:type="spellStart"/>
      <w:r w:rsidR="00CD0916" w:rsidRPr="00CD0916">
        <w:rPr>
          <w:bCs/>
          <w:i/>
          <w:iCs/>
        </w:rPr>
        <w:t>ioudaioi</w:t>
      </w:r>
      <w:proofErr w:type="spellEnd"/>
      <w:r w:rsidR="00CD0916">
        <w:rPr>
          <w:bCs/>
        </w:rPr>
        <w:t xml:space="preserve"> within the trial and passion narrative</w:t>
      </w:r>
      <w:r w:rsidR="00C80101">
        <w:rPr>
          <w:bCs/>
        </w:rPr>
        <w:t>s</w:t>
      </w:r>
      <w:r w:rsidR="00CD0916">
        <w:rPr>
          <w:bCs/>
        </w:rPr>
        <w:t xml:space="preserve"> </w:t>
      </w:r>
      <w:r w:rsidR="00DA00AD">
        <w:rPr>
          <w:bCs/>
        </w:rPr>
        <w:t xml:space="preserve">are </w:t>
      </w:r>
      <w:r w:rsidR="00CD0916">
        <w:rPr>
          <w:bCs/>
        </w:rPr>
        <w:t xml:space="preserve">simply too ambiguous to act as evidence that the Johannine author </w:t>
      </w:r>
      <w:r w:rsidR="00282F7B">
        <w:rPr>
          <w:bCs/>
        </w:rPr>
        <w:t xml:space="preserve">is weaving </w:t>
      </w:r>
      <w:r w:rsidR="00CD0916">
        <w:rPr>
          <w:bCs/>
        </w:rPr>
        <w:t>anti-Jewish polemic</w:t>
      </w:r>
      <w:r w:rsidR="00282F7B">
        <w:rPr>
          <w:bCs/>
        </w:rPr>
        <w:t xml:space="preserve"> into his account (</w:t>
      </w:r>
      <w:r w:rsidR="003D7219">
        <w:rPr>
          <w:bCs/>
        </w:rPr>
        <w:t>highlighting once gain the centrality of this problematic phrase</w:t>
      </w:r>
      <w:r w:rsidR="00282F7B">
        <w:rPr>
          <w:bCs/>
        </w:rPr>
        <w:t>)</w:t>
      </w:r>
      <w:r w:rsidR="00B24DAD">
        <w:rPr>
          <w:bCs/>
        </w:rPr>
        <w:t>, such an argument could have been derived from the work of D.</w:t>
      </w:r>
      <w:r w:rsidR="002A0D6E">
        <w:rPr>
          <w:bCs/>
        </w:rPr>
        <w:t xml:space="preserve"> Moody Sm</w:t>
      </w:r>
      <w:r w:rsidR="00C00F98">
        <w:rPr>
          <w:bCs/>
        </w:rPr>
        <w:t>i</w:t>
      </w:r>
      <w:r w:rsidR="002A0D6E">
        <w:rPr>
          <w:bCs/>
        </w:rPr>
        <w:t>th who is insistent that “the</w:t>
      </w:r>
      <w:r w:rsidR="00490409">
        <w:rPr>
          <w:bCs/>
        </w:rPr>
        <w:t>y</w:t>
      </w:r>
      <w:r w:rsidR="002A0D6E">
        <w:rPr>
          <w:bCs/>
        </w:rPr>
        <w:t xml:space="preserve"> are cl</w:t>
      </w:r>
      <w:r w:rsidR="00490409">
        <w:rPr>
          <w:bCs/>
        </w:rPr>
        <w:t>early</w:t>
      </w:r>
      <w:r w:rsidR="002A0D6E">
        <w:rPr>
          <w:bCs/>
        </w:rPr>
        <w:t xml:space="preserve"> not all Jewish people”</w:t>
      </w:r>
      <w:r w:rsidR="003D7219">
        <w:rPr>
          <w:bCs/>
        </w:rPr>
        <w:t>.</w:t>
      </w:r>
      <w:r w:rsidR="002A0D6E">
        <w:rPr>
          <w:rStyle w:val="FootnoteReference"/>
          <w:bCs/>
        </w:rPr>
        <w:footnoteReference w:id="25"/>
      </w:r>
      <w:r w:rsidR="003D7219">
        <w:rPr>
          <w:bCs/>
        </w:rPr>
        <w:t xml:space="preserve"> Edwards therefore counters </w:t>
      </w:r>
      <w:proofErr w:type="spellStart"/>
      <w:r w:rsidR="00B86088">
        <w:rPr>
          <w:bCs/>
        </w:rPr>
        <w:t>R</w:t>
      </w:r>
      <w:r w:rsidR="00282F7B">
        <w:rPr>
          <w:bCs/>
        </w:rPr>
        <w:t>ue</w:t>
      </w:r>
      <w:r w:rsidR="00B86088">
        <w:rPr>
          <w:bCs/>
        </w:rPr>
        <w:t>ther’s</w:t>
      </w:r>
      <w:proofErr w:type="spellEnd"/>
      <w:r w:rsidR="003D7219">
        <w:rPr>
          <w:bCs/>
        </w:rPr>
        <w:t xml:space="preserve"> conclusion with her own, writing th</w:t>
      </w:r>
      <w:r w:rsidR="00972D03">
        <w:rPr>
          <w:bCs/>
        </w:rPr>
        <w:t>at “John’s account of the procedures leading to Jesus’ execution is in some ways less ‘anti-Jewish’ than Mark</w:t>
      </w:r>
      <w:r w:rsidR="00F123EF">
        <w:rPr>
          <w:bCs/>
        </w:rPr>
        <w:t>’</w:t>
      </w:r>
      <w:r w:rsidR="00972D03">
        <w:rPr>
          <w:bCs/>
        </w:rPr>
        <w:t>s and Matthew</w:t>
      </w:r>
      <w:r w:rsidR="00F123EF">
        <w:rPr>
          <w:bCs/>
        </w:rPr>
        <w:t>’</w:t>
      </w:r>
      <w:r w:rsidR="00972D03">
        <w:rPr>
          <w:bCs/>
        </w:rPr>
        <w:t>s”</w:t>
      </w:r>
      <w:r w:rsidR="00196573">
        <w:rPr>
          <w:bCs/>
        </w:rPr>
        <w:t>.</w:t>
      </w:r>
      <w:r w:rsidR="00196573">
        <w:rPr>
          <w:rStyle w:val="FootnoteReference"/>
          <w:bCs/>
        </w:rPr>
        <w:footnoteReference w:id="26"/>
      </w:r>
      <w:r w:rsidR="000A51C0">
        <w:rPr>
          <w:bCs/>
        </w:rPr>
        <w:t xml:space="preserve"> </w:t>
      </w:r>
      <w:proofErr w:type="spellStart"/>
      <w:r w:rsidR="004432C9">
        <w:rPr>
          <w:bCs/>
        </w:rPr>
        <w:t>Reinhartz</w:t>
      </w:r>
      <w:proofErr w:type="spellEnd"/>
      <w:r w:rsidR="004432C9">
        <w:rPr>
          <w:bCs/>
        </w:rPr>
        <w:t xml:space="preserve"> agrees with both </w:t>
      </w:r>
      <w:proofErr w:type="spellStart"/>
      <w:r w:rsidR="00F123EF">
        <w:rPr>
          <w:bCs/>
        </w:rPr>
        <w:t>Ruether</w:t>
      </w:r>
      <w:proofErr w:type="spellEnd"/>
      <w:r w:rsidR="00F123EF">
        <w:rPr>
          <w:bCs/>
        </w:rPr>
        <w:t xml:space="preserve"> and Edwards</w:t>
      </w:r>
      <w:r w:rsidR="004432C9">
        <w:rPr>
          <w:bCs/>
        </w:rPr>
        <w:t xml:space="preserve">, claiming that all three Gospels are equally responsible for </w:t>
      </w:r>
      <w:r w:rsidR="00F123EF">
        <w:rPr>
          <w:bCs/>
        </w:rPr>
        <w:t xml:space="preserve">placing </w:t>
      </w:r>
      <w:r w:rsidR="000A51C0">
        <w:rPr>
          <w:bCs/>
        </w:rPr>
        <w:t xml:space="preserve">the </w:t>
      </w:r>
      <w:r w:rsidR="004432C9">
        <w:rPr>
          <w:bCs/>
        </w:rPr>
        <w:t xml:space="preserve">accusation of </w:t>
      </w:r>
      <w:r w:rsidR="000A51C0">
        <w:rPr>
          <w:bCs/>
        </w:rPr>
        <w:t xml:space="preserve">deicide </w:t>
      </w:r>
      <w:r w:rsidR="00F123EF">
        <w:rPr>
          <w:bCs/>
        </w:rPr>
        <w:t>upon</w:t>
      </w:r>
      <w:r w:rsidR="004432C9">
        <w:rPr>
          <w:bCs/>
        </w:rPr>
        <w:t xml:space="preserve"> </w:t>
      </w:r>
      <w:r w:rsidR="0024156F">
        <w:rPr>
          <w:bCs/>
        </w:rPr>
        <w:t xml:space="preserve">both the </w:t>
      </w:r>
      <w:r w:rsidR="004432C9">
        <w:rPr>
          <w:bCs/>
        </w:rPr>
        <w:t>Jewish</w:t>
      </w:r>
      <w:r w:rsidR="0024156F">
        <w:rPr>
          <w:bCs/>
        </w:rPr>
        <w:t xml:space="preserve"> faith and people</w:t>
      </w:r>
      <w:r w:rsidR="004432C9">
        <w:rPr>
          <w:bCs/>
        </w:rPr>
        <w:t xml:space="preserve">, reminding us that the </w:t>
      </w:r>
      <w:r w:rsidR="000A51C0">
        <w:rPr>
          <w:bCs/>
        </w:rPr>
        <w:t>accusation is one that “reverberates through history to this very day”</w:t>
      </w:r>
      <w:r w:rsidR="004432C9">
        <w:rPr>
          <w:bCs/>
        </w:rPr>
        <w:t>.</w:t>
      </w:r>
      <w:r w:rsidR="000A51C0">
        <w:rPr>
          <w:rStyle w:val="FootnoteReference"/>
          <w:bCs/>
        </w:rPr>
        <w:footnoteReference w:id="27"/>
      </w:r>
    </w:p>
    <w:p w14:paraId="2AB62A8D" w14:textId="77777777" w:rsidR="002C61F5" w:rsidRDefault="002C61F5" w:rsidP="00180A09">
      <w:pPr>
        <w:jc w:val="both"/>
        <w:rPr>
          <w:b/>
          <w:bCs/>
        </w:rPr>
      </w:pPr>
    </w:p>
    <w:p w14:paraId="6CC6F7AE" w14:textId="144B8E39" w:rsidR="00F0016B" w:rsidRDefault="00F0016B" w:rsidP="00180A09">
      <w:pPr>
        <w:jc w:val="both"/>
        <w:rPr>
          <w:b/>
          <w:bCs/>
        </w:rPr>
      </w:pPr>
      <w:r>
        <w:rPr>
          <w:b/>
          <w:bCs/>
        </w:rPr>
        <w:t xml:space="preserve">Replacement Theology and </w:t>
      </w:r>
      <w:proofErr w:type="spellStart"/>
      <w:r>
        <w:rPr>
          <w:b/>
          <w:bCs/>
        </w:rPr>
        <w:t>Supersession</w:t>
      </w:r>
      <w:r w:rsidR="00641236">
        <w:rPr>
          <w:b/>
          <w:bCs/>
        </w:rPr>
        <w:t>ism</w:t>
      </w:r>
      <w:proofErr w:type="spellEnd"/>
      <w:r w:rsidR="0093676B">
        <w:rPr>
          <w:b/>
          <w:bCs/>
        </w:rPr>
        <w:t xml:space="preserve"> of Jewish Doctrine</w:t>
      </w:r>
    </w:p>
    <w:p w14:paraId="1C466998" w14:textId="5FA2C20E" w:rsidR="001776B6" w:rsidRDefault="00B24DAD" w:rsidP="00180A09">
      <w:pPr>
        <w:jc w:val="both"/>
      </w:pPr>
      <w:r>
        <w:t>I now draw attention to the third accusation placed against the Gospel of John, it is the accusation of replacement theology, supersession and a disregard fo</w:t>
      </w:r>
      <w:r w:rsidR="003032F9">
        <w:t>r many of the core Jewish doctrines</w:t>
      </w:r>
      <w:r>
        <w:t>.</w:t>
      </w:r>
      <w:r w:rsidR="0093676B">
        <w:t xml:space="preserve"> </w:t>
      </w:r>
      <w:r w:rsidR="003378DA">
        <w:t xml:space="preserve">One of the </w:t>
      </w:r>
      <w:r w:rsidR="003378DA">
        <w:lastRenderedPageBreak/>
        <w:t>areas in which this is most prominent i</w:t>
      </w:r>
      <w:r w:rsidR="001F780E">
        <w:t>s</w:t>
      </w:r>
      <w:r w:rsidR="00765B9F">
        <w:t xml:space="preserve"> in t</w:t>
      </w:r>
      <w:r w:rsidR="003378DA">
        <w:t xml:space="preserve">he tension between Jewish monotheism and the Christian belief in the incarnation, a belief which is heavily propagated within </w:t>
      </w:r>
      <w:r w:rsidR="008A3C37">
        <w:t>by the</w:t>
      </w:r>
      <w:r w:rsidR="003378DA">
        <w:t xml:space="preserve"> fourth Gospel. </w:t>
      </w:r>
      <w:r w:rsidR="004A3274">
        <w:t>Maurice Casey argues that John’s Gospel should be understood as inherently anti-Jewish purely because it breaches Jewish monotheism, and therefore undermines the whole of Jewish theology</w:t>
      </w:r>
      <w:r w:rsidR="003B2399">
        <w:t xml:space="preserve"> and the Hebrew scriptures upon which such theology is built</w:t>
      </w:r>
      <w:r w:rsidR="004A3274">
        <w:t>.</w:t>
      </w:r>
      <w:r w:rsidR="004A3274">
        <w:rPr>
          <w:rStyle w:val="FootnoteReference"/>
        </w:rPr>
        <w:footnoteReference w:id="28"/>
      </w:r>
      <w:r w:rsidR="004A3274">
        <w:t xml:space="preserve"> </w:t>
      </w:r>
      <w:r w:rsidR="000C31B3">
        <w:t>The divine nature of Jesus is of the utmost importance to the Johannine author, who spends less time introducing his audience to Jesus of Nazareth</w:t>
      </w:r>
      <w:r w:rsidR="00561193">
        <w:t xml:space="preserve"> than the Synoptic Gospels</w:t>
      </w:r>
      <w:r w:rsidR="000C31B3">
        <w:t xml:space="preserve">, but rather presents them with </w:t>
      </w:r>
      <w:r w:rsidR="00561193">
        <w:t xml:space="preserve">Jesus as </w:t>
      </w:r>
      <w:r w:rsidR="000C31B3">
        <w:t xml:space="preserve">the </w:t>
      </w:r>
      <w:r w:rsidR="00807AE1">
        <w:t>W</w:t>
      </w:r>
      <w:r w:rsidR="000C31B3">
        <w:t>ord</w:t>
      </w:r>
      <w:r w:rsidR="00807AE1">
        <w:t>/</w:t>
      </w:r>
      <w:r w:rsidR="00807AE1">
        <w:rPr>
          <w:i/>
          <w:iCs/>
        </w:rPr>
        <w:t>logos</w:t>
      </w:r>
      <w:r w:rsidR="000C31B3">
        <w:t xml:space="preserve"> incarnate (1:1), the </w:t>
      </w:r>
      <w:r w:rsidR="00561193">
        <w:t>S</w:t>
      </w:r>
      <w:r w:rsidR="000C31B3">
        <w:t xml:space="preserve">on of God (1:49-50; </w:t>
      </w:r>
      <w:r w:rsidR="00561193">
        <w:t xml:space="preserve">10:37; 11:4; 19:7), the long-awaited/promised Messiah (7:26) and </w:t>
      </w:r>
      <w:r w:rsidR="00807AE1">
        <w:t>as one o</w:t>
      </w:r>
      <w:r w:rsidR="00561193">
        <w:t>riginating from the Heavenly realms</w:t>
      </w:r>
      <w:r w:rsidR="00807AE1">
        <w:t xml:space="preserve"> (3:13; 6:38). </w:t>
      </w:r>
      <w:r w:rsidR="00657B8E">
        <w:t xml:space="preserve">Perhaps the most striking linking of the Johannine Jesus to YHWH is when Jesus himself states that “I and the Father are one” (10:30). It is statements and titles such as these that have caused many Jewish readers of the Gospel to feel as though their theology has been </w:t>
      </w:r>
      <w:r w:rsidR="00933751">
        <w:t xml:space="preserve">both </w:t>
      </w:r>
      <w:r w:rsidR="00657B8E">
        <w:t>manipulated</w:t>
      </w:r>
      <w:r w:rsidR="00933751">
        <w:t xml:space="preserve"> and </w:t>
      </w:r>
      <w:r w:rsidR="00657B8E">
        <w:t>undermined.</w:t>
      </w:r>
      <w:r w:rsidR="00641236">
        <w:t xml:space="preserve"> </w:t>
      </w:r>
      <w:proofErr w:type="spellStart"/>
      <w:r w:rsidR="00933751">
        <w:t>Ruether</w:t>
      </w:r>
      <w:proofErr w:type="spellEnd"/>
      <w:r w:rsidR="00933751">
        <w:t xml:space="preserve"> exemplifies such sentiments,</w:t>
      </w:r>
      <w:r w:rsidR="00D905FE">
        <w:t xml:space="preserve"> </w:t>
      </w:r>
      <w:r w:rsidR="001776B6">
        <w:t xml:space="preserve">labelling </w:t>
      </w:r>
      <w:r w:rsidR="00D905FE">
        <w:t xml:space="preserve">Christological doctrine as the root cause anti-Judaism. She writes </w:t>
      </w:r>
      <w:r w:rsidR="00933751">
        <w:t>that</w:t>
      </w:r>
      <w:r w:rsidR="005F06FD">
        <w:t>-</w:t>
      </w:r>
    </w:p>
    <w:p w14:paraId="593A8372" w14:textId="1C20BC72" w:rsidR="004432C9" w:rsidRPr="00B24DAD" w:rsidRDefault="00D905FE" w:rsidP="001776B6">
      <w:pPr>
        <w:jc w:val="center"/>
      </w:pPr>
      <w:r>
        <w:t>“</w:t>
      </w:r>
      <w:r w:rsidRPr="009A5E9A">
        <w:rPr>
          <w:i/>
          <w:iCs/>
        </w:rPr>
        <w:t xml:space="preserve">there is no way to rid Christianity </w:t>
      </w:r>
      <w:r w:rsidR="001776B6" w:rsidRPr="009A5E9A">
        <w:rPr>
          <w:i/>
          <w:iCs/>
        </w:rPr>
        <w:t>of its anti-Judaism, which constantly takes social expression in anti-Semitism, without grappling with its Christological hermeneutic itself.”</w:t>
      </w:r>
      <w:r w:rsidR="001776B6" w:rsidRPr="009A5E9A">
        <w:rPr>
          <w:rStyle w:val="FootnoteReference"/>
          <w:i/>
          <w:iCs/>
        </w:rPr>
        <w:footnoteReference w:id="29"/>
      </w:r>
    </w:p>
    <w:p w14:paraId="67BE9EC3" w14:textId="6AE1FF8E" w:rsidR="004432C9" w:rsidRPr="0072284D" w:rsidRDefault="00795727" w:rsidP="00180A09">
      <w:pPr>
        <w:jc w:val="both"/>
      </w:pPr>
      <w:r>
        <w:t>Temple imagery within the fourth Gospel has also come to be an example of replacement theology</w:t>
      </w:r>
      <w:r w:rsidR="001172E2">
        <w:t xml:space="preserve">. Mary L. </w:t>
      </w:r>
      <w:proofErr w:type="spellStart"/>
      <w:r w:rsidR="001172E2">
        <w:t>Coloe</w:t>
      </w:r>
      <w:proofErr w:type="spellEnd"/>
      <w:r w:rsidR="001172E2">
        <w:t xml:space="preserve"> comments that “the two functions of Israel’s Temple have now been subsumed by the Christian community. In the Christian community, God has a new dwelling place”</w:t>
      </w:r>
      <w:r w:rsidR="001172E2">
        <w:rPr>
          <w:rStyle w:val="FootnoteReference"/>
        </w:rPr>
        <w:footnoteReference w:id="30"/>
      </w:r>
      <w:r w:rsidR="001172E2">
        <w:t xml:space="preserve"> and in doing so, is reflecting a theme that runs through-out the entirety of the Fourth Gospel- that Jesus is the new Temple, God’s new earthly habitat, the place where </w:t>
      </w:r>
      <w:r w:rsidR="00345C8D">
        <w:t xml:space="preserve">divinity and humanity are able to interact. </w:t>
      </w:r>
      <w:r w:rsidR="00D10749">
        <w:t>Once again, it is Jesus’ own word</w:t>
      </w:r>
      <w:r w:rsidR="005A34E9">
        <w:t>s</w:t>
      </w:r>
      <w:r w:rsidR="002A39A9">
        <w:t xml:space="preserve"> that make the author’s theological intentions clear, Jesus challenges the Jewish authorities</w:t>
      </w:r>
      <w:r w:rsidR="005A34E9">
        <w:t>, he proclaims-</w:t>
      </w:r>
      <w:r w:rsidR="002A39A9">
        <w:t xml:space="preserve"> </w:t>
      </w:r>
      <w:r w:rsidR="002A39A9" w:rsidRPr="002A39A9">
        <w:t>“Destroy this temple, and in three days I will raise it up.”</w:t>
      </w:r>
      <w:r w:rsidR="002A39A9">
        <w:t xml:space="preserve"> (2:19), to which the Jewish authorities mock Jesus for his ignorance. </w:t>
      </w:r>
      <w:r w:rsidR="0072284D">
        <w:t xml:space="preserve">And yet, as far as John is concerned, that is exactly what </w:t>
      </w:r>
      <w:r w:rsidR="0072284D">
        <w:rPr>
          <w:i/>
          <w:iCs/>
        </w:rPr>
        <w:t xml:space="preserve">the Jews </w:t>
      </w:r>
      <w:r w:rsidR="0072284D">
        <w:t xml:space="preserve">were guilty of doing- killing Jesus meant that they were responsible </w:t>
      </w:r>
      <w:r w:rsidR="00F12D4E">
        <w:t xml:space="preserve">for </w:t>
      </w:r>
      <w:r w:rsidR="0072284D">
        <w:t>destroying the Temple</w:t>
      </w:r>
      <w:r w:rsidR="00F12D4E">
        <w:t xml:space="preserve">. </w:t>
      </w:r>
      <w:r w:rsidR="00D22192">
        <w:t>The apparent redundancy of the Temple and its superior replacement in Jesus</w:t>
      </w:r>
      <w:r w:rsidR="00A56F15">
        <w:t xml:space="preserve"> has been interpreted as John’s rejection of Jewish worship</w:t>
      </w:r>
      <w:r w:rsidR="00A56F15">
        <w:rPr>
          <w:rStyle w:val="FootnoteReference"/>
        </w:rPr>
        <w:footnoteReference w:id="31"/>
      </w:r>
      <w:r w:rsidR="004B5391">
        <w:t xml:space="preserve"> and has ‘readily lent itself to Christian ‘</w:t>
      </w:r>
      <w:proofErr w:type="spellStart"/>
      <w:r w:rsidR="004B5391">
        <w:t>supersessionism</w:t>
      </w:r>
      <w:proofErr w:type="spellEnd"/>
      <w:r w:rsidR="004B5391">
        <w:t>’.</w:t>
      </w:r>
      <w:r w:rsidR="004B5391">
        <w:rPr>
          <w:rStyle w:val="FootnoteReference"/>
        </w:rPr>
        <w:footnoteReference w:id="32"/>
      </w:r>
      <w:r w:rsidR="004B5391">
        <w:t xml:space="preserve"> </w:t>
      </w:r>
      <w:r w:rsidR="00BC4DF6">
        <w:t>However, as has been the case with many of the anti-Jewish accusations directed towards the f</w:t>
      </w:r>
      <w:r w:rsidR="00695FA8">
        <w:t>our</w:t>
      </w:r>
      <w:r w:rsidR="00BC4DF6">
        <w:t xml:space="preserve">th </w:t>
      </w:r>
      <w:r w:rsidR="00695FA8">
        <w:t>Gospel, Edwards disputes the</w:t>
      </w:r>
      <w:r w:rsidR="0023017D">
        <w:t xml:space="preserve"> afore mentioned</w:t>
      </w:r>
      <w:r w:rsidR="00695FA8">
        <w:t xml:space="preserve"> claims.</w:t>
      </w:r>
      <w:r w:rsidR="0023017D">
        <w:t xml:space="preserve"> </w:t>
      </w:r>
      <w:r w:rsidR="00F232D8">
        <w:t xml:space="preserve">Concerning </w:t>
      </w:r>
      <w:r w:rsidR="0023017D">
        <w:t>the</w:t>
      </w:r>
      <w:r w:rsidR="00F232D8">
        <w:t xml:space="preserve"> alleged</w:t>
      </w:r>
      <w:r w:rsidR="0023017D">
        <w:t xml:space="preserve"> disregard of monotheism (that </w:t>
      </w:r>
      <w:proofErr w:type="spellStart"/>
      <w:r w:rsidR="0023017D">
        <w:t>Ruether</w:t>
      </w:r>
      <w:proofErr w:type="spellEnd"/>
      <w:r w:rsidR="0023017D">
        <w:t xml:space="preserve"> claims to be at the heart of all anti-Judaism), Edwards argues that “John does not set out to breach this in his Christology, but to present Jesus in ways that are consistent with it”.</w:t>
      </w:r>
      <w:r w:rsidR="0023017D">
        <w:rPr>
          <w:rStyle w:val="FootnoteReference"/>
        </w:rPr>
        <w:footnoteReference w:id="33"/>
      </w:r>
      <w:r w:rsidR="0023017D">
        <w:t xml:space="preserve"> Similarly with the replacement of the Temple as an example of </w:t>
      </w:r>
      <w:r w:rsidR="00394FC7">
        <w:t xml:space="preserve">Christian </w:t>
      </w:r>
      <w:proofErr w:type="spellStart"/>
      <w:r w:rsidR="0023017D">
        <w:t>supersessionism</w:t>
      </w:r>
      <w:proofErr w:type="spellEnd"/>
      <w:r w:rsidR="00394FC7">
        <w:t>;</w:t>
      </w:r>
      <w:r w:rsidR="0023017D">
        <w:t xml:space="preserve"> Edwards writes that John’s theology is a not anti-Jewish, but rather a deeply sympathetic </w:t>
      </w:r>
      <w:r w:rsidR="00394FC7">
        <w:t xml:space="preserve">and hopeful </w:t>
      </w:r>
      <w:r w:rsidR="0023017D">
        <w:t xml:space="preserve">reaction to the destruction of the physical Temple in 70 CE.  </w:t>
      </w:r>
      <w:r w:rsidR="00695FA8">
        <w:t xml:space="preserve"> </w:t>
      </w:r>
      <w:r w:rsidR="00BC4DF6">
        <w:t xml:space="preserve"> </w:t>
      </w:r>
    </w:p>
    <w:p w14:paraId="7CAE50FC" w14:textId="4665D313" w:rsidR="00003961" w:rsidRDefault="00F0016B" w:rsidP="00180A09">
      <w:pPr>
        <w:jc w:val="both"/>
        <w:rPr>
          <w:b/>
          <w:bCs/>
        </w:rPr>
      </w:pPr>
      <w:r>
        <w:rPr>
          <w:b/>
          <w:bCs/>
        </w:rPr>
        <w:t>Concluding Thoughts</w:t>
      </w:r>
    </w:p>
    <w:p w14:paraId="50BE471E" w14:textId="6F43D366" w:rsidR="00B14090" w:rsidRPr="00BC4DF6" w:rsidRDefault="00BF15A1" w:rsidP="00180A09">
      <w:pPr>
        <w:jc w:val="both"/>
      </w:pPr>
      <w:r>
        <w:t xml:space="preserve">As I journey toward the conclusion of this discussion, I am drawn once more to the accuracy of the sentence with which I opened it, that the Gospel of John is both the most Jewish and perhaps anti-Jewish text within the whole Biblical Canon. </w:t>
      </w:r>
      <w:r w:rsidR="00003961">
        <w:t xml:space="preserve">This is the opinion of C.K Barrett, Wayne Meeks, John Ashton, Adele </w:t>
      </w:r>
      <w:proofErr w:type="spellStart"/>
      <w:r w:rsidR="00003961">
        <w:t>Reinhartz</w:t>
      </w:r>
      <w:proofErr w:type="spellEnd"/>
      <w:r w:rsidR="00DD0E59">
        <w:t>, Maurice Casey</w:t>
      </w:r>
      <w:r w:rsidR="00003961">
        <w:t xml:space="preserve"> and many other scholars of both Jewish and Christian </w:t>
      </w:r>
      <w:r w:rsidR="00003961">
        <w:lastRenderedPageBreak/>
        <w:t xml:space="preserve">affiliation. </w:t>
      </w:r>
      <w:proofErr w:type="spellStart"/>
      <w:r w:rsidR="002475AF">
        <w:t>Reinhartz</w:t>
      </w:r>
      <w:proofErr w:type="spellEnd"/>
      <w:r w:rsidR="002475AF">
        <w:t xml:space="preserve"> brings f</w:t>
      </w:r>
      <w:r w:rsidR="00DD0E59">
        <w:t>o</w:t>
      </w:r>
      <w:r w:rsidR="002475AF">
        <w:t xml:space="preserve">rth the conclusion that if one were to read the fourth Gospel in complete isolation, ignorant of any historical interpretation, they would </w:t>
      </w:r>
      <w:r w:rsidR="0019068C">
        <w:t xml:space="preserve">undoubtedly </w:t>
      </w:r>
      <w:r w:rsidR="002475AF">
        <w:t>come</w:t>
      </w:r>
      <w:r w:rsidR="0019068C">
        <w:t xml:space="preserve"> away</w:t>
      </w:r>
      <w:r w:rsidR="002475AF">
        <w:t xml:space="preserve"> from the Gospel with a “negative impression of an</w:t>
      </w:r>
      <w:r w:rsidR="00DD0E59">
        <w:t>d</w:t>
      </w:r>
      <w:r w:rsidR="002475AF">
        <w:t xml:space="preserve"> attitude towards the Jews”</w:t>
      </w:r>
      <w:r w:rsidR="002475AF">
        <w:rPr>
          <w:rStyle w:val="FootnoteReference"/>
        </w:rPr>
        <w:footnoteReference w:id="34"/>
      </w:r>
      <w:r w:rsidR="002475AF">
        <w:t xml:space="preserve"> while Edwards insists upon the conclusion that it is unfair to accredit</w:t>
      </w:r>
      <w:r w:rsidR="00EB7211">
        <w:t xml:space="preserve"> anti-Judaism to the Johannine author without a thorough understanding of his “literary form, </w:t>
      </w:r>
      <w:proofErr w:type="spellStart"/>
      <w:r w:rsidR="00EB7211">
        <w:t>paraenetic</w:t>
      </w:r>
      <w:proofErr w:type="spellEnd"/>
      <w:r w:rsidR="00EB7211">
        <w:t xml:space="preserve"> purposes and the feelings of early Christians”.</w:t>
      </w:r>
      <w:r w:rsidR="00EB7211">
        <w:rPr>
          <w:rStyle w:val="FootnoteReference"/>
        </w:rPr>
        <w:footnoteReference w:id="35"/>
      </w:r>
      <w:r w:rsidR="00EB7211">
        <w:t xml:space="preserve"> I must admit to being both completely convinced and yet </w:t>
      </w:r>
      <w:r w:rsidR="00DD0E59">
        <w:t>also somewhat</w:t>
      </w:r>
      <w:r w:rsidR="00EB7211">
        <w:t xml:space="preserve"> dissatisfied with elements of both arguments. Nevertheless,</w:t>
      </w:r>
      <w:r w:rsidR="00232473" w:rsidRPr="00232473">
        <w:t xml:space="preserve"> </w:t>
      </w:r>
      <w:r w:rsidR="00EB7211">
        <w:t xml:space="preserve">one thing I am utterly convinced of </w:t>
      </w:r>
      <w:r w:rsidR="00DD0E59">
        <w:t>i</w:t>
      </w:r>
      <w:r w:rsidR="00EB7211">
        <w:t xml:space="preserve">s </w:t>
      </w:r>
      <w:r w:rsidR="00232473">
        <w:t xml:space="preserve">the importance of scholarly discussions such as the those presented within this essay- </w:t>
      </w:r>
      <w:r w:rsidR="00EB7211">
        <w:t>Alan Culpepper</w:t>
      </w:r>
      <w:r w:rsidR="00232473">
        <w:t xml:space="preserve"> writes that “knowledge both empowers and conveys responsibility”</w:t>
      </w:r>
      <w:r w:rsidR="00232473">
        <w:rPr>
          <w:rStyle w:val="FootnoteReference"/>
        </w:rPr>
        <w:footnoteReference w:id="36"/>
      </w:r>
      <w:r w:rsidR="00232473">
        <w:t xml:space="preserve"> and further states that “they </w:t>
      </w:r>
      <w:r w:rsidR="00AA2681">
        <w:t xml:space="preserve">(the discussions) </w:t>
      </w:r>
      <w:r w:rsidR="00232473">
        <w:t>can be a reminder of the power of scholarship, institutional pronouncements, collective witness and personal activism”</w:t>
      </w:r>
      <w:r w:rsidR="00EB7211">
        <w:t>.</w:t>
      </w:r>
      <w:r w:rsidR="00232473">
        <w:rPr>
          <w:rStyle w:val="FootnoteReference"/>
        </w:rPr>
        <w:footnoteReference w:id="37"/>
      </w:r>
      <w:r w:rsidR="00AA2681">
        <w:t xml:space="preserve"> However complex and nuanced, the issue of alleged anti-Judaism within the fourth Gospel is one that can never be ignored. </w:t>
      </w:r>
      <w:bookmarkStart w:id="14" w:name="_GoBack"/>
      <w:bookmarkEnd w:id="14"/>
    </w:p>
    <w:p w14:paraId="5F33DA5A" w14:textId="5199378D" w:rsidR="00B14090" w:rsidRDefault="00B14090" w:rsidP="00180A09">
      <w:pPr>
        <w:jc w:val="both"/>
        <w:rPr>
          <w:b/>
          <w:bCs/>
        </w:rPr>
      </w:pPr>
    </w:p>
    <w:p w14:paraId="7DF4ED97" w14:textId="384BC419" w:rsidR="00DD0E59" w:rsidRDefault="00DD0E59" w:rsidP="00180A09">
      <w:pPr>
        <w:jc w:val="both"/>
        <w:rPr>
          <w:b/>
          <w:bCs/>
        </w:rPr>
      </w:pPr>
    </w:p>
    <w:p w14:paraId="4DAED1DE" w14:textId="46B602DF" w:rsidR="00DD0E59" w:rsidRDefault="00DD0E59" w:rsidP="00180A09">
      <w:pPr>
        <w:jc w:val="both"/>
        <w:rPr>
          <w:b/>
          <w:bCs/>
        </w:rPr>
      </w:pPr>
    </w:p>
    <w:p w14:paraId="4F98FAF4" w14:textId="3AE04998" w:rsidR="00DD0E59" w:rsidRDefault="00DD0E59" w:rsidP="00180A09">
      <w:pPr>
        <w:jc w:val="both"/>
        <w:rPr>
          <w:b/>
          <w:bCs/>
        </w:rPr>
      </w:pPr>
    </w:p>
    <w:p w14:paraId="497415B9" w14:textId="05723B51" w:rsidR="00DD0E59" w:rsidRDefault="00DD0E59" w:rsidP="00180A09">
      <w:pPr>
        <w:jc w:val="both"/>
        <w:rPr>
          <w:b/>
          <w:bCs/>
        </w:rPr>
      </w:pPr>
    </w:p>
    <w:p w14:paraId="0A5A557D" w14:textId="468E65B1" w:rsidR="00DD0E59" w:rsidRDefault="00DD0E59" w:rsidP="00180A09">
      <w:pPr>
        <w:jc w:val="both"/>
        <w:rPr>
          <w:b/>
          <w:bCs/>
        </w:rPr>
      </w:pPr>
    </w:p>
    <w:p w14:paraId="5FE00380" w14:textId="2FF33B4A" w:rsidR="00DD0E59" w:rsidRDefault="00DD0E59" w:rsidP="00180A09">
      <w:pPr>
        <w:jc w:val="both"/>
        <w:rPr>
          <w:b/>
          <w:bCs/>
        </w:rPr>
      </w:pPr>
    </w:p>
    <w:p w14:paraId="21364E0A" w14:textId="3B5CAC66" w:rsidR="00DD0E59" w:rsidRDefault="00DD0E59" w:rsidP="00180A09">
      <w:pPr>
        <w:jc w:val="both"/>
        <w:rPr>
          <w:b/>
          <w:bCs/>
        </w:rPr>
      </w:pPr>
    </w:p>
    <w:p w14:paraId="6D4EABEE" w14:textId="7E26B25B" w:rsidR="00DD0E59" w:rsidRDefault="00DD0E59" w:rsidP="00180A09">
      <w:pPr>
        <w:jc w:val="both"/>
        <w:rPr>
          <w:b/>
          <w:bCs/>
        </w:rPr>
      </w:pPr>
    </w:p>
    <w:p w14:paraId="2D9558A7" w14:textId="5576C16E" w:rsidR="00DD0E59" w:rsidRDefault="00DD0E59" w:rsidP="00180A09">
      <w:pPr>
        <w:jc w:val="both"/>
        <w:rPr>
          <w:b/>
          <w:bCs/>
        </w:rPr>
      </w:pPr>
    </w:p>
    <w:p w14:paraId="47E76CBB" w14:textId="14431E9F" w:rsidR="00DD0E59" w:rsidRDefault="00DD0E59" w:rsidP="00180A09">
      <w:pPr>
        <w:jc w:val="both"/>
        <w:rPr>
          <w:b/>
          <w:bCs/>
        </w:rPr>
      </w:pPr>
    </w:p>
    <w:p w14:paraId="6DFA87AF" w14:textId="3F34412E" w:rsidR="00DD0E59" w:rsidRDefault="00DD0E59" w:rsidP="00180A09">
      <w:pPr>
        <w:jc w:val="both"/>
        <w:rPr>
          <w:b/>
          <w:bCs/>
        </w:rPr>
      </w:pPr>
    </w:p>
    <w:p w14:paraId="52B55E3F" w14:textId="12ED7D3E" w:rsidR="00DD0E59" w:rsidRDefault="00DD0E59" w:rsidP="00180A09">
      <w:pPr>
        <w:jc w:val="both"/>
        <w:rPr>
          <w:b/>
          <w:bCs/>
        </w:rPr>
      </w:pPr>
    </w:p>
    <w:p w14:paraId="3BEA6BA5" w14:textId="2B3074A8" w:rsidR="00DD0E59" w:rsidRDefault="00DD0E59" w:rsidP="00180A09">
      <w:pPr>
        <w:jc w:val="both"/>
        <w:rPr>
          <w:b/>
          <w:bCs/>
        </w:rPr>
      </w:pPr>
    </w:p>
    <w:p w14:paraId="7CF81117" w14:textId="53B4AB2C" w:rsidR="00DD0E59" w:rsidRDefault="00DD0E59" w:rsidP="00180A09">
      <w:pPr>
        <w:jc w:val="both"/>
        <w:rPr>
          <w:b/>
          <w:bCs/>
        </w:rPr>
      </w:pPr>
    </w:p>
    <w:p w14:paraId="55178EB9" w14:textId="03CB43F3" w:rsidR="00DD0E59" w:rsidRDefault="00DD0E59" w:rsidP="00180A09">
      <w:pPr>
        <w:jc w:val="both"/>
        <w:rPr>
          <w:b/>
          <w:bCs/>
        </w:rPr>
      </w:pPr>
    </w:p>
    <w:p w14:paraId="27FA749B" w14:textId="4E58220B" w:rsidR="00DD0E59" w:rsidRDefault="00DD0E59" w:rsidP="00180A09">
      <w:pPr>
        <w:jc w:val="both"/>
        <w:rPr>
          <w:b/>
          <w:bCs/>
        </w:rPr>
      </w:pPr>
    </w:p>
    <w:p w14:paraId="261EE1A1" w14:textId="09C2AAF8" w:rsidR="00DD0E59" w:rsidRDefault="00DD0E59" w:rsidP="00180A09">
      <w:pPr>
        <w:jc w:val="both"/>
        <w:rPr>
          <w:b/>
          <w:bCs/>
        </w:rPr>
      </w:pPr>
    </w:p>
    <w:p w14:paraId="0C259888" w14:textId="195941DF" w:rsidR="00DD0E59" w:rsidRDefault="00DD0E59" w:rsidP="00180A09">
      <w:pPr>
        <w:jc w:val="both"/>
        <w:rPr>
          <w:b/>
          <w:bCs/>
        </w:rPr>
      </w:pPr>
    </w:p>
    <w:p w14:paraId="1040BECA" w14:textId="77777777" w:rsidR="00DD0E59" w:rsidRDefault="00DD0E59" w:rsidP="00180A09">
      <w:pPr>
        <w:jc w:val="both"/>
        <w:rPr>
          <w:b/>
          <w:bCs/>
        </w:rPr>
      </w:pPr>
    </w:p>
    <w:p w14:paraId="29D4AA83" w14:textId="7DEB3E00" w:rsidR="00F0016B" w:rsidRDefault="00F0016B" w:rsidP="00180A09">
      <w:pPr>
        <w:jc w:val="both"/>
        <w:rPr>
          <w:b/>
          <w:bCs/>
        </w:rPr>
      </w:pPr>
      <w:r>
        <w:rPr>
          <w:b/>
          <w:bCs/>
        </w:rPr>
        <w:t>Bibliography</w:t>
      </w:r>
    </w:p>
    <w:p w14:paraId="1975B18A" w14:textId="1A3843C2" w:rsidR="00060C15" w:rsidRDefault="00060C15" w:rsidP="00180A09">
      <w:pPr>
        <w:jc w:val="both"/>
      </w:pPr>
      <w:r w:rsidRPr="00060C15">
        <w:t>Barrett,</w:t>
      </w:r>
      <w:r>
        <w:t xml:space="preserve"> C.K.,</w:t>
      </w:r>
      <w:r w:rsidRPr="00060C15">
        <w:t xml:space="preserve"> </w:t>
      </w:r>
      <w:r w:rsidRPr="00060C15">
        <w:rPr>
          <w:i/>
          <w:iCs/>
        </w:rPr>
        <w:t xml:space="preserve">The Gospel According to St. John </w:t>
      </w:r>
      <w:r w:rsidRPr="00060C15">
        <w:t>(London: SPCK, 2009)</w:t>
      </w:r>
      <w:r>
        <w:t>.</w:t>
      </w:r>
    </w:p>
    <w:p w14:paraId="7B8C3633" w14:textId="1A95AE98" w:rsidR="00C00F98" w:rsidRPr="00C00F98" w:rsidRDefault="00C00F98" w:rsidP="00180A09">
      <w:pPr>
        <w:jc w:val="both"/>
      </w:pPr>
      <w:proofErr w:type="spellStart"/>
      <w:r>
        <w:t>Bieringer</w:t>
      </w:r>
      <w:proofErr w:type="spellEnd"/>
      <w:r>
        <w:t xml:space="preserve">, R. </w:t>
      </w:r>
      <w:proofErr w:type="spellStart"/>
      <w:r>
        <w:t>Vannauville</w:t>
      </w:r>
      <w:proofErr w:type="spellEnd"/>
      <w:r>
        <w:t xml:space="preserve">, V. </w:t>
      </w:r>
      <w:proofErr w:type="spellStart"/>
      <w:r>
        <w:t>Pollefeyt</w:t>
      </w:r>
      <w:proofErr w:type="spellEnd"/>
      <w:r>
        <w:t xml:space="preserve">, D., </w:t>
      </w:r>
      <w:r>
        <w:rPr>
          <w:i/>
          <w:iCs/>
        </w:rPr>
        <w:t xml:space="preserve">Anti-Judaism in the Fourth Gospel </w:t>
      </w:r>
      <w:r>
        <w:t xml:space="preserve">(Leuven Colloquium, 2001). </w:t>
      </w:r>
    </w:p>
    <w:p w14:paraId="6788FEFD" w14:textId="3D379C58" w:rsidR="00FE70A7" w:rsidRDefault="00FE70A7" w:rsidP="00180A09">
      <w:pPr>
        <w:jc w:val="both"/>
      </w:pPr>
      <w:r w:rsidRPr="00FE70A7">
        <w:t xml:space="preserve">Brown, </w:t>
      </w:r>
      <w:r>
        <w:t xml:space="preserve">R. E., </w:t>
      </w:r>
      <w:r w:rsidRPr="00FE70A7">
        <w:rPr>
          <w:i/>
          <w:iCs/>
        </w:rPr>
        <w:t xml:space="preserve">The Gospel and Epistles of John: A Concise Commentary </w:t>
      </w:r>
      <w:r w:rsidRPr="00FE70A7">
        <w:t>(Minnesota: The liturgical Press, 1988)</w:t>
      </w:r>
      <w:r>
        <w:t>.</w:t>
      </w:r>
    </w:p>
    <w:p w14:paraId="0ED08C6E" w14:textId="077F2E92" w:rsidR="00E44730" w:rsidRDefault="00E44730" w:rsidP="00180A09">
      <w:pPr>
        <w:jc w:val="both"/>
      </w:pPr>
      <w:r w:rsidRPr="00E44730">
        <w:t>Bultmann,</w:t>
      </w:r>
      <w:r>
        <w:t xml:space="preserve"> R.,</w:t>
      </w:r>
      <w:r w:rsidRPr="00E44730">
        <w:t xml:space="preserve"> </w:t>
      </w:r>
      <w:r w:rsidRPr="00E44730">
        <w:rPr>
          <w:i/>
          <w:iCs/>
        </w:rPr>
        <w:t xml:space="preserve">The Gospel of John </w:t>
      </w:r>
      <w:r w:rsidRPr="00E44730">
        <w:t>(Oxford: Blackwell, 1971</w:t>
      </w:r>
      <w:r>
        <w:t>).</w:t>
      </w:r>
    </w:p>
    <w:p w14:paraId="3F3C4DBD" w14:textId="634C9F63" w:rsidR="0044249C" w:rsidRDefault="0044249C" w:rsidP="00180A09">
      <w:pPr>
        <w:jc w:val="both"/>
      </w:pPr>
      <w:r>
        <w:t>Charles</w:t>
      </w:r>
      <w:r w:rsidR="00C00F98">
        <w:t>, J. H.,</w:t>
      </w:r>
      <w:r>
        <w:t xml:space="preserve"> </w:t>
      </w:r>
      <w:r w:rsidRPr="0044249C">
        <w:rPr>
          <w:i/>
          <w:iCs/>
        </w:rPr>
        <w:t>Jews and Christians: Exploring the Past, Present and F</w:t>
      </w:r>
      <w:r>
        <w:rPr>
          <w:i/>
          <w:iCs/>
        </w:rPr>
        <w:t>uture</w:t>
      </w:r>
      <w:r w:rsidRPr="0044249C">
        <w:t xml:space="preserve"> (New York: Crossroad Publishing, 1990)</w:t>
      </w:r>
      <w:r>
        <w:t>.</w:t>
      </w:r>
    </w:p>
    <w:p w14:paraId="0D8B7A00" w14:textId="4FCB6477" w:rsidR="00B14090" w:rsidRDefault="00B14090" w:rsidP="00180A09">
      <w:pPr>
        <w:jc w:val="both"/>
      </w:pPr>
      <w:proofErr w:type="spellStart"/>
      <w:r w:rsidRPr="00B14090">
        <w:t>Coloe</w:t>
      </w:r>
      <w:proofErr w:type="spellEnd"/>
      <w:r w:rsidRPr="00B14090">
        <w:t>,</w:t>
      </w:r>
      <w:r>
        <w:t xml:space="preserve"> M. L.,</w:t>
      </w:r>
      <w:r w:rsidRPr="00B14090">
        <w:t xml:space="preserve"> </w:t>
      </w:r>
      <w:r w:rsidRPr="00B14090">
        <w:rPr>
          <w:i/>
          <w:iCs/>
        </w:rPr>
        <w:t xml:space="preserve">God Dwells with Us: Temple Symbolism in the Fourth Gospel </w:t>
      </w:r>
      <w:r w:rsidRPr="00B14090">
        <w:t>(Minnesota: Liturgical Press, 2001)</w:t>
      </w:r>
      <w:r>
        <w:t>.</w:t>
      </w:r>
    </w:p>
    <w:p w14:paraId="18E6BB96" w14:textId="66B71F4A" w:rsidR="00C00F98" w:rsidRDefault="000F4151" w:rsidP="00180A09">
      <w:pPr>
        <w:jc w:val="both"/>
      </w:pPr>
      <w:r>
        <w:t xml:space="preserve">Culpepper, R. A. Anderson, P. N., </w:t>
      </w:r>
      <w:r w:rsidR="00F0016B" w:rsidRPr="00F0016B">
        <w:rPr>
          <w:i/>
          <w:iCs/>
        </w:rPr>
        <w:t>John and Judaism: A Contested Relationship in Context</w:t>
      </w:r>
      <w:r w:rsidR="00F0016B" w:rsidRPr="00F0016B">
        <w:t xml:space="preserve"> (Atlanta: SBL Press, 2017)</w:t>
      </w:r>
      <w:r>
        <w:t xml:space="preserve">. </w:t>
      </w:r>
    </w:p>
    <w:p w14:paraId="4C8F447D" w14:textId="433B19EC" w:rsidR="00DF614A" w:rsidRDefault="00DF614A" w:rsidP="00180A09">
      <w:pPr>
        <w:jc w:val="both"/>
      </w:pPr>
      <w:r w:rsidRPr="00DF614A">
        <w:t>Edwards,</w:t>
      </w:r>
      <w:r>
        <w:t xml:space="preserve"> R. B.,</w:t>
      </w:r>
      <w:r w:rsidRPr="00DF614A">
        <w:t xml:space="preserve"> </w:t>
      </w:r>
      <w:r w:rsidRPr="00DF614A">
        <w:rPr>
          <w:i/>
          <w:iCs/>
        </w:rPr>
        <w:t xml:space="preserve">Discovering John: Content, Interpretation, Reception </w:t>
      </w:r>
      <w:r w:rsidRPr="00DF614A">
        <w:t>(London: SPCK, 2014)</w:t>
      </w:r>
      <w:r>
        <w:t>.</w:t>
      </w:r>
    </w:p>
    <w:p w14:paraId="4D5E5710" w14:textId="205DB775" w:rsidR="00C00F98" w:rsidRPr="00C00F98" w:rsidRDefault="00C00F98" w:rsidP="00180A09">
      <w:pPr>
        <w:jc w:val="both"/>
        <w:rPr>
          <w:i/>
        </w:rPr>
      </w:pPr>
      <w:proofErr w:type="spellStart"/>
      <w:r>
        <w:t>Hakola</w:t>
      </w:r>
      <w:proofErr w:type="spellEnd"/>
      <w:r>
        <w:t xml:space="preserve">, R. T., </w:t>
      </w:r>
      <w:r>
        <w:rPr>
          <w:i/>
        </w:rPr>
        <w:t xml:space="preserve">Anti-Judaism, Anti-Semitism in the New Testament and its Interpretation </w:t>
      </w:r>
      <w:r>
        <w:rPr>
          <w:iCs/>
        </w:rPr>
        <w:t>(Oxford: Oxford University Press, 2013).</w:t>
      </w:r>
      <w:r>
        <w:rPr>
          <w:i/>
        </w:rPr>
        <w:t xml:space="preserve"> </w:t>
      </w:r>
    </w:p>
    <w:p w14:paraId="2C598C1D" w14:textId="02611186" w:rsidR="00B14090" w:rsidRDefault="00C45054" w:rsidP="00180A09">
      <w:pPr>
        <w:jc w:val="both"/>
      </w:pPr>
      <w:r w:rsidRPr="00C45054">
        <w:t>Lieu</w:t>
      </w:r>
      <w:r>
        <w:t>,</w:t>
      </w:r>
      <w:r w:rsidRPr="00C45054">
        <w:t xml:space="preserve"> </w:t>
      </w:r>
      <w:r>
        <w:t xml:space="preserve">J. M. </w:t>
      </w:r>
      <w:r w:rsidRPr="00C45054">
        <w:t>de Boer</w:t>
      </w:r>
      <w:r>
        <w:t xml:space="preserve">, M. C., </w:t>
      </w:r>
      <w:r w:rsidRPr="00C45054">
        <w:rPr>
          <w:i/>
          <w:iCs/>
        </w:rPr>
        <w:t>Oxford Handbook of Johannine Studies</w:t>
      </w:r>
      <w:r>
        <w:rPr>
          <w:i/>
          <w:iCs/>
        </w:rPr>
        <w:t xml:space="preserve"> </w:t>
      </w:r>
      <w:r w:rsidRPr="00C45054">
        <w:t>(Oxford: Oxford University Press, 2018)</w:t>
      </w:r>
      <w:r>
        <w:t>.</w:t>
      </w:r>
    </w:p>
    <w:p w14:paraId="125049DE" w14:textId="77777777" w:rsidR="00B14090" w:rsidRDefault="00EF1FE6" w:rsidP="00180A09">
      <w:pPr>
        <w:jc w:val="both"/>
      </w:pPr>
      <w:r w:rsidRPr="00EF1FE6">
        <w:t>Lincoln,</w:t>
      </w:r>
      <w:r>
        <w:t xml:space="preserve"> A. T.,</w:t>
      </w:r>
      <w:r w:rsidRPr="00EF1FE6">
        <w:t xml:space="preserve"> </w:t>
      </w:r>
      <w:r w:rsidRPr="00EF1FE6">
        <w:rPr>
          <w:i/>
          <w:iCs/>
        </w:rPr>
        <w:t xml:space="preserve">The Gospel According to St. John </w:t>
      </w:r>
      <w:r w:rsidRPr="00EF1FE6">
        <w:t>(London: Hendrickson Publishers, 2005)</w:t>
      </w:r>
      <w:r>
        <w:t>.</w:t>
      </w:r>
    </w:p>
    <w:p w14:paraId="0CD315AA" w14:textId="3CF20504" w:rsidR="00B14090" w:rsidRDefault="00B14090" w:rsidP="00180A09">
      <w:pPr>
        <w:jc w:val="both"/>
      </w:pPr>
      <w:proofErr w:type="spellStart"/>
      <w:r w:rsidRPr="00B14090">
        <w:t>Nereparampil</w:t>
      </w:r>
      <w:proofErr w:type="spellEnd"/>
      <w:r w:rsidRPr="00B14090">
        <w:t>,</w:t>
      </w:r>
      <w:r>
        <w:t xml:space="preserve"> L.,</w:t>
      </w:r>
      <w:r w:rsidRPr="00B14090">
        <w:t xml:space="preserve"> </w:t>
      </w:r>
      <w:r w:rsidRPr="00B14090">
        <w:rPr>
          <w:i/>
          <w:iCs/>
        </w:rPr>
        <w:t xml:space="preserve">Destroy This Temple: An </w:t>
      </w:r>
      <w:proofErr w:type="spellStart"/>
      <w:r w:rsidRPr="00B14090">
        <w:rPr>
          <w:i/>
          <w:iCs/>
        </w:rPr>
        <w:t>Exegetico</w:t>
      </w:r>
      <w:proofErr w:type="spellEnd"/>
      <w:r w:rsidRPr="00B14090">
        <w:rPr>
          <w:i/>
          <w:iCs/>
        </w:rPr>
        <w:t xml:space="preserve">- Theological Study of the Temple-Logion </w:t>
      </w:r>
      <w:r w:rsidRPr="00B14090">
        <w:t xml:space="preserve">(Bangalore: </w:t>
      </w:r>
      <w:proofErr w:type="spellStart"/>
      <w:r w:rsidRPr="00B14090">
        <w:t>Dharmaran</w:t>
      </w:r>
      <w:proofErr w:type="spellEnd"/>
      <w:r w:rsidRPr="00B14090">
        <w:t xml:space="preserve"> College,</w:t>
      </w:r>
      <w:r w:rsidRPr="00B14090">
        <w:rPr>
          <w:i/>
          <w:iCs/>
        </w:rPr>
        <w:t xml:space="preserve"> </w:t>
      </w:r>
      <w:r w:rsidRPr="00B14090">
        <w:t>1978)</w:t>
      </w:r>
      <w:r w:rsidR="00400DB9">
        <w:t>.</w:t>
      </w:r>
    </w:p>
    <w:p w14:paraId="327A7FC3" w14:textId="11D6007C" w:rsidR="00D56C01" w:rsidRDefault="00D56C01" w:rsidP="00180A09">
      <w:pPr>
        <w:jc w:val="both"/>
      </w:pPr>
      <w:proofErr w:type="spellStart"/>
      <w:r w:rsidRPr="00D56C01">
        <w:t>Reinhartz</w:t>
      </w:r>
      <w:proofErr w:type="spellEnd"/>
      <w:r w:rsidRPr="00D56C01">
        <w:t>,</w:t>
      </w:r>
      <w:r>
        <w:t xml:space="preserve"> A.,</w:t>
      </w:r>
      <w:r w:rsidRPr="00D56C01">
        <w:t xml:space="preserve"> </w:t>
      </w:r>
      <w:r w:rsidRPr="00D56C01">
        <w:rPr>
          <w:i/>
          <w:iCs/>
        </w:rPr>
        <w:t xml:space="preserve">The Gospel of John and Jewish-Christian Relations </w:t>
      </w:r>
      <w:r w:rsidRPr="00D56C01">
        <w:t>(Lanham: Fortress Academic Press, 2018</w:t>
      </w:r>
      <w:r>
        <w:t xml:space="preserve">). </w:t>
      </w:r>
    </w:p>
    <w:p w14:paraId="59DD3F88" w14:textId="760175C8" w:rsidR="009C7433" w:rsidRDefault="009C7433" w:rsidP="00180A09">
      <w:pPr>
        <w:jc w:val="both"/>
        <w:rPr>
          <w:iCs/>
        </w:rPr>
      </w:pPr>
      <w:r w:rsidRPr="009C7433">
        <w:t>Reuther,</w:t>
      </w:r>
      <w:r>
        <w:t xml:space="preserve"> R. R.,</w:t>
      </w:r>
      <w:r w:rsidRPr="009C7433">
        <w:t xml:space="preserve"> </w:t>
      </w:r>
      <w:r w:rsidRPr="009C7433">
        <w:rPr>
          <w:i/>
          <w:iCs/>
        </w:rPr>
        <w:t xml:space="preserve">Faith and Fratricide: The Theological Roots of Anti-Semitism </w:t>
      </w:r>
      <w:r w:rsidRPr="009C7433">
        <w:rPr>
          <w:iCs/>
        </w:rPr>
        <w:t>(Eugene: Wipf and Stock Publishers, 1997)</w:t>
      </w:r>
      <w:r>
        <w:rPr>
          <w:iCs/>
        </w:rPr>
        <w:t>.</w:t>
      </w:r>
    </w:p>
    <w:p w14:paraId="31105ED0" w14:textId="2AB4D72F" w:rsidR="006B0981" w:rsidRPr="00F0016B" w:rsidRDefault="006B0981" w:rsidP="00180A09">
      <w:pPr>
        <w:jc w:val="both"/>
      </w:pPr>
      <w:r w:rsidRPr="006B0981">
        <w:rPr>
          <w:iCs/>
        </w:rPr>
        <w:t xml:space="preserve">Von </w:t>
      </w:r>
      <w:proofErr w:type="spellStart"/>
      <w:r w:rsidRPr="006B0981">
        <w:rPr>
          <w:iCs/>
        </w:rPr>
        <w:t>Whalde</w:t>
      </w:r>
      <w:proofErr w:type="spellEnd"/>
      <w:r w:rsidRPr="006B0981">
        <w:rPr>
          <w:iCs/>
        </w:rPr>
        <w:t>,</w:t>
      </w:r>
      <w:r>
        <w:rPr>
          <w:iCs/>
        </w:rPr>
        <w:t xml:space="preserve"> U. C.,</w:t>
      </w:r>
      <w:r w:rsidRPr="006B0981">
        <w:rPr>
          <w:iCs/>
        </w:rPr>
        <w:t xml:space="preserve"> </w:t>
      </w:r>
      <w:r w:rsidRPr="006B0981">
        <w:rPr>
          <w:i/>
          <w:iCs/>
        </w:rPr>
        <w:t xml:space="preserve">The Johannine Jews: A Critical Survey </w:t>
      </w:r>
      <w:r w:rsidRPr="006B0981">
        <w:rPr>
          <w:iCs/>
        </w:rPr>
        <w:t xml:space="preserve">in </w:t>
      </w:r>
      <w:r w:rsidRPr="006B0981">
        <w:rPr>
          <w:i/>
          <w:iCs/>
        </w:rPr>
        <w:t>New Testament Studies, 28(1), 33-60.</w:t>
      </w:r>
    </w:p>
    <w:sectPr w:rsidR="006B0981" w:rsidRPr="00F001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75FE56" w14:textId="77777777" w:rsidR="002370A8" w:rsidRDefault="002370A8" w:rsidP="003307E7">
      <w:pPr>
        <w:spacing w:after="0" w:line="240" w:lineRule="auto"/>
      </w:pPr>
      <w:r>
        <w:separator/>
      </w:r>
    </w:p>
  </w:endnote>
  <w:endnote w:type="continuationSeparator" w:id="0">
    <w:p w14:paraId="22F2E1B4" w14:textId="77777777" w:rsidR="002370A8" w:rsidRDefault="002370A8" w:rsidP="00330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7FEB40" w14:textId="77777777" w:rsidR="002370A8" w:rsidRDefault="002370A8" w:rsidP="003307E7">
      <w:pPr>
        <w:spacing w:after="0" w:line="240" w:lineRule="auto"/>
      </w:pPr>
      <w:r>
        <w:separator/>
      </w:r>
    </w:p>
  </w:footnote>
  <w:footnote w:type="continuationSeparator" w:id="0">
    <w:p w14:paraId="58D52C15" w14:textId="77777777" w:rsidR="002370A8" w:rsidRDefault="002370A8" w:rsidP="003307E7">
      <w:pPr>
        <w:spacing w:after="0" w:line="240" w:lineRule="auto"/>
      </w:pPr>
      <w:r>
        <w:continuationSeparator/>
      </w:r>
    </w:p>
  </w:footnote>
  <w:footnote w:id="1">
    <w:p w14:paraId="30F21141" w14:textId="0F2C1CC2" w:rsidR="00641236" w:rsidRPr="00F0016B" w:rsidRDefault="00641236">
      <w:pPr>
        <w:pStyle w:val="FootnoteText"/>
      </w:pPr>
      <w:r>
        <w:rPr>
          <w:rStyle w:val="FootnoteReference"/>
        </w:rPr>
        <w:footnoteRef/>
      </w:r>
      <w:r>
        <w:t xml:space="preserve"> R. Alan Culpepper, Afterword: What Have We Learned? Where Do We go From Here</w:t>
      </w:r>
      <w:bookmarkStart w:id="0" w:name="_Hlk29995078"/>
      <w:r>
        <w:t xml:space="preserve">? In </w:t>
      </w:r>
      <w:r>
        <w:rPr>
          <w:i/>
          <w:iCs/>
        </w:rPr>
        <w:t xml:space="preserve">John and Judaism: A Contested Relationship in Context, </w:t>
      </w:r>
      <w:r>
        <w:t>eds. R. Alan Culpepper and Paul N. Anderson (Atlanta: SBL Press, 2017)</w:t>
      </w:r>
      <w:bookmarkEnd w:id="0"/>
      <w:r>
        <w:t xml:space="preserve">, p. 352. </w:t>
      </w:r>
    </w:p>
  </w:footnote>
  <w:footnote w:id="2">
    <w:p w14:paraId="0D9E8ADA" w14:textId="1FA22EFC" w:rsidR="00641236" w:rsidRPr="00D56C01" w:rsidRDefault="00641236">
      <w:pPr>
        <w:pStyle w:val="FootnoteText"/>
      </w:pPr>
      <w:r>
        <w:rPr>
          <w:rStyle w:val="FootnoteReference"/>
        </w:rPr>
        <w:footnoteRef/>
      </w:r>
      <w:r>
        <w:t xml:space="preserve"> Adele </w:t>
      </w:r>
      <w:proofErr w:type="spellStart"/>
      <w:r>
        <w:t>Reinhartz</w:t>
      </w:r>
      <w:proofErr w:type="spellEnd"/>
      <w:r>
        <w:t xml:space="preserve">, </w:t>
      </w:r>
      <w:r>
        <w:rPr>
          <w:i/>
          <w:iCs/>
        </w:rPr>
        <w:t xml:space="preserve">The Gospel of John and Jewish-Christian Relations </w:t>
      </w:r>
      <w:r>
        <w:t xml:space="preserve">(Lanham: Fortress Academic Press, 2018), p.17. </w:t>
      </w:r>
    </w:p>
  </w:footnote>
  <w:footnote w:id="3">
    <w:p w14:paraId="03B57FE9" w14:textId="4D22A268" w:rsidR="00641236" w:rsidRDefault="00641236">
      <w:pPr>
        <w:pStyle w:val="FootnoteText"/>
      </w:pPr>
      <w:r>
        <w:rPr>
          <w:rStyle w:val="FootnoteReference"/>
        </w:rPr>
        <w:footnoteRef/>
      </w:r>
      <w:r>
        <w:t xml:space="preserve"> Matthew- five uses of the term. Mark- six uses. Luke- five uses.  </w:t>
      </w:r>
    </w:p>
  </w:footnote>
  <w:footnote w:id="4">
    <w:p w14:paraId="2DB03686" w14:textId="425716C9" w:rsidR="00641236" w:rsidRPr="00CA0407" w:rsidRDefault="00641236">
      <w:pPr>
        <w:pStyle w:val="FootnoteText"/>
      </w:pPr>
      <w:r>
        <w:rPr>
          <w:rStyle w:val="FootnoteReference"/>
        </w:rPr>
        <w:footnoteRef/>
      </w:r>
      <w:r>
        <w:t xml:space="preserve"> Ruth B. Edwards, </w:t>
      </w:r>
      <w:r>
        <w:rPr>
          <w:i/>
          <w:iCs/>
        </w:rPr>
        <w:t xml:space="preserve">Discovering John: Content, Interpretation, Reception </w:t>
      </w:r>
      <w:r>
        <w:t xml:space="preserve">(London: SPCK, 2014), p. 132. </w:t>
      </w:r>
    </w:p>
  </w:footnote>
  <w:footnote w:id="5">
    <w:p w14:paraId="3B6CE29C" w14:textId="73593EF3" w:rsidR="00641236" w:rsidRDefault="00641236">
      <w:pPr>
        <w:pStyle w:val="FootnoteText"/>
      </w:pPr>
      <w:r>
        <w:rPr>
          <w:rStyle w:val="FootnoteReference"/>
        </w:rPr>
        <w:footnoteRef/>
      </w:r>
      <w:r>
        <w:t xml:space="preserve"> It must be noted that there is one exception this, as the Samaritan woman identifies Jesus as an ‘</w:t>
      </w:r>
      <w:proofErr w:type="spellStart"/>
      <w:r w:rsidRPr="00E80B45">
        <w:rPr>
          <w:i/>
          <w:iCs/>
        </w:rPr>
        <w:t>ioudaios</w:t>
      </w:r>
      <w:proofErr w:type="spellEnd"/>
      <w:r w:rsidRPr="00E80B45">
        <w:rPr>
          <w:i/>
          <w:iCs/>
        </w:rPr>
        <w:t>’</w:t>
      </w:r>
      <w:r>
        <w:t xml:space="preserve"> when encountering him in John 4:9. However, this is a title that- 1) is used by a Samaritan, to highlight the religious and cultural tensions between their two communities, not by scene’s narrator. 2) Is a title that both the woman and Jesus promptly shed. Instead, Jesus becomes identified as a prophet and then the Christ (4:19; 29). </w:t>
      </w:r>
    </w:p>
  </w:footnote>
  <w:footnote w:id="6">
    <w:p w14:paraId="642B2425" w14:textId="3D5F7969" w:rsidR="00641236" w:rsidRPr="00BA1675" w:rsidRDefault="00641236">
      <w:pPr>
        <w:pStyle w:val="FootnoteText"/>
        <w:rPr>
          <w:iCs/>
        </w:rPr>
      </w:pPr>
      <w:r>
        <w:rPr>
          <w:rStyle w:val="FootnoteReference"/>
        </w:rPr>
        <w:footnoteRef/>
      </w:r>
      <w:r>
        <w:t xml:space="preserve"> Rosemary </w:t>
      </w:r>
      <w:bookmarkStart w:id="1" w:name="_Hlk30092714"/>
      <w:r>
        <w:t xml:space="preserve">Reuther, </w:t>
      </w:r>
      <w:r>
        <w:rPr>
          <w:i/>
          <w:iCs/>
        </w:rPr>
        <w:t xml:space="preserve">Faith and Fratricide: </w:t>
      </w:r>
      <w:bookmarkEnd w:id="1"/>
      <w:r>
        <w:rPr>
          <w:i/>
          <w:iCs/>
        </w:rPr>
        <w:t xml:space="preserve">The Theological Roots of Anti-Semitism </w:t>
      </w:r>
      <w:r>
        <w:rPr>
          <w:iCs/>
        </w:rPr>
        <w:t xml:space="preserve">(Eugene: Wipf and Stock Publishers, 1997), p. 111. </w:t>
      </w:r>
    </w:p>
  </w:footnote>
  <w:footnote w:id="7">
    <w:p w14:paraId="18B1F7F1" w14:textId="1118526E" w:rsidR="00641236" w:rsidRDefault="00641236">
      <w:pPr>
        <w:pStyle w:val="FootnoteText"/>
      </w:pPr>
      <w:r>
        <w:rPr>
          <w:rStyle w:val="FootnoteReference"/>
        </w:rPr>
        <w:footnoteRef/>
      </w:r>
      <w:r>
        <w:t xml:space="preserve"> Rudolf Bultmann, </w:t>
      </w:r>
      <w:r>
        <w:rPr>
          <w:i/>
          <w:iCs/>
        </w:rPr>
        <w:t xml:space="preserve">The Gospel of John </w:t>
      </w:r>
      <w:r>
        <w:t xml:space="preserve">(Oxford: Blackwell, 1971), p. 86. </w:t>
      </w:r>
    </w:p>
    <w:p w14:paraId="6D1F0C77" w14:textId="70772DC4" w:rsidR="00641236" w:rsidRPr="00E44730" w:rsidRDefault="00641236">
      <w:pPr>
        <w:pStyle w:val="FootnoteText"/>
      </w:pPr>
      <w:r w:rsidRPr="00E44730">
        <w:t xml:space="preserve">Edwards, </w:t>
      </w:r>
      <w:r w:rsidRPr="00E44730">
        <w:rPr>
          <w:i/>
          <w:iCs/>
        </w:rPr>
        <w:t>Discovering John</w:t>
      </w:r>
      <w:r w:rsidRPr="00E44730">
        <w:t>, p. 13</w:t>
      </w:r>
      <w:r>
        <w:t>4</w:t>
      </w:r>
      <w:r w:rsidRPr="00E44730">
        <w:t>.</w:t>
      </w:r>
    </w:p>
  </w:footnote>
  <w:footnote w:id="8">
    <w:p w14:paraId="663EE0A9" w14:textId="1784E0AC" w:rsidR="00641236" w:rsidRPr="0041036D" w:rsidRDefault="00641236">
      <w:pPr>
        <w:pStyle w:val="FootnoteText"/>
      </w:pPr>
      <w:r>
        <w:rPr>
          <w:rStyle w:val="FootnoteReference"/>
        </w:rPr>
        <w:footnoteRef/>
      </w:r>
      <w:r>
        <w:t xml:space="preserve">Adele </w:t>
      </w:r>
      <w:proofErr w:type="spellStart"/>
      <w:r>
        <w:t>Reinhartz</w:t>
      </w:r>
      <w:proofErr w:type="spellEnd"/>
      <w:r>
        <w:t xml:space="preserve">, The Jews of the Fourth Gospel </w:t>
      </w:r>
      <w:bookmarkStart w:id="2" w:name="_Hlk30068027"/>
      <w:r>
        <w:t xml:space="preserve">in </w:t>
      </w:r>
      <w:bookmarkStart w:id="3" w:name="_Hlk30068002"/>
      <w:r>
        <w:rPr>
          <w:i/>
          <w:iCs/>
        </w:rPr>
        <w:t xml:space="preserve">Oxford Handbook of Johannine Studies, </w:t>
      </w:r>
      <w:r>
        <w:t xml:space="preserve">eds. Judith M. Lieu and </w:t>
      </w:r>
      <w:proofErr w:type="spellStart"/>
      <w:r>
        <w:t>Martinus</w:t>
      </w:r>
      <w:proofErr w:type="spellEnd"/>
      <w:r>
        <w:t xml:space="preserve"> C. de Boer </w:t>
      </w:r>
      <w:bookmarkEnd w:id="3"/>
      <w:r>
        <w:t>(Oxford: Oxford University Press, 2018)</w:t>
      </w:r>
      <w:bookmarkEnd w:id="2"/>
      <w:r>
        <w:rPr>
          <w:i/>
          <w:iCs/>
        </w:rPr>
        <w:t xml:space="preserve">, </w:t>
      </w:r>
      <w:r>
        <w:t xml:space="preserve">p. 125. </w:t>
      </w:r>
    </w:p>
  </w:footnote>
  <w:footnote w:id="9">
    <w:p w14:paraId="102E7547" w14:textId="5FABD3BD" w:rsidR="00641236" w:rsidRPr="000F68D2" w:rsidRDefault="00641236" w:rsidP="008E19A8">
      <w:pPr>
        <w:pStyle w:val="FootnoteText"/>
      </w:pPr>
      <w:r>
        <w:rPr>
          <w:rStyle w:val="FootnoteReference"/>
        </w:rPr>
        <w:footnoteRef/>
      </w:r>
      <w:r>
        <w:t xml:space="preserve"> </w:t>
      </w:r>
      <w:bookmarkStart w:id="4" w:name="_Hlk30095367"/>
      <w:proofErr w:type="spellStart"/>
      <w:r w:rsidRPr="008E19A8">
        <w:t>Reinhartz</w:t>
      </w:r>
      <w:proofErr w:type="spellEnd"/>
      <w:r w:rsidRPr="008E19A8">
        <w:t xml:space="preserve">, </w:t>
      </w:r>
      <w:r w:rsidRPr="008E19A8">
        <w:rPr>
          <w:i/>
          <w:iCs/>
        </w:rPr>
        <w:t>Oxford Handbook of Johannine Studies</w:t>
      </w:r>
      <w:r>
        <w:rPr>
          <w:i/>
          <w:iCs/>
        </w:rPr>
        <w:t>,</w:t>
      </w:r>
      <w:r>
        <w:t xml:space="preserve"> p. 126. </w:t>
      </w:r>
    </w:p>
    <w:bookmarkEnd w:id="4"/>
  </w:footnote>
  <w:footnote w:id="10">
    <w:p w14:paraId="36BA7D7B" w14:textId="2192C097" w:rsidR="00641236" w:rsidRPr="00023F02" w:rsidRDefault="00641236">
      <w:pPr>
        <w:pStyle w:val="FootnoteText"/>
      </w:pPr>
      <w:r>
        <w:rPr>
          <w:rStyle w:val="FootnoteReference"/>
        </w:rPr>
        <w:footnoteRef/>
      </w:r>
      <w:r>
        <w:t xml:space="preserve"> </w:t>
      </w:r>
      <w:bookmarkStart w:id="5" w:name="_Hlk30080927"/>
      <w:r>
        <w:t xml:space="preserve">Andrew T. Lincoln, </w:t>
      </w:r>
      <w:r>
        <w:rPr>
          <w:i/>
          <w:iCs/>
        </w:rPr>
        <w:t xml:space="preserve">The Gospel According to St. John </w:t>
      </w:r>
      <w:r>
        <w:t xml:space="preserve">(London: Hendrickson Publishers, 2005), </w:t>
      </w:r>
      <w:bookmarkEnd w:id="5"/>
      <w:r>
        <w:t xml:space="preserve">pp. 272-274. </w:t>
      </w:r>
    </w:p>
  </w:footnote>
  <w:footnote w:id="11">
    <w:p w14:paraId="7C2F9D69" w14:textId="21A093EF" w:rsidR="00641236" w:rsidRDefault="00641236">
      <w:pPr>
        <w:pStyle w:val="FootnoteText"/>
      </w:pPr>
      <w:r>
        <w:rPr>
          <w:rStyle w:val="FootnoteReference"/>
        </w:rPr>
        <w:footnoteRef/>
      </w:r>
      <w:r>
        <w:t xml:space="preserve"> </w:t>
      </w:r>
      <w:r w:rsidRPr="005E63B6">
        <w:t xml:space="preserve">Edwards, </w:t>
      </w:r>
      <w:r w:rsidRPr="005E63B6">
        <w:rPr>
          <w:i/>
          <w:iCs/>
        </w:rPr>
        <w:t>Discovering John</w:t>
      </w:r>
      <w:r w:rsidRPr="005E63B6">
        <w:t>, p.</w:t>
      </w:r>
      <w:r>
        <w:t xml:space="preserve">133. </w:t>
      </w:r>
    </w:p>
  </w:footnote>
  <w:footnote w:id="12">
    <w:p w14:paraId="6CB25E15" w14:textId="40F0BF42" w:rsidR="00641236" w:rsidRPr="00647319" w:rsidRDefault="00641236">
      <w:pPr>
        <w:pStyle w:val="FootnoteText"/>
      </w:pPr>
      <w:r>
        <w:rPr>
          <w:rStyle w:val="FootnoteReference"/>
        </w:rPr>
        <w:footnoteRef/>
      </w:r>
      <w:r>
        <w:t xml:space="preserve"> </w:t>
      </w:r>
      <w:bookmarkStart w:id="6" w:name="_Hlk30087510"/>
      <w:r>
        <w:t xml:space="preserve">U. C. Von </w:t>
      </w:r>
      <w:proofErr w:type="spellStart"/>
      <w:r>
        <w:t>Whalde</w:t>
      </w:r>
      <w:proofErr w:type="spellEnd"/>
      <w:r>
        <w:t xml:space="preserve">, </w:t>
      </w:r>
      <w:r>
        <w:rPr>
          <w:i/>
          <w:iCs/>
        </w:rPr>
        <w:t xml:space="preserve">The Johannine Jews: A Critical Survey </w:t>
      </w:r>
      <w:r>
        <w:t xml:space="preserve">in </w:t>
      </w:r>
      <w:r w:rsidRPr="00647319">
        <w:rPr>
          <w:i/>
          <w:iCs/>
        </w:rPr>
        <w:t xml:space="preserve">New Testament Studies, 28(1), 33-60. </w:t>
      </w:r>
      <w:bookmarkEnd w:id="6"/>
      <w:r w:rsidRPr="00647319">
        <w:rPr>
          <w:i/>
          <w:iCs/>
        </w:rPr>
        <w:t>doi:10.1017/S0028688500007244</w:t>
      </w:r>
    </w:p>
  </w:footnote>
  <w:footnote w:id="13">
    <w:p w14:paraId="42558A78" w14:textId="72C7E022" w:rsidR="00641236" w:rsidRPr="001A1055" w:rsidRDefault="00641236">
      <w:pPr>
        <w:pStyle w:val="FootnoteText"/>
        <w:rPr>
          <w:i/>
          <w:iCs/>
        </w:rPr>
      </w:pPr>
      <w:r>
        <w:rPr>
          <w:rStyle w:val="FootnoteReference"/>
        </w:rPr>
        <w:footnoteRef/>
      </w:r>
      <w:r>
        <w:t xml:space="preserve"> </w:t>
      </w:r>
      <w:bookmarkStart w:id="7" w:name="_Hlk30167599"/>
      <w:r>
        <w:t xml:space="preserve">Edwards, </w:t>
      </w:r>
      <w:r>
        <w:rPr>
          <w:i/>
          <w:iCs/>
        </w:rPr>
        <w:t xml:space="preserve">Discovering John, p. </w:t>
      </w:r>
      <w:bookmarkEnd w:id="7"/>
      <w:r>
        <w:rPr>
          <w:i/>
          <w:iCs/>
        </w:rPr>
        <w:t xml:space="preserve">140. </w:t>
      </w:r>
    </w:p>
  </w:footnote>
  <w:footnote w:id="14">
    <w:p w14:paraId="552E17A2" w14:textId="4222885B" w:rsidR="00641236" w:rsidRPr="00CB63D1" w:rsidRDefault="00641236">
      <w:pPr>
        <w:pStyle w:val="FootnoteText"/>
      </w:pPr>
      <w:r>
        <w:rPr>
          <w:rStyle w:val="FootnoteReference"/>
        </w:rPr>
        <w:footnoteRef/>
      </w:r>
      <w:r>
        <w:t xml:space="preserve"> </w:t>
      </w:r>
      <w:bookmarkStart w:id="8" w:name="_Hlk30166456"/>
      <w:r w:rsidRPr="00CB63D1">
        <w:t xml:space="preserve">Reuther, </w:t>
      </w:r>
      <w:r w:rsidRPr="00CB63D1">
        <w:rPr>
          <w:i/>
          <w:iCs/>
        </w:rPr>
        <w:t>Faith and Fratricide</w:t>
      </w:r>
      <w:r>
        <w:rPr>
          <w:i/>
          <w:iCs/>
        </w:rPr>
        <w:t xml:space="preserve">, </w:t>
      </w:r>
      <w:r>
        <w:t xml:space="preserve">p. 113. </w:t>
      </w:r>
      <w:bookmarkEnd w:id="8"/>
    </w:p>
  </w:footnote>
  <w:footnote w:id="15">
    <w:p w14:paraId="5D874A10" w14:textId="07228D6F" w:rsidR="00641236" w:rsidRDefault="00641236">
      <w:pPr>
        <w:pStyle w:val="FootnoteText"/>
      </w:pPr>
      <w:r>
        <w:rPr>
          <w:rStyle w:val="FootnoteReference"/>
        </w:rPr>
        <w:footnoteRef/>
      </w:r>
      <w:r>
        <w:t xml:space="preserve"> </w:t>
      </w:r>
      <w:bookmarkStart w:id="9" w:name="_Hlk30161153"/>
      <w:proofErr w:type="spellStart"/>
      <w:r w:rsidRPr="009625DE">
        <w:t>Reinhartz</w:t>
      </w:r>
      <w:proofErr w:type="spellEnd"/>
      <w:r w:rsidRPr="009625DE">
        <w:t xml:space="preserve">, </w:t>
      </w:r>
      <w:r w:rsidRPr="009625DE">
        <w:rPr>
          <w:i/>
          <w:iCs/>
        </w:rPr>
        <w:t>Oxford Handbook of Johannine Studies,</w:t>
      </w:r>
      <w:r w:rsidRPr="009625DE">
        <w:t xml:space="preserve"> p. 12</w:t>
      </w:r>
      <w:r>
        <w:t>4</w:t>
      </w:r>
      <w:bookmarkEnd w:id="9"/>
      <w:r w:rsidRPr="009625DE">
        <w:t xml:space="preserve">. </w:t>
      </w:r>
    </w:p>
  </w:footnote>
  <w:footnote w:id="16">
    <w:p w14:paraId="64DC004F" w14:textId="328ACB8B" w:rsidR="00641236" w:rsidRPr="009625DE" w:rsidRDefault="00641236">
      <w:pPr>
        <w:pStyle w:val="FootnoteText"/>
      </w:pPr>
      <w:r>
        <w:rPr>
          <w:rStyle w:val="FootnoteReference"/>
        </w:rPr>
        <w:footnoteRef/>
      </w:r>
      <w:r>
        <w:t xml:space="preserve"> </w:t>
      </w:r>
      <w:bookmarkStart w:id="10" w:name="_Hlk30169021"/>
      <w:proofErr w:type="spellStart"/>
      <w:r w:rsidRPr="009625DE">
        <w:t>Reinhartz</w:t>
      </w:r>
      <w:proofErr w:type="spellEnd"/>
      <w:r w:rsidRPr="009625DE">
        <w:t xml:space="preserve">, </w:t>
      </w:r>
      <w:r w:rsidRPr="009625DE">
        <w:rPr>
          <w:i/>
          <w:iCs/>
        </w:rPr>
        <w:t>The Gospel of John and Jewish-Christian Relations</w:t>
      </w:r>
      <w:r>
        <w:rPr>
          <w:i/>
          <w:iCs/>
        </w:rPr>
        <w:t xml:space="preserve">, </w:t>
      </w:r>
      <w:r>
        <w:t xml:space="preserve">p. 15. </w:t>
      </w:r>
      <w:bookmarkEnd w:id="10"/>
    </w:p>
  </w:footnote>
  <w:footnote w:id="17">
    <w:p w14:paraId="06556F86" w14:textId="5BAB01B1" w:rsidR="00641236" w:rsidRPr="00182BC8" w:rsidRDefault="00641236">
      <w:pPr>
        <w:pStyle w:val="FootnoteText"/>
      </w:pPr>
      <w:r>
        <w:rPr>
          <w:rStyle w:val="FootnoteReference"/>
        </w:rPr>
        <w:footnoteRef/>
      </w:r>
      <w:r>
        <w:t xml:space="preserve"> Raymond E. Brown, </w:t>
      </w:r>
      <w:r>
        <w:rPr>
          <w:i/>
          <w:iCs/>
        </w:rPr>
        <w:t xml:space="preserve">The Gospel and Epistles of John: A Concise Commentary </w:t>
      </w:r>
      <w:r>
        <w:t xml:space="preserve">(Minnesota: The liturgical Press, 1988), p. 90. </w:t>
      </w:r>
    </w:p>
  </w:footnote>
  <w:footnote w:id="18">
    <w:p w14:paraId="1313BA66" w14:textId="71AD6D18" w:rsidR="00641236" w:rsidRDefault="00641236">
      <w:pPr>
        <w:pStyle w:val="FootnoteText"/>
      </w:pPr>
      <w:r>
        <w:rPr>
          <w:rStyle w:val="FootnoteReference"/>
        </w:rPr>
        <w:footnoteRef/>
      </w:r>
      <w:r>
        <w:t xml:space="preserve"> </w:t>
      </w:r>
      <w:proofErr w:type="spellStart"/>
      <w:r w:rsidRPr="00BF1583">
        <w:t>Reinhartz</w:t>
      </w:r>
      <w:proofErr w:type="spellEnd"/>
      <w:r w:rsidRPr="00BF1583">
        <w:t xml:space="preserve">, </w:t>
      </w:r>
      <w:r w:rsidRPr="00BF1583">
        <w:rPr>
          <w:i/>
          <w:iCs/>
        </w:rPr>
        <w:t>Oxford Handbook of Johannine Studies,</w:t>
      </w:r>
      <w:r w:rsidRPr="00BF1583">
        <w:t xml:space="preserve"> p. 12</w:t>
      </w:r>
      <w:r>
        <w:t>5.</w:t>
      </w:r>
    </w:p>
  </w:footnote>
  <w:footnote w:id="19">
    <w:p w14:paraId="3C235FF1" w14:textId="725F53E8" w:rsidR="00641236" w:rsidRPr="00060C15" w:rsidRDefault="00641236">
      <w:pPr>
        <w:pStyle w:val="FootnoteText"/>
      </w:pPr>
      <w:r>
        <w:rPr>
          <w:rStyle w:val="FootnoteReference"/>
        </w:rPr>
        <w:footnoteRef/>
      </w:r>
      <w:r>
        <w:t xml:space="preserve"> C. K. Barrett, </w:t>
      </w:r>
      <w:r>
        <w:rPr>
          <w:i/>
          <w:iCs/>
        </w:rPr>
        <w:t xml:space="preserve">The Gospel According to St. John </w:t>
      </w:r>
      <w:r>
        <w:t xml:space="preserve">(London: SPCK, 2009), p. 533. </w:t>
      </w:r>
    </w:p>
  </w:footnote>
  <w:footnote w:id="20">
    <w:p w14:paraId="5FADD81A" w14:textId="3E79C400" w:rsidR="00641236" w:rsidRPr="00060C15" w:rsidRDefault="00641236">
      <w:pPr>
        <w:pStyle w:val="FootnoteText"/>
      </w:pPr>
      <w:r>
        <w:rPr>
          <w:rStyle w:val="FootnoteReference"/>
        </w:rPr>
        <w:footnoteRef/>
      </w:r>
      <w:r>
        <w:t xml:space="preserve"> C.K Barrett, </w:t>
      </w:r>
      <w:r>
        <w:rPr>
          <w:i/>
          <w:iCs/>
        </w:rPr>
        <w:t xml:space="preserve">The Gospel According to St. John, </w:t>
      </w:r>
      <w:r>
        <w:t xml:space="preserve">p. 538. </w:t>
      </w:r>
    </w:p>
  </w:footnote>
  <w:footnote w:id="21">
    <w:p w14:paraId="44355E83" w14:textId="43AE0B03" w:rsidR="00641236" w:rsidRDefault="00641236">
      <w:pPr>
        <w:pStyle w:val="FootnoteText"/>
      </w:pPr>
      <w:r>
        <w:rPr>
          <w:rStyle w:val="FootnoteReference"/>
        </w:rPr>
        <w:footnoteRef/>
      </w:r>
      <w:r>
        <w:t xml:space="preserve"> </w:t>
      </w:r>
      <w:r w:rsidRPr="005B3437">
        <w:t xml:space="preserve">Brown, </w:t>
      </w:r>
      <w:r w:rsidRPr="005B3437">
        <w:rPr>
          <w:i/>
          <w:iCs/>
        </w:rPr>
        <w:t xml:space="preserve">The Gospel and Epistles of John, </w:t>
      </w:r>
      <w:r w:rsidRPr="005B3437">
        <w:t>p. 9</w:t>
      </w:r>
      <w:r>
        <w:t>2</w:t>
      </w:r>
      <w:r w:rsidRPr="005B3437">
        <w:t>.</w:t>
      </w:r>
    </w:p>
  </w:footnote>
  <w:footnote w:id="22">
    <w:p w14:paraId="4731BCB6" w14:textId="0436B66D" w:rsidR="00641236" w:rsidRDefault="00641236">
      <w:pPr>
        <w:pStyle w:val="FootnoteText"/>
      </w:pPr>
      <w:r>
        <w:rPr>
          <w:rStyle w:val="FootnoteReference"/>
        </w:rPr>
        <w:footnoteRef/>
      </w:r>
      <w:r>
        <w:t xml:space="preserve"> </w:t>
      </w:r>
      <w:r w:rsidRPr="009B51A7">
        <w:t xml:space="preserve">C.K Barrett, </w:t>
      </w:r>
      <w:r w:rsidRPr="009B51A7">
        <w:rPr>
          <w:i/>
          <w:iCs/>
        </w:rPr>
        <w:t xml:space="preserve">The Gospel According to St. John, </w:t>
      </w:r>
      <w:r w:rsidRPr="009B51A7">
        <w:t>p</w:t>
      </w:r>
      <w:r>
        <w:t>. 541.</w:t>
      </w:r>
    </w:p>
  </w:footnote>
  <w:footnote w:id="23">
    <w:p w14:paraId="5F4FA18E" w14:textId="2CD39228" w:rsidR="00641236" w:rsidRDefault="00641236">
      <w:pPr>
        <w:pStyle w:val="FootnoteText"/>
      </w:pPr>
      <w:r>
        <w:rPr>
          <w:rStyle w:val="FootnoteReference"/>
        </w:rPr>
        <w:footnoteRef/>
      </w:r>
      <w:r>
        <w:t xml:space="preserve"> </w:t>
      </w:r>
      <w:r w:rsidRPr="000563DC">
        <w:t>Reuthe</w:t>
      </w:r>
      <w:r>
        <w:t>r</w:t>
      </w:r>
      <w:r w:rsidRPr="000563DC">
        <w:t xml:space="preserve">, </w:t>
      </w:r>
      <w:r w:rsidRPr="000563DC">
        <w:rPr>
          <w:i/>
          <w:iCs/>
        </w:rPr>
        <w:t xml:space="preserve">Faith and Fratricide, </w:t>
      </w:r>
      <w:r w:rsidRPr="000563DC">
        <w:t>p. 11</w:t>
      </w:r>
      <w:r>
        <w:t>4</w:t>
      </w:r>
      <w:r w:rsidRPr="000563DC">
        <w:t>.</w:t>
      </w:r>
    </w:p>
  </w:footnote>
  <w:footnote w:id="24">
    <w:p w14:paraId="42E80B80" w14:textId="4339CC24" w:rsidR="00641236" w:rsidRDefault="00641236">
      <w:pPr>
        <w:pStyle w:val="FootnoteText"/>
      </w:pPr>
      <w:r>
        <w:rPr>
          <w:rStyle w:val="FootnoteReference"/>
        </w:rPr>
        <w:footnoteRef/>
      </w:r>
      <w:r>
        <w:t xml:space="preserve"> </w:t>
      </w:r>
      <w:r w:rsidRPr="00CD0916">
        <w:t xml:space="preserve">Edwards, </w:t>
      </w:r>
      <w:r w:rsidRPr="00CD0916">
        <w:rPr>
          <w:i/>
          <w:iCs/>
        </w:rPr>
        <w:t>Discovering John, p.</w:t>
      </w:r>
      <w:r>
        <w:rPr>
          <w:i/>
          <w:iCs/>
        </w:rPr>
        <w:t>141.</w:t>
      </w:r>
    </w:p>
  </w:footnote>
  <w:footnote w:id="25">
    <w:p w14:paraId="6404F0E2" w14:textId="32155051" w:rsidR="00641236" w:rsidRPr="002A0D6E" w:rsidRDefault="00641236">
      <w:pPr>
        <w:pStyle w:val="FootnoteText"/>
        <w:rPr>
          <w:i/>
          <w:iCs/>
        </w:rPr>
      </w:pPr>
      <w:r>
        <w:rPr>
          <w:rStyle w:val="FootnoteReference"/>
        </w:rPr>
        <w:footnoteRef/>
      </w:r>
      <w:r>
        <w:t xml:space="preserve"> D. Moody Smith</w:t>
      </w:r>
      <w:bookmarkStart w:id="11" w:name="_Hlk30170471"/>
      <w:r>
        <w:t xml:space="preserve">, Judaism and the Fourth Gospel in </w:t>
      </w:r>
      <w:r>
        <w:rPr>
          <w:i/>
          <w:iCs/>
        </w:rPr>
        <w:t xml:space="preserve">Jews and Christians: Exploring the Past, Present and Future </w:t>
      </w:r>
      <w:r>
        <w:t>eds. James H. Charles (New York: Crossroad Publishing, 1990)</w:t>
      </w:r>
      <w:bookmarkEnd w:id="11"/>
      <w:r>
        <w:t xml:space="preserve">, p. 81. </w:t>
      </w:r>
      <w:r>
        <w:rPr>
          <w:i/>
          <w:iCs/>
        </w:rPr>
        <w:t xml:space="preserve"> </w:t>
      </w:r>
    </w:p>
  </w:footnote>
  <w:footnote w:id="26">
    <w:p w14:paraId="34905F4B" w14:textId="06B772B3" w:rsidR="00641236" w:rsidRPr="00196573" w:rsidRDefault="00641236">
      <w:pPr>
        <w:pStyle w:val="FootnoteText"/>
      </w:pPr>
      <w:r>
        <w:rPr>
          <w:rStyle w:val="FootnoteReference"/>
        </w:rPr>
        <w:footnoteRef/>
      </w:r>
      <w:r>
        <w:t xml:space="preserve"> Edwards, </w:t>
      </w:r>
      <w:r>
        <w:rPr>
          <w:i/>
          <w:iCs/>
        </w:rPr>
        <w:t xml:space="preserve">Discovering John, </w:t>
      </w:r>
      <w:r>
        <w:t xml:space="preserve">p. 136. </w:t>
      </w:r>
    </w:p>
  </w:footnote>
  <w:footnote w:id="27">
    <w:p w14:paraId="680095FD" w14:textId="74F946B5" w:rsidR="00641236" w:rsidRDefault="00641236">
      <w:pPr>
        <w:pStyle w:val="FootnoteText"/>
      </w:pPr>
      <w:r>
        <w:rPr>
          <w:rStyle w:val="FootnoteReference"/>
        </w:rPr>
        <w:footnoteRef/>
      </w:r>
      <w:r>
        <w:t xml:space="preserve"> </w:t>
      </w:r>
      <w:proofErr w:type="spellStart"/>
      <w:r w:rsidRPr="000A51C0">
        <w:t>Reinhartz</w:t>
      </w:r>
      <w:proofErr w:type="spellEnd"/>
      <w:r w:rsidRPr="000A51C0">
        <w:t xml:space="preserve">, </w:t>
      </w:r>
      <w:r w:rsidRPr="000A51C0">
        <w:rPr>
          <w:i/>
          <w:iCs/>
        </w:rPr>
        <w:t xml:space="preserve">The Gospel of John and Jewish-Christian Relations, </w:t>
      </w:r>
      <w:r w:rsidRPr="000A51C0">
        <w:t xml:space="preserve">p. </w:t>
      </w:r>
      <w:r>
        <w:t xml:space="preserve">18. </w:t>
      </w:r>
    </w:p>
  </w:footnote>
  <w:footnote w:id="28">
    <w:p w14:paraId="40094A9B" w14:textId="657C1433" w:rsidR="00641236" w:rsidRPr="004A3274" w:rsidRDefault="00641236">
      <w:pPr>
        <w:pStyle w:val="FootnoteText"/>
        <w:rPr>
          <w:iCs/>
        </w:rPr>
      </w:pPr>
      <w:r>
        <w:rPr>
          <w:rStyle w:val="FootnoteReference"/>
        </w:rPr>
        <w:footnoteRef/>
      </w:r>
      <w:r>
        <w:t xml:space="preserve"> Maurice Casey, </w:t>
      </w:r>
      <w:r>
        <w:rPr>
          <w:i/>
          <w:iCs/>
        </w:rPr>
        <w:t xml:space="preserve">Is John’s Gospel True? </w:t>
      </w:r>
      <w:r>
        <w:rPr>
          <w:iCs/>
        </w:rPr>
        <w:t xml:space="preserve">(New York: Routledge, 1995), p. 31. </w:t>
      </w:r>
    </w:p>
  </w:footnote>
  <w:footnote w:id="29">
    <w:p w14:paraId="2EEA2A2C" w14:textId="60731301" w:rsidR="00641236" w:rsidRDefault="00641236">
      <w:pPr>
        <w:pStyle w:val="FootnoteText"/>
      </w:pPr>
      <w:r>
        <w:rPr>
          <w:rStyle w:val="FootnoteReference"/>
        </w:rPr>
        <w:footnoteRef/>
      </w:r>
      <w:r>
        <w:t xml:space="preserve"> </w:t>
      </w:r>
      <w:r w:rsidRPr="001776B6">
        <w:t xml:space="preserve">Reuther, </w:t>
      </w:r>
      <w:r w:rsidRPr="001776B6">
        <w:rPr>
          <w:i/>
          <w:iCs/>
        </w:rPr>
        <w:t xml:space="preserve">Faith and Fratricide, </w:t>
      </w:r>
      <w:r w:rsidRPr="001776B6">
        <w:t>p.</w:t>
      </w:r>
      <w:r>
        <w:t xml:space="preserve"> 116. </w:t>
      </w:r>
    </w:p>
  </w:footnote>
  <w:footnote w:id="30">
    <w:p w14:paraId="1B1915C3" w14:textId="7E22D326" w:rsidR="00641236" w:rsidRPr="001172E2" w:rsidRDefault="00641236">
      <w:pPr>
        <w:pStyle w:val="FootnoteText"/>
      </w:pPr>
      <w:r>
        <w:rPr>
          <w:rStyle w:val="FootnoteReference"/>
        </w:rPr>
        <w:footnoteRef/>
      </w:r>
      <w:r>
        <w:t xml:space="preserve"> </w:t>
      </w:r>
      <w:bookmarkStart w:id="12" w:name="_Hlk30178002"/>
      <w:r>
        <w:t xml:space="preserve">Mary L. </w:t>
      </w:r>
      <w:proofErr w:type="spellStart"/>
      <w:r>
        <w:t>Coloe</w:t>
      </w:r>
      <w:proofErr w:type="spellEnd"/>
      <w:r>
        <w:t xml:space="preserve">, </w:t>
      </w:r>
      <w:r>
        <w:rPr>
          <w:i/>
          <w:iCs/>
        </w:rPr>
        <w:t xml:space="preserve">God Dwells with Us: Temple Symbolism in the Fourth Gospel </w:t>
      </w:r>
      <w:r>
        <w:t xml:space="preserve">(Minnesota: Liturgical Press, 2001), </w:t>
      </w:r>
      <w:bookmarkEnd w:id="12"/>
      <w:r>
        <w:t xml:space="preserve">p. 210. </w:t>
      </w:r>
    </w:p>
  </w:footnote>
  <w:footnote w:id="31">
    <w:p w14:paraId="4EEA0B13" w14:textId="6EE8D474" w:rsidR="00641236" w:rsidRDefault="00641236" w:rsidP="00B14090">
      <w:pPr>
        <w:pStyle w:val="FootnoteText"/>
        <w:jc w:val="both"/>
      </w:pPr>
      <w:r>
        <w:rPr>
          <w:rStyle w:val="FootnoteReference"/>
        </w:rPr>
        <w:footnoteRef/>
      </w:r>
      <w:r>
        <w:t xml:space="preserve"> L. </w:t>
      </w:r>
      <w:proofErr w:type="spellStart"/>
      <w:r>
        <w:t>Nereparampil</w:t>
      </w:r>
      <w:proofErr w:type="spellEnd"/>
      <w:r>
        <w:t xml:space="preserve">, </w:t>
      </w:r>
      <w:r>
        <w:rPr>
          <w:i/>
          <w:iCs/>
        </w:rPr>
        <w:t xml:space="preserve">Destroy This Temple: An </w:t>
      </w:r>
      <w:proofErr w:type="spellStart"/>
      <w:r>
        <w:rPr>
          <w:i/>
          <w:iCs/>
        </w:rPr>
        <w:t>Exegetico</w:t>
      </w:r>
      <w:proofErr w:type="spellEnd"/>
      <w:r>
        <w:rPr>
          <w:i/>
          <w:iCs/>
        </w:rPr>
        <w:t xml:space="preserve">- Theological Study of the Temple-Logion </w:t>
      </w:r>
      <w:r>
        <w:t xml:space="preserve">(Bangalore: </w:t>
      </w:r>
      <w:proofErr w:type="spellStart"/>
      <w:r>
        <w:t>Dharmaran</w:t>
      </w:r>
      <w:proofErr w:type="spellEnd"/>
      <w:r>
        <w:t xml:space="preserve"> College,</w:t>
      </w:r>
      <w:r>
        <w:rPr>
          <w:i/>
          <w:iCs/>
        </w:rPr>
        <w:t xml:space="preserve"> </w:t>
      </w:r>
      <w:r>
        <w:t xml:space="preserve">1978), p. 18. </w:t>
      </w:r>
    </w:p>
  </w:footnote>
  <w:footnote w:id="32">
    <w:p w14:paraId="3CAA3788" w14:textId="5B921AB6" w:rsidR="004B5391" w:rsidRDefault="004B5391">
      <w:pPr>
        <w:pStyle w:val="FootnoteText"/>
      </w:pPr>
      <w:r>
        <w:rPr>
          <w:rStyle w:val="FootnoteReference"/>
        </w:rPr>
        <w:footnoteRef/>
      </w:r>
      <w:r>
        <w:t xml:space="preserve"> </w:t>
      </w:r>
      <w:r w:rsidRPr="004B5391">
        <w:t xml:space="preserve">Edwards, </w:t>
      </w:r>
      <w:r w:rsidRPr="004B5391">
        <w:rPr>
          <w:i/>
          <w:iCs/>
        </w:rPr>
        <w:t xml:space="preserve">Discovering John, </w:t>
      </w:r>
      <w:r w:rsidRPr="004B5391">
        <w:t>p.</w:t>
      </w:r>
      <w:r>
        <w:t xml:space="preserve"> 155. </w:t>
      </w:r>
    </w:p>
  </w:footnote>
  <w:footnote w:id="33">
    <w:p w14:paraId="6C105CEA" w14:textId="7B72F0E2" w:rsidR="0023017D" w:rsidRPr="0023017D" w:rsidRDefault="0023017D">
      <w:pPr>
        <w:pStyle w:val="FootnoteText"/>
      </w:pPr>
      <w:r>
        <w:rPr>
          <w:rStyle w:val="FootnoteReference"/>
        </w:rPr>
        <w:footnoteRef/>
      </w:r>
      <w:r>
        <w:t xml:space="preserve"> </w:t>
      </w:r>
      <w:bookmarkStart w:id="13" w:name="_Hlk30181775"/>
      <w:r>
        <w:t xml:space="preserve">Edwards, </w:t>
      </w:r>
      <w:r>
        <w:rPr>
          <w:i/>
          <w:iCs/>
        </w:rPr>
        <w:t xml:space="preserve">Discovering John, </w:t>
      </w:r>
      <w:r>
        <w:t>p. 154.</w:t>
      </w:r>
      <w:bookmarkEnd w:id="13"/>
    </w:p>
  </w:footnote>
  <w:footnote w:id="34">
    <w:p w14:paraId="0A6A3C71" w14:textId="6B4CF07C" w:rsidR="002475AF" w:rsidRPr="002475AF" w:rsidRDefault="002475AF">
      <w:pPr>
        <w:pStyle w:val="FootnoteText"/>
      </w:pPr>
      <w:r>
        <w:rPr>
          <w:rStyle w:val="FootnoteReference"/>
        </w:rPr>
        <w:footnoteRef/>
      </w:r>
      <w:r>
        <w:t xml:space="preserve"> </w:t>
      </w:r>
      <w:proofErr w:type="spellStart"/>
      <w:r w:rsidRPr="002475AF">
        <w:t>Reinhartz</w:t>
      </w:r>
      <w:proofErr w:type="spellEnd"/>
      <w:r w:rsidRPr="002475AF">
        <w:t xml:space="preserve">, </w:t>
      </w:r>
      <w:r w:rsidRPr="002475AF">
        <w:rPr>
          <w:i/>
          <w:iCs/>
        </w:rPr>
        <w:t>The Gospel of John and Jewish-Christian Relations,</w:t>
      </w:r>
      <w:r>
        <w:rPr>
          <w:i/>
          <w:iCs/>
        </w:rPr>
        <w:t xml:space="preserve"> </w:t>
      </w:r>
      <w:r>
        <w:t xml:space="preserve">p. 18. </w:t>
      </w:r>
    </w:p>
  </w:footnote>
  <w:footnote w:id="35">
    <w:p w14:paraId="1D1ED0F8" w14:textId="67D09D99" w:rsidR="00EB7211" w:rsidRDefault="00EB7211">
      <w:pPr>
        <w:pStyle w:val="FootnoteText"/>
      </w:pPr>
      <w:r>
        <w:rPr>
          <w:rStyle w:val="FootnoteReference"/>
        </w:rPr>
        <w:footnoteRef/>
      </w:r>
      <w:r>
        <w:t xml:space="preserve"> </w:t>
      </w:r>
      <w:r>
        <w:t xml:space="preserve">Edwards, </w:t>
      </w:r>
      <w:r>
        <w:rPr>
          <w:i/>
          <w:iCs/>
        </w:rPr>
        <w:t xml:space="preserve">Discovering John, </w:t>
      </w:r>
      <w:r>
        <w:t>p. 1</w:t>
      </w:r>
      <w:r>
        <w:t>41.</w:t>
      </w:r>
    </w:p>
  </w:footnote>
  <w:footnote w:id="36">
    <w:p w14:paraId="154EEE5F" w14:textId="5FDB1D2F" w:rsidR="00232473" w:rsidRDefault="00232473">
      <w:pPr>
        <w:pStyle w:val="FootnoteText"/>
      </w:pPr>
      <w:r>
        <w:rPr>
          <w:rStyle w:val="FootnoteReference"/>
        </w:rPr>
        <w:footnoteRef/>
      </w:r>
      <w:r>
        <w:t xml:space="preserve"> </w:t>
      </w:r>
      <w:r w:rsidR="00BC4DF6" w:rsidRPr="00BC4DF6">
        <w:t xml:space="preserve">R. Alan Culpepper, Afterword: What Have We Learned? Where Do We go From Here? In </w:t>
      </w:r>
      <w:r w:rsidR="00BC4DF6" w:rsidRPr="00BC4DF6">
        <w:rPr>
          <w:i/>
          <w:iCs/>
        </w:rPr>
        <w:t xml:space="preserve">John and Judaism: A Contested Relationship in Context, </w:t>
      </w:r>
      <w:r w:rsidR="00BC4DF6" w:rsidRPr="00BC4DF6">
        <w:t>eds. R. Alan Culpepper and Paul N. Anderson (Atlanta: SBL Press, 2017), p. 3</w:t>
      </w:r>
      <w:r w:rsidR="00BC4DF6">
        <w:t>53</w:t>
      </w:r>
    </w:p>
  </w:footnote>
  <w:footnote w:id="37">
    <w:p w14:paraId="6AE000B2" w14:textId="7FC60A07" w:rsidR="00232473" w:rsidRPr="00BC4DF6" w:rsidRDefault="00232473">
      <w:pPr>
        <w:pStyle w:val="FootnoteText"/>
      </w:pPr>
      <w:r>
        <w:rPr>
          <w:rStyle w:val="FootnoteReference"/>
        </w:rPr>
        <w:footnoteRef/>
      </w:r>
      <w:r>
        <w:t xml:space="preserve"> </w:t>
      </w:r>
      <w:r w:rsidR="00BC4DF6">
        <w:t xml:space="preserve">Culpepper, </w:t>
      </w:r>
      <w:r w:rsidR="00BC4DF6">
        <w:rPr>
          <w:i/>
          <w:iCs/>
        </w:rPr>
        <w:t xml:space="preserve">John and Judaism, </w:t>
      </w:r>
      <w:r w:rsidR="00BC4DF6">
        <w:t xml:space="preserve">p. 353.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A09"/>
    <w:rsid w:val="00000540"/>
    <w:rsid w:val="00003961"/>
    <w:rsid w:val="00023F02"/>
    <w:rsid w:val="000563DC"/>
    <w:rsid w:val="00060C15"/>
    <w:rsid w:val="000653E1"/>
    <w:rsid w:val="00086D8C"/>
    <w:rsid w:val="000969E6"/>
    <w:rsid w:val="000A51C0"/>
    <w:rsid w:val="000A5C14"/>
    <w:rsid w:val="000C31B3"/>
    <w:rsid w:val="000F265A"/>
    <w:rsid w:val="000F35B4"/>
    <w:rsid w:val="000F4151"/>
    <w:rsid w:val="000F68D2"/>
    <w:rsid w:val="001151C5"/>
    <w:rsid w:val="001172E2"/>
    <w:rsid w:val="00123893"/>
    <w:rsid w:val="0013667D"/>
    <w:rsid w:val="00176A46"/>
    <w:rsid w:val="001776B6"/>
    <w:rsid w:val="00180A09"/>
    <w:rsid w:val="00182BC8"/>
    <w:rsid w:val="0019068C"/>
    <w:rsid w:val="00196573"/>
    <w:rsid w:val="001A1055"/>
    <w:rsid w:val="001C39E7"/>
    <w:rsid w:val="001F780E"/>
    <w:rsid w:val="00227E7A"/>
    <w:rsid w:val="0023017D"/>
    <w:rsid w:val="00232473"/>
    <w:rsid w:val="002370A8"/>
    <w:rsid w:val="0024156F"/>
    <w:rsid w:val="002475AF"/>
    <w:rsid w:val="00252940"/>
    <w:rsid w:val="00280604"/>
    <w:rsid w:val="00280EC6"/>
    <w:rsid w:val="00282F7B"/>
    <w:rsid w:val="0029777F"/>
    <w:rsid w:val="002A0D6E"/>
    <w:rsid w:val="002A39A9"/>
    <w:rsid w:val="002B211B"/>
    <w:rsid w:val="002C499D"/>
    <w:rsid w:val="002C61F5"/>
    <w:rsid w:val="003032F9"/>
    <w:rsid w:val="003072F9"/>
    <w:rsid w:val="003307E7"/>
    <w:rsid w:val="00332939"/>
    <w:rsid w:val="0033539A"/>
    <w:rsid w:val="003378DA"/>
    <w:rsid w:val="0034038E"/>
    <w:rsid w:val="00345C8D"/>
    <w:rsid w:val="00394FC7"/>
    <w:rsid w:val="003A6E8E"/>
    <w:rsid w:val="003B2399"/>
    <w:rsid w:val="003B663B"/>
    <w:rsid w:val="003C5981"/>
    <w:rsid w:val="003D7219"/>
    <w:rsid w:val="003E54C7"/>
    <w:rsid w:val="003E5BF4"/>
    <w:rsid w:val="00400DB9"/>
    <w:rsid w:val="00405FA9"/>
    <w:rsid w:val="0041036D"/>
    <w:rsid w:val="00430275"/>
    <w:rsid w:val="0044249C"/>
    <w:rsid w:val="004432C9"/>
    <w:rsid w:val="00471649"/>
    <w:rsid w:val="00480EFA"/>
    <w:rsid w:val="00490409"/>
    <w:rsid w:val="004A1ACC"/>
    <w:rsid w:val="004A3274"/>
    <w:rsid w:val="004B47A8"/>
    <w:rsid w:val="004B5391"/>
    <w:rsid w:val="004E208E"/>
    <w:rsid w:val="004E550C"/>
    <w:rsid w:val="004F7BE2"/>
    <w:rsid w:val="00503E6D"/>
    <w:rsid w:val="00545301"/>
    <w:rsid w:val="00561193"/>
    <w:rsid w:val="005651AA"/>
    <w:rsid w:val="005A0319"/>
    <w:rsid w:val="005A34E9"/>
    <w:rsid w:val="005B3437"/>
    <w:rsid w:val="005B562E"/>
    <w:rsid w:val="005E63B6"/>
    <w:rsid w:val="005F06FD"/>
    <w:rsid w:val="006057D1"/>
    <w:rsid w:val="00641236"/>
    <w:rsid w:val="00647319"/>
    <w:rsid w:val="0065014C"/>
    <w:rsid w:val="00657B8E"/>
    <w:rsid w:val="00673281"/>
    <w:rsid w:val="006938CF"/>
    <w:rsid w:val="00695FA8"/>
    <w:rsid w:val="006A2B37"/>
    <w:rsid w:val="006B0981"/>
    <w:rsid w:val="006D325E"/>
    <w:rsid w:val="006E59D4"/>
    <w:rsid w:val="00703E8F"/>
    <w:rsid w:val="0071694F"/>
    <w:rsid w:val="0072284D"/>
    <w:rsid w:val="00726CDC"/>
    <w:rsid w:val="00730B75"/>
    <w:rsid w:val="00734DD6"/>
    <w:rsid w:val="00765B9F"/>
    <w:rsid w:val="00782AD0"/>
    <w:rsid w:val="00795727"/>
    <w:rsid w:val="007A4126"/>
    <w:rsid w:val="007C3F57"/>
    <w:rsid w:val="007D3C1C"/>
    <w:rsid w:val="007D553C"/>
    <w:rsid w:val="007E24A7"/>
    <w:rsid w:val="00807AE1"/>
    <w:rsid w:val="00827ACC"/>
    <w:rsid w:val="008321C9"/>
    <w:rsid w:val="00832242"/>
    <w:rsid w:val="00832248"/>
    <w:rsid w:val="008425B5"/>
    <w:rsid w:val="0085298D"/>
    <w:rsid w:val="00852B98"/>
    <w:rsid w:val="00856B02"/>
    <w:rsid w:val="008716FB"/>
    <w:rsid w:val="008A3C37"/>
    <w:rsid w:val="008A4574"/>
    <w:rsid w:val="008B21BF"/>
    <w:rsid w:val="008E19A8"/>
    <w:rsid w:val="00925790"/>
    <w:rsid w:val="00933751"/>
    <w:rsid w:val="0093676B"/>
    <w:rsid w:val="00946307"/>
    <w:rsid w:val="00960A93"/>
    <w:rsid w:val="00961172"/>
    <w:rsid w:val="009625DE"/>
    <w:rsid w:val="00972D03"/>
    <w:rsid w:val="00982742"/>
    <w:rsid w:val="009832CC"/>
    <w:rsid w:val="00994FF2"/>
    <w:rsid w:val="00997C4B"/>
    <w:rsid w:val="009A5E9A"/>
    <w:rsid w:val="009B51A7"/>
    <w:rsid w:val="009C7433"/>
    <w:rsid w:val="009D1AF4"/>
    <w:rsid w:val="009E1C12"/>
    <w:rsid w:val="00A0694C"/>
    <w:rsid w:val="00A14EEA"/>
    <w:rsid w:val="00A17664"/>
    <w:rsid w:val="00A3264A"/>
    <w:rsid w:val="00A32C55"/>
    <w:rsid w:val="00A56F15"/>
    <w:rsid w:val="00A60B04"/>
    <w:rsid w:val="00A71F0A"/>
    <w:rsid w:val="00A95302"/>
    <w:rsid w:val="00AA2681"/>
    <w:rsid w:val="00AA4BEA"/>
    <w:rsid w:val="00AC30E2"/>
    <w:rsid w:val="00AD04FB"/>
    <w:rsid w:val="00AD4BBB"/>
    <w:rsid w:val="00B14090"/>
    <w:rsid w:val="00B24DAD"/>
    <w:rsid w:val="00B3472E"/>
    <w:rsid w:val="00B42BAD"/>
    <w:rsid w:val="00B5770F"/>
    <w:rsid w:val="00B64D2E"/>
    <w:rsid w:val="00B7219E"/>
    <w:rsid w:val="00B756FB"/>
    <w:rsid w:val="00B76C9C"/>
    <w:rsid w:val="00B86088"/>
    <w:rsid w:val="00B8713D"/>
    <w:rsid w:val="00BA1675"/>
    <w:rsid w:val="00BA3543"/>
    <w:rsid w:val="00BC4DF6"/>
    <w:rsid w:val="00BE3434"/>
    <w:rsid w:val="00BF1583"/>
    <w:rsid w:val="00BF15A1"/>
    <w:rsid w:val="00C00F98"/>
    <w:rsid w:val="00C06322"/>
    <w:rsid w:val="00C40CCF"/>
    <w:rsid w:val="00C45054"/>
    <w:rsid w:val="00C52ADA"/>
    <w:rsid w:val="00C758E7"/>
    <w:rsid w:val="00C80101"/>
    <w:rsid w:val="00CA0407"/>
    <w:rsid w:val="00CB63D1"/>
    <w:rsid w:val="00CD0916"/>
    <w:rsid w:val="00CD1880"/>
    <w:rsid w:val="00CE039A"/>
    <w:rsid w:val="00CE75D8"/>
    <w:rsid w:val="00D00643"/>
    <w:rsid w:val="00D10749"/>
    <w:rsid w:val="00D2034E"/>
    <w:rsid w:val="00D22192"/>
    <w:rsid w:val="00D24137"/>
    <w:rsid w:val="00D34D79"/>
    <w:rsid w:val="00D359FB"/>
    <w:rsid w:val="00D56C01"/>
    <w:rsid w:val="00D70E1C"/>
    <w:rsid w:val="00D905FE"/>
    <w:rsid w:val="00D95532"/>
    <w:rsid w:val="00DA00AD"/>
    <w:rsid w:val="00DD0CDA"/>
    <w:rsid w:val="00DD0E59"/>
    <w:rsid w:val="00DE715D"/>
    <w:rsid w:val="00DF614A"/>
    <w:rsid w:val="00E00354"/>
    <w:rsid w:val="00E056E8"/>
    <w:rsid w:val="00E12A64"/>
    <w:rsid w:val="00E176C8"/>
    <w:rsid w:val="00E2479E"/>
    <w:rsid w:val="00E41BD8"/>
    <w:rsid w:val="00E44730"/>
    <w:rsid w:val="00E4531D"/>
    <w:rsid w:val="00E6563A"/>
    <w:rsid w:val="00E77891"/>
    <w:rsid w:val="00E80B45"/>
    <w:rsid w:val="00E81946"/>
    <w:rsid w:val="00E82708"/>
    <w:rsid w:val="00E96AC3"/>
    <w:rsid w:val="00EA00F1"/>
    <w:rsid w:val="00EB0BD5"/>
    <w:rsid w:val="00EB7211"/>
    <w:rsid w:val="00EB795E"/>
    <w:rsid w:val="00EC3C29"/>
    <w:rsid w:val="00EF1FE6"/>
    <w:rsid w:val="00EF447E"/>
    <w:rsid w:val="00EF656C"/>
    <w:rsid w:val="00F0016B"/>
    <w:rsid w:val="00F05FDB"/>
    <w:rsid w:val="00F11A97"/>
    <w:rsid w:val="00F123EF"/>
    <w:rsid w:val="00F12D4E"/>
    <w:rsid w:val="00F232D8"/>
    <w:rsid w:val="00F2373C"/>
    <w:rsid w:val="00F37279"/>
    <w:rsid w:val="00F54B0E"/>
    <w:rsid w:val="00F610D7"/>
    <w:rsid w:val="00F74B85"/>
    <w:rsid w:val="00F82CC0"/>
    <w:rsid w:val="00F9248B"/>
    <w:rsid w:val="00FA21E2"/>
    <w:rsid w:val="00FA604E"/>
    <w:rsid w:val="00FB06C7"/>
    <w:rsid w:val="00FD1C07"/>
    <w:rsid w:val="00FE7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5BA89"/>
  <w15:chartTrackingRefBased/>
  <w15:docId w15:val="{A2C4A3F0-E3E3-4FB6-BE59-1F74E1EC2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307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07E7"/>
    <w:rPr>
      <w:sz w:val="20"/>
      <w:szCs w:val="20"/>
    </w:rPr>
  </w:style>
  <w:style w:type="character" w:styleId="FootnoteReference">
    <w:name w:val="footnote reference"/>
    <w:basedOn w:val="DefaultParagraphFont"/>
    <w:uiPriority w:val="99"/>
    <w:semiHidden/>
    <w:unhideWhenUsed/>
    <w:rsid w:val="003307E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74FCED-57D7-427E-9353-03B27CE02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3369</TotalTime>
  <Pages>8</Pages>
  <Words>3565</Words>
  <Characters>20322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belle tindall</dc:creator>
  <cp:keywords/>
  <dc:description/>
  <cp:lastModifiedBy>belle tindall</cp:lastModifiedBy>
  <cp:revision>212</cp:revision>
  <dcterms:created xsi:type="dcterms:W3CDTF">2020-01-15T11:24:00Z</dcterms:created>
  <dcterms:modified xsi:type="dcterms:W3CDTF">2020-01-17T19:35:00Z</dcterms:modified>
</cp:coreProperties>
</file>