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jc w:val="center"/>
        <w:rPr>
          <w:b w:val="1"/>
          <w:bCs w:val="1"/>
        </w:rPr>
      </w:pPr>
      <w:r>
        <w:rPr>
          <w:b w:val="1"/>
          <w:bCs w:val="1"/>
          <w:rtl w:val="0"/>
          <w:lang w:val="en-US"/>
        </w:rPr>
        <w:t>Study Skills for Biblical Interpretation</w:t>
      </w:r>
    </w:p>
    <w:p>
      <w:pPr>
        <w:pStyle w:val="Body A"/>
        <w:jc w:val="center"/>
        <w:rPr>
          <w:b w:val="1"/>
          <w:bCs w:val="1"/>
        </w:rPr>
      </w:pPr>
      <w:r>
        <w:rPr>
          <w:b w:val="1"/>
          <w:bCs w:val="1"/>
          <w:rtl w:val="0"/>
          <w:lang w:val="en-US"/>
        </w:rPr>
        <w:t>Assignment Two: Book Review</w:t>
      </w:r>
    </w:p>
    <w:p>
      <w:pPr>
        <w:pStyle w:val="Body A"/>
      </w:pPr>
    </w:p>
    <w:p>
      <w:pPr>
        <w:pStyle w:val="Body A"/>
        <w:rPr>
          <w:b w:val="1"/>
          <w:bCs w:val="1"/>
        </w:rPr>
      </w:pPr>
      <w:r>
        <w:rPr>
          <w:rtl w:val="0"/>
        </w:rPr>
        <w:t>T</w:t>
      </w:r>
      <w:r>
        <w:rPr>
          <w:b w:val="1"/>
          <w:bCs w:val="1"/>
          <w:rtl w:val="0"/>
          <w:lang w:val="en-US"/>
        </w:rPr>
        <w:t>he Lost World of Genesis One: Ancient Cosmology and the Origins Debate</w:t>
      </w:r>
    </w:p>
    <w:p>
      <w:pPr>
        <w:pStyle w:val="Body A"/>
        <w:rPr>
          <w:b w:val="1"/>
          <w:bCs w:val="1"/>
        </w:rPr>
      </w:pPr>
      <w:r>
        <w:rPr>
          <w:b w:val="1"/>
          <w:bCs w:val="1"/>
          <w:rtl w:val="0"/>
          <w:lang w:val="en-US"/>
        </w:rPr>
        <w:t>John Walton</w:t>
      </w:r>
    </w:p>
    <w:p>
      <w:pPr>
        <w:pStyle w:val="Body A"/>
        <w:rPr>
          <w:b w:val="1"/>
          <w:bCs w:val="1"/>
        </w:rPr>
      </w:pPr>
      <w:r>
        <w:rPr>
          <w:b w:val="1"/>
          <w:bCs w:val="1"/>
          <w:rtl w:val="0"/>
          <w:lang w:val="en-US"/>
        </w:rPr>
        <w:t>Illinois: IVP Academic. 176pp.</w:t>
      </w:r>
    </w:p>
    <w:p>
      <w:pPr>
        <w:pStyle w:val="Body A"/>
      </w:pPr>
    </w:p>
    <w:p>
      <w:pPr>
        <w:pStyle w:val="Body A"/>
      </w:pPr>
      <w:r>
        <w:rPr>
          <w:rtl w:val="0"/>
        </w:rPr>
        <w:t xml:space="preserve">John Walton, professor of Old Testament at Wheaton College, has authored several books over the last decade in his </w:t>
      </w:r>
      <w:r>
        <w:rPr>
          <w:rtl w:val="0"/>
        </w:rPr>
        <w:t>“</w:t>
      </w:r>
      <w:r>
        <w:rPr>
          <w:rtl w:val="0"/>
        </w:rPr>
        <w:t>Lost World</w:t>
      </w:r>
      <w:r>
        <w:rPr>
          <w:rtl w:val="0"/>
        </w:rPr>
        <w:t xml:space="preserve">” </w:t>
      </w:r>
      <w:r>
        <w:rPr>
          <w:rtl w:val="0"/>
        </w:rPr>
        <w:t>series</w:t>
      </w:r>
      <w:r>
        <w:rPr>
          <w:rFonts w:ascii="Helvetica Neue" w:cs="Helvetica Neue" w:hAnsi="Helvetica Neue" w:eastAsia="Helvetica Neue"/>
          <w:b w:val="0"/>
          <w:bCs w:val="0"/>
          <w:i w:val="0"/>
          <w:iCs w:val="0"/>
          <w:vertAlign w:val="superscript"/>
        </w:rPr>
        <w:footnoteReference w:id="1"/>
      </w:r>
      <w:r>
        <w:rPr>
          <w:rtl w:val="0"/>
        </w:rPr>
        <w:t>, each examining a theme from the Old Testament and offering an interpretation based on understanding of Ancient Near Eastern (ANE) culture. In this first book Walton focuses on the controversial first chapter of Genesis.</w:t>
      </w:r>
    </w:p>
    <w:p>
      <w:pPr>
        <w:pStyle w:val="Body A"/>
      </w:pPr>
    </w:p>
    <w:p>
      <w:pPr>
        <w:pStyle w:val="Body A"/>
      </w:pPr>
      <w:r>
        <w:rPr>
          <w:rtl w:val="0"/>
        </w:rPr>
        <w:t xml:space="preserve">The book, as with others in the series, is organised as a series of </w:t>
      </w:r>
      <w:r>
        <w:rPr>
          <w:rtl w:val="0"/>
        </w:rPr>
        <w:t>“</w:t>
      </w:r>
      <w:r>
        <w:rPr>
          <w:rtl w:val="0"/>
        </w:rPr>
        <w:t>propositions</w:t>
      </w:r>
      <w:r>
        <w:rPr>
          <w:rtl w:val="0"/>
        </w:rPr>
        <w:t>”</w:t>
      </w:r>
      <w:r>
        <w:rPr>
          <w:rtl w:val="0"/>
        </w:rPr>
        <w:t>, and falls broadly into two parts: firstly, a reading of Genesis One in light of ANE understanding; secondly, the implications of  such a reading on contemporary scientific theories of material origins.</w:t>
      </w:r>
    </w:p>
    <w:p>
      <w:pPr>
        <w:pStyle w:val="Body A"/>
      </w:pPr>
    </w:p>
    <w:p>
      <w:pPr>
        <w:pStyle w:val="Body A"/>
      </w:pPr>
      <w:r>
        <w:rPr>
          <w:rtl w:val="0"/>
        </w:rPr>
        <w:t>“</w:t>
      </w:r>
      <w:r>
        <w:rPr>
          <w:rtl w:val="0"/>
        </w:rPr>
        <w:t xml:space="preserve">The Old Testament </w:t>
      </w:r>
      <w:r>
        <w:rPr>
          <w:rtl w:val="0"/>
        </w:rPr>
        <w:t>…</w:t>
      </w:r>
      <w:r>
        <w:rPr>
          <w:rtl w:val="0"/>
        </w:rPr>
        <w:t xml:space="preserve">was written </w:t>
      </w:r>
      <w:r>
        <w:rPr>
          <w:i w:val="1"/>
          <w:iCs w:val="1"/>
          <w:rtl w:val="0"/>
          <w:lang w:val="en-US"/>
        </w:rPr>
        <w:t>for us</w:t>
      </w:r>
      <w:r>
        <w:rPr>
          <w:rtl w:val="0"/>
        </w:rPr>
        <w:t>…</w:t>
      </w:r>
      <w:r>
        <w:rPr>
          <w:rtl w:val="0"/>
        </w:rPr>
        <w:t xml:space="preserve">but it was not written </w:t>
      </w:r>
      <w:r>
        <w:rPr>
          <w:i w:val="1"/>
          <w:iCs w:val="1"/>
          <w:rtl w:val="0"/>
          <w:lang w:val="en-US"/>
        </w:rPr>
        <w:t>to us</w:t>
      </w:r>
      <w:r>
        <w:rPr>
          <w:rtl w:val="0"/>
        </w:rPr>
        <w:t>”</w:t>
      </w:r>
      <w:r>
        <w:rPr>
          <w:rtl w:val="0"/>
        </w:rPr>
        <w:t xml:space="preserve">. </w:t>
      </w:r>
      <w:r>
        <w:rPr>
          <w:rFonts w:ascii="Helvetica Neue" w:cs="Helvetica Neue" w:hAnsi="Helvetica Neue" w:eastAsia="Helvetica Neue"/>
          <w:b w:val="0"/>
          <w:bCs w:val="0"/>
          <w:i w:val="0"/>
          <w:iCs w:val="0"/>
          <w:vertAlign w:val="superscript"/>
        </w:rPr>
        <w:footnoteReference w:id="2"/>
      </w:r>
      <w:r>
        <w:rPr>
          <w:rtl w:val="0"/>
        </w:rPr>
        <w:t xml:space="preserve"> So begins Walton, clearing the ground with his first proposition, that Genesis One is </w:t>
      </w:r>
      <w:r>
        <w:rPr>
          <w:rtl w:val="0"/>
        </w:rPr>
        <w:t>“</w:t>
      </w:r>
      <w:r>
        <w:rPr>
          <w:rtl w:val="0"/>
        </w:rPr>
        <w:t>Ancient Cosmology</w:t>
      </w:r>
      <w:r>
        <w:rPr>
          <w:rtl w:val="0"/>
        </w:rPr>
        <w:t xml:space="preserve">” </w:t>
      </w:r>
      <w:r>
        <w:rPr>
          <w:rFonts w:ascii="Helvetica Neue" w:cs="Helvetica Neue" w:hAnsi="Helvetica Neue" w:eastAsia="Helvetica Neue"/>
          <w:b w:val="0"/>
          <w:bCs w:val="0"/>
          <w:i w:val="0"/>
          <w:iCs w:val="0"/>
          <w:vertAlign w:val="superscript"/>
        </w:rPr>
        <w:footnoteReference w:id="3"/>
      </w:r>
      <w:r>
        <w:rPr>
          <w:rtl w:val="0"/>
        </w:rPr>
        <w:t xml:space="preserve">.  He argues that, not just in Genesis but throughout scripture, God communicates into a particular culture and cosmology. This follows that there are no instances where God communicates a more advanced scientific understanding than would be held by the original audience. Building on this foundation, and by examining other ANE creation texts, he argues that ancient cosmology has a </w:t>
      </w:r>
      <w:r>
        <w:rPr>
          <w:i w:val="1"/>
          <w:iCs w:val="1"/>
          <w:rtl w:val="0"/>
          <w:lang w:val="en-US"/>
        </w:rPr>
        <w:t>functional ontology</w:t>
      </w:r>
      <w:r>
        <w:rPr>
          <w:rtl w:val="0"/>
        </w:rPr>
        <w:t xml:space="preserve"> as opposed to our modern </w:t>
      </w:r>
      <w:r>
        <w:rPr>
          <w:i w:val="1"/>
          <w:iCs w:val="1"/>
          <w:rtl w:val="0"/>
          <w:lang w:val="en-US"/>
        </w:rPr>
        <w:t xml:space="preserve">material ontology  </w:t>
      </w:r>
      <w:r>
        <w:rPr>
          <w:rtl w:val="0"/>
        </w:rPr>
        <w:t xml:space="preserve">(we are concerned with </w:t>
      </w:r>
      <w:r>
        <w:rPr>
          <w:i w:val="1"/>
          <w:iCs w:val="1"/>
          <w:rtl w:val="0"/>
          <w:lang w:val="en-US"/>
        </w:rPr>
        <w:t xml:space="preserve">how </w:t>
      </w:r>
      <w:r>
        <w:rPr>
          <w:rtl w:val="0"/>
        </w:rPr>
        <w:t xml:space="preserve">material things came into existence; an Ancient Israelite would rather focus on </w:t>
      </w:r>
      <w:r>
        <w:rPr>
          <w:i w:val="1"/>
          <w:iCs w:val="1"/>
          <w:rtl w:val="0"/>
          <w:lang w:val="en-US"/>
        </w:rPr>
        <w:t>why and for what purpose</w:t>
      </w:r>
      <w:r>
        <w:rPr>
          <w:rFonts w:ascii="Helvetica Neue" w:cs="Helvetica Neue" w:hAnsi="Helvetica Neue" w:eastAsia="Helvetica Neue"/>
          <w:b w:val="0"/>
          <w:bCs w:val="0"/>
          <w:i w:val="0"/>
          <w:iCs w:val="0"/>
          <w:vertAlign w:val="superscript"/>
        </w:rPr>
        <w:footnoteReference w:id="4"/>
      </w:r>
      <w:r>
        <w:rPr>
          <w:rtl w:val="0"/>
        </w:rPr>
        <w:t>). Thus Walton</w:t>
      </w:r>
      <w:r>
        <w:rPr>
          <w:rtl w:val="0"/>
        </w:rPr>
        <w:t>’</w:t>
      </w:r>
      <w:r>
        <w:rPr>
          <w:rtl w:val="0"/>
        </w:rPr>
        <w:t xml:space="preserve">s first major claim is that Genesis One is not concerned with material origins whatsoever, but rather describes God designating order and function to an already existing (disordered) material cosmos. His primary reasoning, other than similarities with other ANE texts, is that the Hebrew word </w:t>
      </w:r>
      <w:r>
        <w:rPr>
          <w:i w:val="1"/>
          <w:iCs w:val="1"/>
          <w:rtl w:val="0"/>
          <w:lang w:val="en-US"/>
        </w:rPr>
        <w:t>bara</w:t>
      </w:r>
      <w:r>
        <w:rPr>
          <w:rtl w:val="0"/>
        </w:rPr>
        <w:t xml:space="preserve"> throughout Genesis One (usually translated as </w:t>
      </w:r>
      <w:r>
        <w:rPr>
          <w:rtl w:val="0"/>
        </w:rPr>
        <w:t>“</w:t>
      </w:r>
      <w:r>
        <w:rPr>
          <w:rtl w:val="0"/>
        </w:rPr>
        <w:t>creates</w:t>
      </w:r>
      <w:r>
        <w:rPr>
          <w:rtl w:val="0"/>
        </w:rPr>
        <w:t>”</w:t>
      </w:r>
      <w:r>
        <w:rPr>
          <w:rtl w:val="0"/>
        </w:rPr>
        <w:t xml:space="preserve">) denotes </w:t>
      </w:r>
      <w:r>
        <w:rPr>
          <w:i w:val="1"/>
          <w:iCs w:val="1"/>
          <w:rtl w:val="0"/>
          <w:lang w:val="en-US"/>
        </w:rPr>
        <w:t>function</w:t>
      </w:r>
      <w:r>
        <w:rPr>
          <w:rtl w:val="0"/>
        </w:rPr>
        <w:t xml:space="preserve"> rather than </w:t>
      </w:r>
      <w:r>
        <w:rPr>
          <w:i w:val="1"/>
          <w:iCs w:val="1"/>
          <w:rtl w:val="0"/>
          <w:lang w:val="en-US"/>
        </w:rPr>
        <w:t>material existence</w:t>
      </w:r>
      <w:r>
        <w:rPr>
          <w:rtl w:val="0"/>
        </w:rPr>
        <w:t xml:space="preserve"> as can be seen in other occurrences throughout the Bible.</w:t>
      </w:r>
      <w:r>
        <w:rPr>
          <w:rFonts w:ascii="Helvetica Neue" w:cs="Helvetica Neue" w:hAnsi="Helvetica Neue" w:eastAsia="Helvetica Neue"/>
          <w:b w:val="0"/>
          <w:bCs w:val="0"/>
          <w:i w:val="0"/>
          <w:iCs w:val="0"/>
          <w:vertAlign w:val="superscript"/>
        </w:rPr>
        <w:footnoteReference w:id="5"/>
      </w:r>
    </w:p>
    <w:p>
      <w:pPr>
        <w:pStyle w:val="Body A"/>
      </w:pPr>
    </w:p>
    <w:p>
      <w:pPr>
        <w:pStyle w:val="Body A"/>
      </w:pPr>
      <w:r>
        <w:rPr>
          <w:rtl w:val="0"/>
        </w:rPr>
        <w:t>With this premise, Walton then moves through the six days of creation and argues that with each day God is not creating matter from nothing, but bringing order to a disordered cosmos. The first three days establish the functions of time, weather and food; days four to six establish functionaries within the now ordered system (sun and stars, animals, humans).</w:t>
      </w:r>
      <w:r>
        <w:rPr>
          <w:rFonts w:ascii="Helvetica Neue" w:cs="Helvetica Neue" w:hAnsi="Helvetica Neue" w:eastAsia="Helvetica Neue"/>
          <w:b w:val="0"/>
          <w:bCs w:val="0"/>
          <w:i w:val="0"/>
          <w:iCs w:val="0"/>
          <w:vertAlign w:val="superscript"/>
        </w:rPr>
        <w:footnoteReference w:id="6"/>
      </w:r>
      <w:r>
        <w:rPr>
          <w:rtl w:val="0"/>
        </w:rPr>
        <w:t xml:space="preserve"> </w:t>
      </w:r>
    </w:p>
    <w:p>
      <w:pPr>
        <w:pStyle w:val="Body A"/>
      </w:pPr>
    </w:p>
    <w:p>
      <w:pPr>
        <w:pStyle w:val="Body A"/>
        <w:rPr>
          <w:i w:val="1"/>
          <w:iCs w:val="1"/>
        </w:rPr>
      </w:pPr>
      <w:r>
        <w:rPr>
          <w:rtl w:val="0"/>
        </w:rPr>
        <w:t xml:space="preserve">Building upon the notion of a functional reading of the text, and again comparing to other ANE sources, Walton brings his second major claim, that </w:t>
      </w:r>
      <w:r>
        <w:rPr>
          <w:i w:val="1"/>
          <w:iCs w:val="1"/>
          <w:rtl w:val="0"/>
          <w:lang w:val="en-US"/>
        </w:rPr>
        <w:t>Genesis is a temple inauguration text.</w:t>
      </w:r>
      <w:r>
        <w:rPr>
          <w:rFonts w:ascii="Helvetica Neue" w:cs="Helvetica Neue" w:hAnsi="Helvetica Neue" w:eastAsia="Helvetica Neue"/>
          <w:b w:val="0"/>
          <w:bCs w:val="0"/>
          <w:i w:val="0"/>
          <w:iCs w:val="0"/>
          <w:vertAlign w:val="superscript"/>
        </w:rPr>
        <w:footnoteReference w:id="7"/>
      </w:r>
      <w:r>
        <w:rPr>
          <w:i w:val="1"/>
          <w:iCs w:val="1"/>
          <w:rtl w:val="0"/>
          <w:lang w:val="en-US"/>
        </w:rPr>
        <w:t xml:space="preserve"> </w:t>
      </w:r>
      <w:r>
        <w:rPr>
          <w:rtl w:val="0"/>
        </w:rPr>
        <w:t xml:space="preserve">He explores the ideas of ANE temple building and ritual, and notes that the number seven appears repeatedly in various texts  (cf 1Kings 6:37-38 where the building of the Jerusalem temple takes seven years), and, crucial for his thesis, that </w:t>
      </w:r>
      <w:r>
        <w:rPr>
          <w:i w:val="1"/>
          <w:iCs w:val="1"/>
          <w:rtl w:val="0"/>
          <w:lang w:val="en-US"/>
        </w:rPr>
        <w:t>the deity takes residence on his throne once the temple building is complete, filling it with his presence and establishing his rule.</w:t>
      </w:r>
    </w:p>
    <w:p>
      <w:pPr>
        <w:pStyle w:val="Body A"/>
        <w:rPr>
          <w:i w:val="1"/>
          <w:iCs w:val="1"/>
        </w:rPr>
      </w:pPr>
    </w:p>
    <w:p>
      <w:pPr>
        <w:pStyle w:val="Body A"/>
      </w:pPr>
      <w:r>
        <w:rPr>
          <w:rtl w:val="0"/>
        </w:rPr>
        <w:t>This, argues Walton, is what the sabbath is actually about: not God resting in the way we usually think of rest (a mere cessation from work), but rather God taking residence in his temple so that creation can now carry on with it</w:t>
      </w:r>
      <w:r>
        <w:rPr>
          <w:rtl w:val="0"/>
        </w:rPr>
        <w:t>’</w:t>
      </w:r>
      <w:r>
        <w:rPr>
          <w:rtl w:val="0"/>
        </w:rPr>
        <w:t>s purposes under his rule.</w:t>
      </w:r>
      <w:r>
        <w:rPr>
          <w:rFonts w:ascii="Helvetica Neue" w:cs="Helvetica Neue" w:hAnsi="Helvetica Neue" w:eastAsia="Helvetica Neue"/>
          <w:b w:val="0"/>
          <w:bCs w:val="0"/>
          <w:i w:val="0"/>
          <w:iCs w:val="0"/>
          <w:vertAlign w:val="superscript"/>
        </w:rPr>
        <w:footnoteReference w:id="8"/>
      </w:r>
      <w:r>
        <w:rPr>
          <w:rtl w:val="0"/>
        </w:rPr>
        <w:t xml:space="preserve"> Thus Walton draws together the themes of creation and temple, and argues for a reading of Genesis which ultimately concerns the construction of the entire creation as a cosmic sanctuary. </w:t>
      </w:r>
    </w:p>
    <w:p>
      <w:pPr>
        <w:pStyle w:val="Body A"/>
      </w:pPr>
    </w:p>
    <w:p>
      <w:pPr>
        <w:pStyle w:val="Body A"/>
      </w:pPr>
      <w:r>
        <w:rPr>
          <w:rtl w:val="0"/>
        </w:rPr>
        <w:t>The second part of the book builds upon this interpretation and moves to a critique of  contemporary theories of material origins. Essentially, if Waltons</w:t>
      </w:r>
      <w:r>
        <w:rPr>
          <w:rtl w:val="0"/>
        </w:rPr>
        <w:t xml:space="preserve">’ </w:t>
      </w:r>
      <w:r>
        <w:rPr>
          <w:rtl w:val="0"/>
        </w:rPr>
        <w:t>reading of the text is correct, then Genesis One has no part to play in scientific discourse regarding material origins as it does not comment on them.</w:t>
      </w:r>
    </w:p>
    <w:p>
      <w:pPr>
        <w:pStyle w:val="Body A"/>
      </w:pPr>
    </w:p>
    <w:p>
      <w:pPr>
        <w:pStyle w:val="Body A"/>
      </w:pPr>
      <w:r>
        <w:rPr>
          <w:rtl w:val="0"/>
        </w:rPr>
        <w:t xml:space="preserve">Creationism (both </w:t>
      </w:r>
      <w:r>
        <w:rPr>
          <w:rtl w:val="0"/>
        </w:rPr>
        <w:t>“</w:t>
      </w:r>
      <w:r>
        <w:rPr>
          <w:rtl w:val="0"/>
        </w:rPr>
        <w:t>Old Earth</w:t>
      </w:r>
      <w:r>
        <w:rPr>
          <w:rtl w:val="0"/>
        </w:rPr>
        <w:t xml:space="preserve">” </w:t>
      </w:r>
      <w:r>
        <w:rPr>
          <w:rtl w:val="0"/>
        </w:rPr>
        <w:t xml:space="preserve">and </w:t>
      </w:r>
      <w:r>
        <w:rPr>
          <w:rtl w:val="0"/>
        </w:rPr>
        <w:t>“</w:t>
      </w:r>
      <w:r>
        <w:rPr>
          <w:rtl w:val="0"/>
        </w:rPr>
        <w:t>Young Earth</w:t>
      </w:r>
      <w:r>
        <w:rPr>
          <w:rtl w:val="0"/>
        </w:rPr>
        <w:t xml:space="preserve">” </w:t>
      </w:r>
      <w:r>
        <w:rPr>
          <w:rtl w:val="0"/>
        </w:rPr>
        <w:t>creationism) is shown to be completely unsubstantiated by Walton</w:t>
      </w:r>
      <w:r>
        <w:rPr>
          <w:rtl w:val="0"/>
        </w:rPr>
        <w:t>’</w:t>
      </w:r>
      <w:r>
        <w:rPr>
          <w:rtl w:val="0"/>
        </w:rPr>
        <w:t xml:space="preserve">s reading, as his functional account of origins has nothing to say about material creation nor the time span involved. These theories, go </w:t>
      </w:r>
      <w:r>
        <w:rPr>
          <w:rtl w:val="0"/>
        </w:rPr>
        <w:t>“</w:t>
      </w:r>
      <w:r>
        <w:rPr>
          <w:rtl w:val="0"/>
        </w:rPr>
        <w:t>too far</w:t>
      </w:r>
      <w:r>
        <w:rPr>
          <w:rtl w:val="0"/>
        </w:rPr>
        <w:t xml:space="preserve">” </w:t>
      </w:r>
      <w:r>
        <w:rPr>
          <w:rtl w:val="0"/>
        </w:rPr>
        <w:t xml:space="preserve">in their handling of the text, whereas the </w:t>
      </w:r>
      <w:r>
        <w:rPr>
          <w:rtl w:val="0"/>
        </w:rPr>
        <w:t>“</w:t>
      </w:r>
      <w:r>
        <w:rPr>
          <w:rtl w:val="0"/>
        </w:rPr>
        <w:t>framework hypothesis</w:t>
      </w:r>
      <w:r>
        <w:rPr>
          <w:rtl w:val="0"/>
        </w:rPr>
        <w:t xml:space="preserve">” </w:t>
      </w:r>
      <w:r>
        <w:rPr>
          <w:rtl w:val="0"/>
        </w:rPr>
        <w:t>does not go far enough.</w:t>
      </w:r>
      <w:r>
        <w:rPr>
          <w:rFonts w:ascii="Helvetica Neue" w:cs="Helvetica Neue" w:hAnsi="Helvetica Neue" w:eastAsia="Helvetica Neue"/>
          <w:b w:val="0"/>
          <w:bCs w:val="0"/>
          <w:i w:val="0"/>
          <w:iCs w:val="0"/>
          <w:vertAlign w:val="superscript"/>
        </w:rPr>
        <w:footnoteReference w:id="9"/>
      </w:r>
      <w:r>
        <w:rPr>
          <w:rtl w:val="0"/>
        </w:rPr>
        <w:t xml:space="preserve"> This view, widely held among commentators and up until now my own view, notes that the structure of Genesis is poetic and clearly organised (with the first three days corresponding to the second three, the frequency of certain recurring words). Walton accepts this literary interpretation of the text, but holds that the original meaning goes beyond this to embrace his functional ontology/temple symbolism interpretation.</w:t>
      </w:r>
    </w:p>
    <w:p>
      <w:pPr>
        <w:pStyle w:val="Body A"/>
      </w:pPr>
    </w:p>
    <w:p>
      <w:pPr>
        <w:pStyle w:val="Body A"/>
      </w:pPr>
      <w:r>
        <w:rPr>
          <w:rtl w:val="0"/>
        </w:rPr>
        <w:t>The final chapters of the book sees Walton shift from biblical exegesis to a metaphysical discussion on the role of the sciences in contemporary education regarding the origins of the universe. Whilst Waltons</w:t>
      </w:r>
      <w:r>
        <w:rPr>
          <w:rtl w:val="0"/>
        </w:rPr>
        <w:t xml:space="preserve">’ </w:t>
      </w:r>
      <w:r>
        <w:rPr>
          <w:rtl w:val="0"/>
        </w:rPr>
        <w:t xml:space="preserve">tone remains humble throughout, he states in no uncertain terms that present day theories (including Neo-Darwinsim) should maintain </w:t>
      </w:r>
      <w:r>
        <w:rPr>
          <w:rtl w:val="0"/>
        </w:rPr>
        <w:t>“</w:t>
      </w:r>
      <w:r>
        <w:rPr>
          <w:rtl w:val="0"/>
        </w:rPr>
        <w:t>teleological neutrality</w:t>
      </w:r>
      <w:r>
        <w:rPr>
          <w:rtl w:val="0"/>
        </w:rPr>
        <w:t xml:space="preserve">” </w:t>
      </w:r>
      <w:r>
        <w:rPr>
          <w:rtl w:val="0"/>
        </w:rPr>
        <w:t xml:space="preserve">(that is, offer no comment on the possibility of a creative intelligence or a purpose to the universe), and similarly that Genesis One should not be </w:t>
      </w:r>
      <w:r>
        <w:rPr>
          <w:rtl w:val="0"/>
        </w:rPr>
        <w:t>“</w:t>
      </w:r>
      <w:r>
        <w:rPr>
          <w:rtl w:val="0"/>
        </w:rPr>
        <w:t>pressed into service</w:t>
      </w:r>
      <w:r>
        <w:rPr>
          <w:rtl w:val="0"/>
        </w:rPr>
        <w:t xml:space="preserve">” </w:t>
      </w:r>
      <w:r>
        <w:rPr>
          <w:rtl w:val="0"/>
        </w:rPr>
        <w:t>of public education.</w:t>
      </w:r>
      <w:r>
        <w:rPr>
          <w:rFonts w:ascii="Helvetica Neue" w:cs="Helvetica Neue" w:hAnsi="Helvetica Neue" w:eastAsia="Helvetica Neue"/>
          <w:b w:val="0"/>
          <w:bCs w:val="0"/>
          <w:i w:val="0"/>
          <w:iCs w:val="0"/>
          <w:vertAlign w:val="superscript"/>
        </w:rPr>
        <w:footnoteReference w:id="10"/>
      </w:r>
      <w:r>
        <w:rPr>
          <w:rtl w:val="0"/>
        </w:rPr>
        <w:t xml:space="preserve"> Given the pains he takes to construct his argument (including a proposed manifesto for what should and shouldn</w:t>
      </w:r>
      <w:r>
        <w:rPr>
          <w:rtl w:val="0"/>
        </w:rPr>
        <w:t>’</w:t>
      </w:r>
      <w:r>
        <w:rPr>
          <w:rtl w:val="0"/>
        </w:rPr>
        <w:t>t be taught in science classes) one wonders if this has been an area of personal conflict in Walton</w:t>
      </w:r>
      <w:r>
        <w:rPr>
          <w:rtl w:val="0"/>
        </w:rPr>
        <w:t>’</w:t>
      </w:r>
      <w:r>
        <w:rPr>
          <w:rtl w:val="0"/>
        </w:rPr>
        <w:t xml:space="preserve">s own faith or professional life. Richard Dawkins is never mentioned, yet it is hard not to read the final chapters as a direct attack on the rhetoric of New Atheism. </w:t>
      </w:r>
    </w:p>
    <w:p>
      <w:pPr>
        <w:pStyle w:val="Body A"/>
      </w:pPr>
    </w:p>
    <w:p>
      <w:pPr>
        <w:pStyle w:val="Body A"/>
      </w:pPr>
      <w:r>
        <w:rPr>
          <w:rtl w:val="0"/>
        </w:rPr>
        <w:t>The Lost World of Genesis One certainly articulates a fresh reading of a much studied text, though not all Walton</w:t>
      </w:r>
      <w:r>
        <w:rPr>
          <w:rtl w:val="0"/>
        </w:rPr>
        <w:t>’</w:t>
      </w:r>
      <w:r>
        <w:rPr>
          <w:rtl w:val="0"/>
        </w:rPr>
        <w:t>s ideas are new. I was intrigued he made no reference to British Old Testament scholar Margaret Barker, who has built an entire theological framework on the structure of the Jerusalem Temple, including the many resonances with Genesis One.</w:t>
      </w:r>
      <w:r>
        <w:rPr>
          <w:rFonts w:ascii="Helvetica Neue" w:cs="Helvetica Neue" w:hAnsi="Helvetica Neue" w:eastAsia="Helvetica Neue"/>
          <w:b w:val="0"/>
          <w:bCs w:val="0"/>
          <w:i w:val="0"/>
          <w:iCs w:val="0"/>
          <w:vertAlign w:val="superscript"/>
        </w:rPr>
        <w:footnoteReference w:id="11"/>
      </w:r>
      <w:r>
        <w:rPr>
          <w:rtl w:val="0"/>
        </w:rPr>
        <w:t xml:space="preserve"> G.K. Beale (whom Walton references) has also written on the role of temples throughout the scriptures, and the purpose of God being to fill all of creation as his cosmic abode.</w:t>
      </w:r>
      <w:r>
        <w:rPr>
          <w:rFonts w:ascii="Helvetica Neue" w:cs="Helvetica Neue" w:hAnsi="Helvetica Neue" w:eastAsia="Helvetica Neue"/>
          <w:b w:val="0"/>
          <w:bCs w:val="0"/>
          <w:i w:val="0"/>
          <w:iCs w:val="0"/>
          <w:vertAlign w:val="superscript"/>
        </w:rPr>
        <w:footnoteReference w:id="12"/>
      </w:r>
      <w:r>
        <w:rPr>
          <w:rtl w:val="0"/>
        </w:rPr>
        <w:t xml:space="preserve"> For some reason these themes appear to have remained on the fringe of theological study.</w:t>
      </w:r>
      <w:r>
        <w:rPr>
          <w:rFonts w:ascii="Helvetica Neue" w:cs="Helvetica Neue" w:hAnsi="Helvetica Neue" w:eastAsia="Helvetica Neue"/>
          <w:b w:val="0"/>
          <w:bCs w:val="0"/>
          <w:i w:val="0"/>
          <w:iCs w:val="0"/>
          <w:vertAlign w:val="superscript"/>
        </w:rPr>
        <w:footnoteReference w:id="13"/>
      </w:r>
    </w:p>
    <w:p>
      <w:pPr>
        <w:pStyle w:val="Body A"/>
      </w:pPr>
    </w:p>
    <w:p>
      <w:pPr>
        <w:pStyle w:val="Body A"/>
      </w:pPr>
      <w:r>
        <w:rPr>
          <w:rtl w:val="0"/>
        </w:rPr>
        <w:t>I found Walton</w:t>
      </w:r>
      <w:r>
        <w:rPr>
          <w:rtl w:val="0"/>
        </w:rPr>
        <w:t>’</w:t>
      </w:r>
      <w:r>
        <w:rPr>
          <w:rtl w:val="0"/>
        </w:rPr>
        <w:t xml:space="preserve">s overall thesis compelling and his argument, built up as it is over seventeen successive </w:t>
      </w:r>
      <w:r>
        <w:rPr>
          <w:rtl w:val="0"/>
        </w:rPr>
        <w:t>“</w:t>
      </w:r>
      <w:r>
        <w:rPr>
          <w:rtl w:val="0"/>
        </w:rPr>
        <w:t>propositions</w:t>
      </w:r>
      <w:r>
        <w:rPr>
          <w:rtl w:val="0"/>
        </w:rPr>
        <w:t>”</w:t>
      </w:r>
      <w:r>
        <w:rPr>
          <w:rtl w:val="0"/>
        </w:rPr>
        <w:t>, erudite and logical.  Yet I feel he weakened his own position at certain points. He critiques the work of Jurgen Moltmann for blurring the distinction between the creation in Genesis One with other acts of God in history,</w:t>
      </w:r>
      <w:r>
        <w:rPr>
          <w:rFonts w:ascii="Helvetica Neue" w:cs="Helvetica Neue" w:hAnsi="Helvetica Neue" w:eastAsia="Helvetica Neue"/>
          <w:b w:val="0"/>
          <w:bCs w:val="0"/>
          <w:i w:val="0"/>
          <w:iCs w:val="0"/>
          <w:vertAlign w:val="superscript"/>
        </w:rPr>
        <w:footnoteReference w:id="14"/>
      </w:r>
      <w:r>
        <w:rPr>
          <w:rtl w:val="0"/>
        </w:rPr>
        <w:t xml:space="preserve"> then later argues himself for a theology which sees God</w:t>
      </w:r>
      <w:r>
        <w:rPr>
          <w:rtl w:val="0"/>
        </w:rPr>
        <w:t>’</w:t>
      </w:r>
      <w:r>
        <w:rPr>
          <w:rtl w:val="0"/>
        </w:rPr>
        <w:t>s creative work as an ongoing process throughout time,</w:t>
      </w:r>
      <w:r>
        <w:rPr>
          <w:rFonts w:ascii="Helvetica Neue" w:cs="Helvetica Neue" w:hAnsi="Helvetica Neue" w:eastAsia="Helvetica Neue"/>
          <w:b w:val="0"/>
          <w:bCs w:val="0"/>
          <w:i w:val="0"/>
          <w:iCs w:val="0"/>
          <w:vertAlign w:val="superscript"/>
        </w:rPr>
        <w:footnoteReference w:id="15"/>
      </w:r>
      <w:r>
        <w:rPr>
          <w:rtl w:val="0"/>
        </w:rPr>
        <w:t xml:space="preserve"> the very point Moltmann is making.</w:t>
      </w:r>
    </w:p>
    <w:p>
      <w:pPr>
        <w:pStyle w:val="Body A"/>
      </w:pPr>
    </w:p>
    <w:p>
      <w:pPr>
        <w:pStyle w:val="Body A"/>
      </w:pPr>
      <w:r>
        <w:rPr>
          <w:rtl w:val="0"/>
        </w:rPr>
        <w:t xml:space="preserve">He also tries to envisage what his functionally orientated picture of the creation story would </w:t>
      </w:r>
      <w:r>
        <w:rPr>
          <w:rtl w:val="0"/>
        </w:rPr>
        <w:t>“</w:t>
      </w:r>
      <w:r>
        <w:rPr>
          <w:rtl w:val="0"/>
        </w:rPr>
        <w:t>look</w:t>
      </w:r>
      <w:r>
        <w:rPr>
          <w:rtl w:val="0"/>
        </w:rPr>
        <w:t xml:space="preserve">” </w:t>
      </w:r>
      <w:r>
        <w:rPr>
          <w:rtl w:val="0"/>
        </w:rPr>
        <w:t>like in real life.</w:t>
      </w:r>
      <w:r>
        <w:rPr>
          <w:rFonts w:ascii="Helvetica Neue" w:cs="Helvetica Neue" w:hAnsi="Helvetica Neue" w:eastAsia="Helvetica Neue"/>
          <w:b w:val="0"/>
          <w:bCs w:val="0"/>
          <w:i w:val="0"/>
          <w:iCs w:val="0"/>
          <w:vertAlign w:val="superscript"/>
        </w:rPr>
        <w:footnoteReference w:id="16"/>
      </w:r>
      <w:r>
        <w:rPr>
          <w:rtl w:val="0"/>
        </w:rPr>
        <w:t xml:space="preserve"> Not only did I find his analogy somewhat inadequate (he likens the cosmos pre- and post-genesis one to a college campus before and after term starts), but on Walton</w:t>
      </w:r>
      <w:r>
        <w:rPr>
          <w:rtl w:val="0"/>
        </w:rPr>
        <w:t>’</w:t>
      </w:r>
      <w:r>
        <w:rPr>
          <w:rtl w:val="0"/>
        </w:rPr>
        <w:t>s own terms, it is completely unnecessary. Surely if Genesis One is about functional rather than material origins, why the need to describe how it may have looked in material terms?</w:t>
      </w:r>
    </w:p>
    <w:p>
      <w:pPr>
        <w:pStyle w:val="Body A"/>
      </w:pPr>
    </w:p>
    <w:p>
      <w:pPr>
        <w:pStyle w:val="Body A"/>
      </w:pPr>
      <w:r>
        <w:rPr>
          <w:rtl w:val="0"/>
        </w:rPr>
        <w:t>But the major flaw was his handling of how death, sin and the Fall go together with Genesis One.</w:t>
      </w:r>
      <w:r>
        <w:rPr>
          <w:rFonts w:ascii="Helvetica Neue" w:cs="Helvetica Neue" w:hAnsi="Helvetica Neue" w:eastAsia="Helvetica Neue"/>
          <w:b w:val="0"/>
          <w:bCs w:val="0"/>
          <w:i w:val="0"/>
          <w:iCs w:val="0"/>
          <w:vertAlign w:val="superscript"/>
        </w:rPr>
        <w:footnoteReference w:id="17"/>
      </w:r>
      <w:r>
        <w:rPr>
          <w:rtl w:val="0"/>
        </w:rPr>
        <w:t xml:space="preserve"> Given the weighty nature of such themes they barely get a mention (just over one page) and he appears to jump straight into a traditional evangelical understanding of </w:t>
      </w:r>
      <w:r>
        <w:rPr>
          <w:rtl w:val="0"/>
        </w:rPr>
        <w:t>“</w:t>
      </w:r>
      <w:r>
        <w:rPr>
          <w:rtl w:val="0"/>
        </w:rPr>
        <w:t>the Fall</w:t>
      </w:r>
      <w:r>
        <w:rPr>
          <w:rtl w:val="0"/>
        </w:rPr>
        <w:t xml:space="preserve">” </w:t>
      </w:r>
      <w:r>
        <w:rPr>
          <w:rtl w:val="0"/>
        </w:rPr>
        <w:t>(a term never mentioned in Genesis) and tries, very briefly, to reconcile this with his thesis. Whilst these are certainly important topics and it would be fascinating to work through how Walton</w:t>
      </w:r>
      <w:r>
        <w:rPr>
          <w:rtl w:val="0"/>
        </w:rPr>
        <w:t>’</w:t>
      </w:r>
      <w:r>
        <w:rPr>
          <w:rtl w:val="0"/>
        </w:rPr>
        <w:t xml:space="preserve">s reading of Genesis One impacts upon them, it would have been frankly advantageous to leave them for another book. </w:t>
      </w:r>
    </w:p>
    <w:p>
      <w:pPr>
        <w:pStyle w:val="Body A"/>
      </w:pPr>
    </w:p>
    <w:p>
      <w:pPr>
        <w:pStyle w:val="Body A"/>
      </w:pPr>
      <w:r>
        <w:rPr>
          <w:rtl w:val="0"/>
        </w:rPr>
        <w:t xml:space="preserve">In summary I found The Lost World a fascinating and stimulating read. I commend Walton for introducing the reader to ANE concepts and shedding fresh light on Genesis One. His interpretation, though controversial, allows room for all kinds of debate regarding material origins of the universe, and challenges us to rethink what a </w:t>
      </w:r>
      <w:r>
        <w:rPr>
          <w:rtl w:val="0"/>
        </w:rPr>
        <w:t>“</w:t>
      </w:r>
      <w:r>
        <w:rPr>
          <w:rtl w:val="0"/>
        </w:rPr>
        <w:t>literal</w:t>
      </w:r>
      <w:r>
        <w:rPr>
          <w:rtl w:val="0"/>
        </w:rPr>
        <w:t xml:space="preserve">” </w:t>
      </w:r>
      <w:r>
        <w:rPr>
          <w:rtl w:val="0"/>
        </w:rPr>
        <w:t>reading of an ancient text entails.</w:t>
      </w:r>
    </w:p>
    <w:p>
      <w:pPr>
        <w:pStyle w:val="Body A"/>
      </w:pPr>
    </w:p>
    <w:p>
      <w:pPr>
        <w:pStyle w:val="Body A"/>
      </w:pPr>
    </w:p>
    <w:p>
      <w:pPr>
        <w:pStyle w:val="Body A"/>
      </w:pPr>
    </w:p>
    <w:p>
      <w:pPr>
        <w:pStyle w:val="Body A"/>
        <w:rPr>
          <w:b w:val="1"/>
          <w:bCs w:val="1"/>
        </w:rPr>
      </w:pPr>
      <w:r>
        <w:rPr>
          <w:b w:val="1"/>
          <w:bCs w:val="1"/>
          <w:rtl w:val="0"/>
          <w:lang w:val="en-US"/>
        </w:rPr>
        <w:t>Bibliography</w:t>
      </w:r>
    </w:p>
    <w:p>
      <w:pPr>
        <w:pStyle w:val="Body A"/>
        <w:rPr>
          <w:b w:val="1"/>
          <w:bCs w:val="1"/>
        </w:rPr>
      </w:pPr>
    </w:p>
    <w:p>
      <w:pPr>
        <w:pStyle w:val="Body A"/>
      </w:pPr>
      <w:r>
        <w:rPr>
          <w:rtl w:val="0"/>
        </w:rPr>
        <w:t xml:space="preserve">Barker, M. 2004. </w:t>
      </w:r>
      <w:r>
        <w:rPr>
          <w:i w:val="1"/>
          <w:iCs w:val="1"/>
          <w:rtl w:val="0"/>
          <w:lang w:val="en-US"/>
        </w:rPr>
        <w:t xml:space="preserve">Temple Theology: An Introduction. </w:t>
      </w:r>
      <w:r>
        <w:rPr>
          <w:rtl w:val="0"/>
        </w:rPr>
        <w:t>London: SPCK.</w:t>
      </w:r>
    </w:p>
    <w:p>
      <w:pPr>
        <w:pStyle w:val="Body A"/>
      </w:pPr>
      <w:r>
        <w:rPr>
          <w:rtl w:val="0"/>
        </w:rPr>
        <w:t xml:space="preserve">Barker, M. 2010. </w:t>
      </w:r>
      <w:r>
        <w:rPr>
          <w:i w:val="1"/>
          <w:iCs w:val="1"/>
          <w:rtl w:val="0"/>
          <w:lang w:val="en-US"/>
        </w:rPr>
        <w:t xml:space="preserve">Creation: A Biblical Vision For The Environment. </w:t>
      </w:r>
      <w:r>
        <w:rPr>
          <w:rtl w:val="0"/>
        </w:rPr>
        <w:t>London: T&amp;T Clark.</w:t>
      </w:r>
    </w:p>
    <w:p>
      <w:pPr>
        <w:pStyle w:val="Body A"/>
      </w:pPr>
      <w:r>
        <w:rPr>
          <w:rtl w:val="0"/>
          <w:lang w:val="it-IT"/>
        </w:rPr>
        <w:t xml:space="preserve">Beale, G.K. </w:t>
      </w:r>
      <w:r>
        <w:rPr>
          <w:rtl w:val="0"/>
          <w:lang w:val="en-US"/>
        </w:rPr>
        <w:t xml:space="preserve">2004. </w:t>
      </w:r>
      <w:r>
        <w:rPr>
          <w:i w:val="1"/>
          <w:iCs w:val="1"/>
          <w:rtl w:val="0"/>
          <w:lang w:val="en-US"/>
        </w:rPr>
        <w:t>The Temple and the Church</w:t>
      </w:r>
      <w:r>
        <w:rPr>
          <w:i w:val="1"/>
          <w:iCs w:val="1"/>
          <w:rtl w:val="0"/>
          <w:lang w:val="en-US"/>
        </w:rPr>
        <w:t>’</w:t>
      </w:r>
      <w:r>
        <w:rPr>
          <w:i w:val="1"/>
          <w:iCs w:val="1"/>
          <w:rtl w:val="0"/>
          <w:lang w:val="fr-FR"/>
        </w:rPr>
        <w:t>s Mission</w:t>
      </w:r>
      <w:r>
        <w:rPr>
          <w:rtl w:val="0"/>
          <w:lang w:val="en-US"/>
        </w:rPr>
        <w:t>.Downer</w:t>
      </w:r>
      <w:r>
        <w:rPr>
          <w:rtl w:val="0"/>
          <w:lang w:val="en-US"/>
        </w:rPr>
        <w:t>’</w:t>
      </w:r>
      <w:r>
        <w:rPr>
          <w:rtl w:val="0"/>
          <w:lang w:val="en-US"/>
        </w:rPr>
        <w:t xml:space="preserve">s Grove: IVP Academic. </w:t>
      </w:r>
    </w:p>
    <w:p>
      <w:pPr>
        <w:pStyle w:val="Body A"/>
      </w:pPr>
      <w:r>
        <w:rPr>
          <w:rtl w:val="0"/>
        </w:rPr>
        <w:t xml:space="preserve">Walton, J. 2009. </w:t>
      </w:r>
      <w:r>
        <w:rPr>
          <w:i w:val="1"/>
          <w:iCs w:val="1"/>
          <w:rtl w:val="0"/>
          <w:lang w:val="en-US"/>
        </w:rPr>
        <w:t xml:space="preserve">The Lost World Of Genesis One. </w:t>
      </w:r>
      <w:r>
        <w:rPr>
          <w:rtl w:val="0"/>
        </w:rPr>
        <w:t xml:space="preserve">Illinois: IVP. </w:t>
      </w:r>
    </w:p>
    <w:p>
      <w:pPr>
        <w:pStyle w:val="Body A"/>
      </w:pPr>
      <w:r>
        <w:rPr>
          <w:rtl w:val="0"/>
          <w:lang w:val="en-US"/>
        </w:rPr>
        <w:t xml:space="preserve">Walton, J. 2014. </w:t>
      </w:r>
      <w:r>
        <w:rPr>
          <w:i w:val="1"/>
          <w:iCs w:val="1"/>
          <w:rtl w:val="0"/>
          <w:lang w:val="en-US"/>
        </w:rPr>
        <w:t xml:space="preserve">The Lost World Of Scripture. </w:t>
      </w:r>
      <w:r>
        <w:rPr>
          <w:rtl w:val="0"/>
          <w:lang w:val="en-US"/>
        </w:rPr>
        <w:t xml:space="preserve">Illinois: IVP. </w:t>
      </w:r>
    </w:p>
    <w:p>
      <w:pPr>
        <w:pStyle w:val="Body A"/>
      </w:pPr>
      <w:r>
        <w:rPr>
          <w:rtl w:val="0"/>
          <w:lang w:val="en-US"/>
        </w:rPr>
        <w:t xml:space="preserve">Walton, J. 2015. </w:t>
      </w:r>
      <w:r>
        <w:rPr>
          <w:i w:val="1"/>
          <w:iCs w:val="1"/>
          <w:rtl w:val="0"/>
          <w:lang w:val="en-US"/>
        </w:rPr>
        <w:t>The Lost World Adam Of And Eve.</w:t>
      </w:r>
      <w:r>
        <w:rPr>
          <w:rtl w:val="0"/>
          <w:lang w:val="en-US"/>
        </w:rPr>
        <w:t xml:space="preserve"> Illinois: IVP</w:t>
      </w:r>
    </w:p>
    <w:p>
      <w:pPr>
        <w:pStyle w:val="Body A"/>
      </w:pPr>
      <w:r>
        <w:rPr>
          <w:rtl w:val="0"/>
          <w:lang w:val="en-US"/>
        </w:rPr>
        <w:t xml:space="preserve">Walton, J. 2017.  </w:t>
      </w:r>
      <w:r>
        <w:rPr>
          <w:i w:val="1"/>
          <w:iCs w:val="1"/>
          <w:rtl w:val="0"/>
          <w:lang w:val="en-US"/>
        </w:rPr>
        <w:t xml:space="preserve">The Lost World Of The Flood. </w:t>
      </w:r>
      <w:r>
        <w:rPr>
          <w:rtl w:val="0"/>
          <w:lang w:val="en-US"/>
        </w:rPr>
        <w:t>Illinois: IVP</w:t>
      </w:r>
    </w:p>
    <w:p>
      <w:pPr>
        <w:pStyle w:val="Body A"/>
        <w:rPr>
          <w:b w:val="1"/>
          <w:bCs w:val="1"/>
        </w:rPr>
      </w:pPr>
      <w:r>
        <w:rPr>
          <w:rtl w:val="0"/>
          <w:lang w:val="en-US"/>
        </w:rPr>
        <w:t xml:space="preserve">Wright, N.T. 2013. </w:t>
      </w:r>
      <w:r>
        <w:rPr>
          <w:i w:val="1"/>
          <w:iCs w:val="1"/>
          <w:rtl w:val="0"/>
          <w:lang w:val="en-US"/>
        </w:rPr>
        <w:t xml:space="preserve">Paul And The Faithfulness Of God. </w:t>
      </w:r>
      <w:r>
        <w:rPr>
          <w:rtl w:val="0"/>
          <w:lang w:val="en-US"/>
        </w:rPr>
        <w:t>London: SPCK.</w:t>
      </w:r>
    </w:p>
    <w:p>
      <w:pPr>
        <w:pStyle w:val="Body A"/>
      </w:pPr>
    </w:p>
    <w:p>
      <w:pPr>
        <w:pStyle w:val="Body A"/>
        <w:rPr>
          <w:i w:val="1"/>
          <w:iCs w:val="1"/>
        </w:rPr>
      </w:pPr>
    </w:p>
    <w:p>
      <w:pPr>
        <w:pStyle w:val="Body A"/>
      </w:pPr>
      <w:r>
        <w:rPr>
          <w:i w:val="1"/>
          <w:iCs w:val="1"/>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Walton, J. </w:t>
      </w:r>
      <w:r>
        <w:rPr>
          <w:rFonts w:cs="Arial Unicode MS" w:eastAsia="Arial Unicode MS"/>
          <w:i w:val="1"/>
          <w:iCs w:val="1"/>
          <w:rtl w:val="0"/>
          <w:lang w:val="en-US"/>
        </w:rPr>
        <w:t xml:space="preserve">The Lost World Of Genesis One </w:t>
      </w:r>
      <w:r>
        <w:rPr>
          <w:rFonts w:cs="Arial Unicode MS" w:eastAsia="Arial Unicode MS"/>
          <w:rtl w:val="0"/>
          <w:lang w:val="en-US"/>
        </w:rPr>
        <w:t xml:space="preserve">(Illinois: IVP, 2009); </w:t>
      </w:r>
      <w:r>
        <w:rPr>
          <w:rFonts w:cs="Arial Unicode MS" w:eastAsia="Arial Unicode MS"/>
          <w:i w:val="1"/>
          <w:iCs w:val="1"/>
          <w:rtl w:val="0"/>
          <w:lang w:val="en-US"/>
        </w:rPr>
        <w:t xml:space="preserve">The Lost World Of Scripture </w:t>
      </w:r>
      <w:r>
        <w:rPr>
          <w:rFonts w:cs="Arial Unicode MS" w:eastAsia="Arial Unicode MS"/>
          <w:rtl w:val="0"/>
          <w:lang w:val="en-US"/>
        </w:rPr>
        <w:t xml:space="preserve">(Illinois: IVP, 2014); </w:t>
      </w:r>
      <w:r>
        <w:rPr>
          <w:rFonts w:cs="Arial Unicode MS" w:eastAsia="Arial Unicode MS"/>
          <w:i w:val="1"/>
          <w:iCs w:val="1"/>
          <w:rtl w:val="0"/>
          <w:lang w:val="en-US"/>
        </w:rPr>
        <w:t>The Lost World Adam Of And Eve</w:t>
      </w:r>
      <w:r>
        <w:rPr>
          <w:rFonts w:cs="Arial Unicode MS" w:eastAsia="Arial Unicode MS"/>
          <w:rtl w:val="0"/>
          <w:lang w:val="en-US"/>
        </w:rPr>
        <w:t xml:space="preserve"> (Illinois: IVP, 2015); </w:t>
      </w:r>
      <w:r>
        <w:rPr>
          <w:rFonts w:cs="Arial Unicode MS" w:eastAsia="Arial Unicode MS"/>
          <w:i w:val="1"/>
          <w:iCs w:val="1"/>
          <w:rtl w:val="0"/>
          <w:lang w:val="en-US"/>
        </w:rPr>
        <w:t xml:space="preserve">The Lost World Of The Flood </w:t>
      </w:r>
      <w:r>
        <w:rPr>
          <w:rFonts w:cs="Arial Unicode MS" w:eastAsia="Arial Unicode MS"/>
          <w:rtl w:val="0"/>
          <w:lang w:val="en-US"/>
        </w:rPr>
        <w:t>(Illinois: IVP, 2017)</w:t>
      </w:r>
    </w:p>
  </w:footnote>
  <w:footnote w:id="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Walton, </w:t>
      </w:r>
      <w:r>
        <w:rPr>
          <w:rFonts w:cs="Arial Unicode MS" w:eastAsia="Arial Unicode MS"/>
          <w:i w:val="1"/>
          <w:iCs w:val="1"/>
          <w:rtl w:val="0"/>
          <w:lang w:val="en-US"/>
        </w:rPr>
        <w:t>Genesis One</w:t>
      </w:r>
      <w:r>
        <w:rPr>
          <w:rFonts w:cs="Arial Unicode MS" w:eastAsia="Arial Unicode MS"/>
          <w:rtl w:val="0"/>
          <w:lang w:val="en-US"/>
        </w:rPr>
        <w:t>, p.7.</w:t>
      </w:r>
    </w:p>
  </w:footnote>
  <w:footnote w:id="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14.</w:t>
      </w:r>
    </w:p>
  </w:footnote>
  <w:footnote w:id="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pp. 22-35.</w:t>
      </w:r>
    </w:p>
  </w:footnote>
  <w:footnote w:id="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pp. 40-41.</w:t>
      </w:r>
    </w:p>
  </w:footnote>
  <w:footnote w:id="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pp. 53-70.</w:t>
      </w:r>
    </w:p>
  </w:footnote>
  <w:footnote w:id="7">
    <w:p>
      <w:pPr>
        <w:pStyle w:val="Footnote"/>
      </w:pPr>
      <w:r>
        <w:rPr>
          <w:vertAlign w:val="superscript"/>
        </w:rPr>
        <w:footnoteRef/>
      </w:r>
      <w:r>
        <w:rPr>
          <w:rFonts w:cs="Arial Unicode MS" w:eastAsia="Arial Unicode MS"/>
          <w:rtl w:val="0"/>
          <w:lang w:val="en-US"/>
        </w:rPr>
        <w:t xml:space="preserve"> Ibid. pp. 76-91.</w:t>
      </w:r>
    </w:p>
  </w:footnote>
  <w:footnote w:id="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pp. 71-76.</w:t>
      </w:r>
    </w:p>
  </w:footnote>
  <w:footnote w:id="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pp. 107-111.</w:t>
      </w:r>
    </w:p>
  </w:footnote>
  <w:footnote w:id="10">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160.</w:t>
      </w:r>
    </w:p>
  </w:footnote>
  <w:footnote w:id="11">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Barker, M. </w:t>
      </w:r>
      <w:r>
        <w:rPr>
          <w:rFonts w:cs="Arial Unicode MS" w:eastAsia="Arial Unicode MS"/>
          <w:i w:val="1"/>
          <w:iCs w:val="1"/>
          <w:rtl w:val="0"/>
          <w:lang w:val="en-US"/>
        </w:rPr>
        <w:t xml:space="preserve">Temple Theology: An Introduction </w:t>
      </w:r>
      <w:r>
        <w:rPr>
          <w:rFonts w:cs="Arial Unicode MS" w:eastAsia="Arial Unicode MS"/>
          <w:rtl w:val="0"/>
          <w:lang w:val="en-US"/>
        </w:rPr>
        <w:t xml:space="preserve">(London: SPCK, 2004); </w:t>
      </w:r>
      <w:r>
        <w:rPr>
          <w:rFonts w:cs="Arial Unicode MS" w:eastAsia="Arial Unicode MS"/>
          <w:i w:val="1"/>
          <w:iCs w:val="1"/>
          <w:rtl w:val="0"/>
          <w:lang w:val="en-US"/>
        </w:rPr>
        <w:t xml:space="preserve">Creation: A Biblical Vision For The Environment. </w:t>
      </w:r>
      <w:r>
        <w:rPr>
          <w:rFonts w:cs="Arial Unicode MS" w:eastAsia="Arial Unicode MS"/>
          <w:rtl w:val="0"/>
          <w:lang w:val="en-US"/>
        </w:rPr>
        <w:t xml:space="preserve">(London: T&amp;T Clark, 2010). </w:t>
      </w:r>
    </w:p>
  </w:footnote>
  <w:footnote w:id="12">
    <w:p>
      <w:pPr>
        <w:pStyle w:val="Footnote"/>
      </w:pPr>
      <w:r>
        <w:rPr>
          <w:vertAlign w:val="superscript"/>
        </w:rPr>
        <w:footnoteRef/>
      </w:r>
      <w:r>
        <w:rPr>
          <w:rFonts w:cs="Arial Unicode MS" w:eastAsia="Arial Unicode MS"/>
          <w:rtl w:val="0"/>
          <w:lang w:val="en-US"/>
        </w:rPr>
        <w:t xml:space="preserve"> </w:t>
      </w:r>
      <w:r>
        <w:rPr>
          <w:rFonts w:cs="Arial Unicode MS" w:eastAsia="Arial Unicode MS"/>
          <w:rtl w:val="0"/>
          <w:lang w:val="it-IT"/>
        </w:rPr>
        <w:t xml:space="preserve">Beale, G.K. </w:t>
      </w:r>
      <w:r>
        <w:rPr>
          <w:rFonts w:cs="Arial Unicode MS" w:eastAsia="Arial Unicode MS"/>
          <w:i w:val="1"/>
          <w:iCs w:val="1"/>
          <w:rtl w:val="0"/>
          <w:lang w:val="en-US"/>
        </w:rPr>
        <w:t>The Temple And The Church</w:t>
      </w:r>
      <w:r>
        <w:rPr>
          <w:rFonts w:cs="Arial Unicode MS" w:eastAsia="Arial Unicode MS" w:hint="default"/>
          <w:i w:val="1"/>
          <w:iCs w:val="1"/>
          <w:rtl w:val="0"/>
        </w:rPr>
        <w:t>’</w:t>
      </w:r>
      <w:r>
        <w:rPr>
          <w:rFonts w:cs="Arial Unicode MS" w:eastAsia="Arial Unicode MS"/>
          <w:i w:val="1"/>
          <w:iCs w:val="1"/>
          <w:rtl w:val="0"/>
          <w:lang w:val="fr-FR"/>
        </w:rPr>
        <w:t>s Mission</w:t>
      </w:r>
      <w:r>
        <w:rPr>
          <w:rFonts w:cs="Arial Unicode MS" w:eastAsia="Arial Unicode MS"/>
          <w:rtl w:val="0"/>
          <w:lang w:val="en-US"/>
        </w:rPr>
        <w:t>. (Downer</w:t>
      </w:r>
      <w:r>
        <w:rPr>
          <w:rFonts w:cs="Arial Unicode MS" w:eastAsia="Arial Unicode MS" w:hint="default"/>
          <w:rtl w:val="0"/>
        </w:rPr>
        <w:t>’</w:t>
      </w:r>
      <w:r>
        <w:rPr>
          <w:rFonts w:cs="Arial Unicode MS" w:eastAsia="Arial Unicode MS"/>
          <w:rtl w:val="0"/>
          <w:lang w:val="en-US"/>
        </w:rPr>
        <w:t>s Grove: IVP Academic, 2004</w:t>
      </w:r>
      <w:r>
        <w:rPr>
          <w:rFonts w:cs="Arial Unicode MS" w:eastAsia="Arial Unicode MS"/>
          <w:rtl w:val="0"/>
        </w:rPr>
        <w:t xml:space="preserve">). </w:t>
      </w:r>
    </w:p>
  </w:footnote>
  <w:footnote w:id="1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To quote Tom Wright: </w:t>
      </w:r>
      <w:r>
        <w:rPr>
          <w:rFonts w:cs="Arial Unicode MS" w:eastAsia="Arial Unicode MS" w:hint="default"/>
          <w:rtl w:val="0"/>
          <w:lang w:val="en-US"/>
        </w:rPr>
        <w:t>“</w:t>
      </w:r>
      <w:r>
        <w:rPr>
          <w:rFonts w:cs="Arial Unicode MS" w:eastAsia="Arial Unicode MS"/>
          <w:rtl w:val="0"/>
          <w:lang w:val="en-US"/>
        </w:rPr>
        <w:t>These are highly evocative, large-scale pictures which have not, to my knowledge, had much impact in the world of biblical scholarship. If thought through, they could do so</w:t>
      </w:r>
      <w:r>
        <w:rPr>
          <w:rFonts w:cs="Arial Unicode MS" w:eastAsia="Arial Unicode MS" w:hint="default"/>
          <w:rtl w:val="0"/>
          <w:lang w:val="en-US"/>
        </w:rPr>
        <w:t>”</w:t>
      </w:r>
      <w:r>
        <w:rPr>
          <w:rFonts w:cs="Arial Unicode MS" w:eastAsia="Arial Unicode MS"/>
          <w:rtl w:val="0"/>
          <w:lang w:val="en-US"/>
        </w:rPr>
        <w:t xml:space="preserve">. Wright, N.T. </w:t>
      </w:r>
      <w:r>
        <w:rPr>
          <w:rFonts w:cs="Arial Unicode MS" w:eastAsia="Arial Unicode MS"/>
          <w:i w:val="1"/>
          <w:iCs w:val="1"/>
          <w:rtl w:val="0"/>
          <w:lang w:val="en-US"/>
        </w:rPr>
        <w:t xml:space="preserve">Paul And The Faithfulness Of God. </w:t>
      </w:r>
      <w:r>
        <w:rPr>
          <w:rFonts w:cs="Arial Unicode MS" w:eastAsia="Arial Unicode MS"/>
          <w:rtl w:val="0"/>
          <w:lang w:val="en-US"/>
        </w:rPr>
        <w:t xml:space="preserve">(London: SPCK, 2013). p. 102. </w:t>
      </w:r>
    </w:p>
  </w:footnote>
  <w:footnote w:id="1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Walton, </w:t>
      </w:r>
      <w:r>
        <w:rPr>
          <w:rFonts w:cs="Arial Unicode MS" w:eastAsia="Arial Unicode MS"/>
          <w:i w:val="1"/>
          <w:iCs w:val="1"/>
          <w:rtl w:val="0"/>
          <w:lang w:val="en-US"/>
        </w:rPr>
        <w:t>Genesis One</w:t>
      </w:r>
      <w:r>
        <w:rPr>
          <w:rFonts w:cs="Arial Unicode MS" w:eastAsia="Arial Unicode MS"/>
          <w:rtl w:val="0"/>
          <w:lang w:val="en-US"/>
        </w:rPr>
        <w:t>. p.120.</w:t>
      </w:r>
    </w:p>
  </w:footnote>
  <w:footnote w:id="1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 143.</w:t>
      </w:r>
    </w:p>
  </w:footnote>
  <w:footnote w:id="16">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pp. 96-97.</w:t>
      </w:r>
    </w:p>
  </w:footnote>
  <w:footnote w:id="17">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Ibid. pp. 98-100.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