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4C017" w14:textId="77777777" w:rsidR="00A53DAF" w:rsidRDefault="00A53DAF" w:rsidP="00A53DAF">
      <w:r>
        <w:rPr>
          <w:noProof/>
        </w:rPr>
        <w:drawing>
          <wp:inline distT="0" distB="0" distL="0" distR="0" wp14:anchorId="0DDFB2AF" wp14:editId="5FFCEA69">
            <wp:extent cx="2028825" cy="704850"/>
            <wp:effectExtent l="0" t="0" r="0" b="0"/>
            <wp:docPr id="2007465704" name="Picture 200746570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BDA08AC" w14:textId="77777777" w:rsidR="00A53DAF" w:rsidRPr="00A47621" w:rsidRDefault="00A53DAF" w:rsidP="00A53DAF">
      <w:pPr>
        <w:rPr>
          <w:rFonts w:ascii="Times New Roman" w:hAnsi="Times New Roman" w:cs="Times New Roman"/>
        </w:rPr>
      </w:pPr>
    </w:p>
    <w:p w14:paraId="268B91EB" w14:textId="77777777" w:rsidR="00A53DAF" w:rsidRPr="00F927A1" w:rsidRDefault="00A53DAF" w:rsidP="00A53DAF">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53699958" w14:textId="77777777" w:rsidR="00A53DAF" w:rsidRPr="00DC2924" w:rsidRDefault="00A53DAF" w:rsidP="00A53DAF">
      <w:pPr>
        <w:ind w:right="-957"/>
        <w:rPr>
          <w:rFonts w:ascii="Times New Roman" w:hAnsi="Times New Roman" w:cs="Times New Roman"/>
          <w:b/>
          <w:sz w:val="48"/>
        </w:rPr>
      </w:pPr>
      <w:r w:rsidRPr="00DC2924">
        <w:rPr>
          <w:rFonts w:ascii="Times New Roman" w:hAnsi="Times New Roman" w:cs="Times New Roman"/>
          <w:b/>
          <w:sz w:val="48"/>
        </w:rPr>
        <w:t>LEVEL 6 - 60 Credits</w:t>
      </w:r>
    </w:p>
    <w:p w14:paraId="152CAEEC" w14:textId="77777777" w:rsidR="00A53DAF" w:rsidRPr="0085230E" w:rsidRDefault="00A53DAF" w:rsidP="00A53DAF">
      <w:pPr>
        <w:ind w:right="-957"/>
        <w:rPr>
          <w:rFonts w:ascii="Times New Roman" w:hAnsi="Times New Roman" w:cs="Times New Roman"/>
          <w:b/>
          <w:sz w:val="48"/>
        </w:rPr>
      </w:pPr>
      <w:r w:rsidRPr="00DC2924">
        <w:rPr>
          <w:rFonts w:ascii="Times New Roman" w:hAnsi="Times New Roman" w:cs="Times New Roman"/>
          <w:b/>
          <w:sz w:val="48"/>
        </w:rPr>
        <w:t>BMPF6044</w:t>
      </w:r>
    </w:p>
    <w:p w14:paraId="6E3F4110" w14:textId="77777777" w:rsidR="00A53DAF" w:rsidRDefault="00A53DAF" w:rsidP="00A53DAF">
      <w:pPr>
        <w:ind w:right="-957"/>
        <w:rPr>
          <w:rFonts w:ascii="Times New Roman" w:hAnsi="Times New Roman" w:cs="Times New Roman"/>
          <w:b/>
          <w:sz w:val="48"/>
        </w:rPr>
      </w:pPr>
    </w:p>
    <w:p w14:paraId="0BAFFEE6" w14:textId="77777777" w:rsidR="00A53DAF" w:rsidRPr="00FE5F90" w:rsidRDefault="00A53DAF" w:rsidP="00A53DAF">
      <w:pPr>
        <w:ind w:right="-957"/>
        <w:rPr>
          <w:rFonts w:ascii="Times New Roman" w:hAnsi="Times New Roman" w:cs="Times New Roman"/>
          <w:b/>
          <w:sz w:val="18"/>
          <w:szCs w:val="2"/>
        </w:rPr>
      </w:pPr>
    </w:p>
    <w:p w14:paraId="79D2693C" w14:textId="77777777" w:rsidR="00A53DAF" w:rsidRPr="00F927A1" w:rsidRDefault="00A53DAF" w:rsidP="00A53DAF">
      <w:pPr>
        <w:ind w:right="-957"/>
        <w:rPr>
          <w:rFonts w:ascii="Times New Roman" w:hAnsi="Times New Roman" w:cs="Times New Roman"/>
          <w:b/>
          <w:sz w:val="48"/>
        </w:rPr>
      </w:pPr>
      <w:r>
        <w:rPr>
          <w:rFonts w:ascii="Times New Roman" w:hAnsi="Times New Roman" w:cs="Times New Roman"/>
          <w:b/>
          <w:sz w:val="48"/>
        </w:rPr>
        <w:t>LEARNER PORTFOLIO</w:t>
      </w:r>
    </w:p>
    <w:p w14:paraId="181C1F08" w14:textId="77777777" w:rsidR="00A53DAF" w:rsidRPr="00706BB5" w:rsidRDefault="00A53DAF" w:rsidP="00A53DAF">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09DF2FAE" w14:textId="77777777" w:rsidR="00A53DAF" w:rsidRPr="00FE5F90" w:rsidRDefault="00A53DAF" w:rsidP="00A53DAF">
      <w:pPr>
        <w:ind w:right="-957"/>
        <w:rPr>
          <w:rFonts w:ascii="Times New Roman" w:hAnsi="Times New Roman" w:cs="Times New Roman"/>
          <w:b/>
          <w:sz w:val="14"/>
          <w:szCs w:val="2"/>
        </w:rPr>
      </w:pPr>
    </w:p>
    <w:p w14:paraId="5234DB69" w14:textId="77777777" w:rsidR="00A53DAF" w:rsidRPr="00F927A1" w:rsidRDefault="00A53DAF" w:rsidP="00A53DAF">
      <w:pPr>
        <w:ind w:right="-957"/>
        <w:rPr>
          <w:rFonts w:ascii="Times New Roman" w:hAnsi="Times New Roman" w:cs="Times New Roman"/>
          <w:b/>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A53DAF" w:rsidRPr="005D3F07" w14:paraId="677CD176" w14:textId="77777777" w:rsidTr="007A7D12">
        <w:tc>
          <w:tcPr>
            <w:tcW w:w="11052" w:type="dxa"/>
            <w:shd w:val="clear" w:color="auto" w:fill="auto"/>
          </w:tcPr>
          <w:p w14:paraId="50D223A2" w14:textId="77777777" w:rsidR="00A53DAF" w:rsidRDefault="00A53DAF" w:rsidP="007A7D12">
            <w:pPr>
              <w:ind w:right="-957"/>
              <w:rPr>
                <w:rFonts w:ascii="Times New Roman" w:hAnsi="Times New Roman" w:cs="Times New Roman"/>
                <w:b/>
                <w:sz w:val="48"/>
              </w:rPr>
            </w:pPr>
            <w:r>
              <w:rPr>
                <w:rFonts w:ascii="Times New Roman" w:hAnsi="Times New Roman" w:cs="Times New Roman"/>
                <w:b/>
                <w:sz w:val="48"/>
              </w:rPr>
              <w:t>Learner’s name: Cet Williams</w:t>
            </w:r>
          </w:p>
          <w:p w14:paraId="28ADEB8C" w14:textId="77777777" w:rsidR="00A53DAF" w:rsidRDefault="00A53DAF" w:rsidP="007A7D12">
            <w:pPr>
              <w:ind w:right="-957"/>
              <w:rPr>
                <w:rFonts w:ascii="Times New Roman" w:hAnsi="Times New Roman" w:cs="Times New Roman"/>
                <w:b/>
                <w:sz w:val="48"/>
              </w:rPr>
            </w:pPr>
          </w:p>
          <w:p w14:paraId="333230B4" w14:textId="77777777" w:rsidR="00A53DAF" w:rsidRDefault="00A53DAF" w:rsidP="007A7D12">
            <w:pPr>
              <w:ind w:right="-957"/>
              <w:rPr>
                <w:rFonts w:ascii="Times New Roman" w:hAnsi="Times New Roman" w:cs="Times New Roman"/>
                <w:b/>
                <w:sz w:val="48"/>
              </w:rPr>
            </w:pPr>
            <w:r>
              <w:rPr>
                <w:rFonts w:ascii="Times New Roman" w:hAnsi="Times New Roman" w:cs="Times New Roman"/>
                <w:b/>
                <w:sz w:val="48"/>
              </w:rPr>
              <w:t xml:space="preserve">Email address: </w:t>
            </w:r>
            <w:r w:rsidRPr="00AC7081">
              <w:rPr>
                <w:rFonts w:ascii="Times New Roman" w:hAnsi="Times New Roman" w:cs="Times New Roman"/>
                <w:b/>
                <w:sz w:val="48"/>
              </w:rPr>
              <w:t>2433968@student.uwtsd.ac.uk</w:t>
            </w:r>
          </w:p>
          <w:p w14:paraId="278330E0" w14:textId="77777777" w:rsidR="00A53DAF" w:rsidRDefault="00A53DAF" w:rsidP="007A7D12">
            <w:pPr>
              <w:ind w:right="-957"/>
              <w:rPr>
                <w:rFonts w:ascii="Times New Roman" w:hAnsi="Times New Roman" w:cs="Times New Roman"/>
                <w:b/>
                <w:sz w:val="48"/>
              </w:rPr>
            </w:pPr>
          </w:p>
          <w:p w14:paraId="6EF6BFCA" w14:textId="77777777" w:rsidR="00A53DAF" w:rsidRPr="005D3F07" w:rsidRDefault="00A53DAF" w:rsidP="007A7D12">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2433968</w:t>
            </w:r>
          </w:p>
          <w:p w14:paraId="0B288DFD" w14:textId="77777777" w:rsidR="00A53DAF" w:rsidRPr="005D3F07" w:rsidRDefault="00A53DAF" w:rsidP="007A7D12">
            <w:pPr>
              <w:ind w:right="-957"/>
              <w:rPr>
                <w:rFonts w:ascii="Times New Roman" w:hAnsi="Times New Roman" w:cs="Times New Roman"/>
                <w:b/>
                <w:sz w:val="48"/>
              </w:rPr>
            </w:pPr>
          </w:p>
          <w:p w14:paraId="2DDBE213" w14:textId="77777777" w:rsidR="00A53DAF" w:rsidRPr="005D3F07" w:rsidRDefault="00A53DAF" w:rsidP="007A7D12">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A7C7E8C" w14:textId="77777777" w:rsidR="00A53DAF" w:rsidRPr="00F927A1" w:rsidRDefault="00A53DAF" w:rsidP="00A53DAF">
      <w:pPr>
        <w:ind w:right="-957"/>
        <w:rPr>
          <w:rFonts w:ascii="Times New Roman" w:hAnsi="Times New Roman" w:cs="Times New Roman"/>
          <w:b/>
          <w:sz w:val="48"/>
        </w:rPr>
      </w:pPr>
      <w:r>
        <w:rPr>
          <w:rFonts w:ascii="Times New Roman" w:hAnsi="Times New Roman" w:cs="Times New Roman"/>
          <w:b/>
          <w:sz w:val="48"/>
        </w:rPr>
        <w:lastRenderedPageBreak/>
        <w:t xml:space="preserve"> </w:t>
      </w:r>
    </w:p>
    <w:p w14:paraId="550FA32A" w14:textId="77777777" w:rsidR="00A53DAF" w:rsidRPr="00F927A1" w:rsidRDefault="00A53DAF" w:rsidP="00A53DAF">
      <w:pPr>
        <w:rPr>
          <w:rFonts w:ascii="Times New Roman" w:hAnsi="Times New Roman" w:cs="Times New Roman"/>
        </w:rPr>
      </w:pPr>
    </w:p>
    <w:p w14:paraId="53F36816" w14:textId="77777777" w:rsidR="00A53DAF" w:rsidRPr="00F927A1" w:rsidRDefault="00A53DAF" w:rsidP="00A53DAF">
      <w:pPr>
        <w:ind w:right="-957"/>
        <w:rPr>
          <w:rFonts w:ascii="Times New Roman" w:hAnsi="Times New Roman" w:cs="Times New Roman"/>
          <w:b/>
          <w:sz w:val="48"/>
        </w:rPr>
      </w:pPr>
    </w:p>
    <w:p w14:paraId="3BECE810" w14:textId="77777777" w:rsidR="00A53DAF" w:rsidRDefault="00A53DAF" w:rsidP="00A53DAF">
      <w:pPr>
        <w:jc w:val="center"/>
        <w:rPr>
          <w:b/>
        </w:rPr>
      </w:pPr>
      <w:r>
        <w:rPr>
          <w:b/>
        </w:rPr>
        <w:br w:type="page"/>
      </w:r>
    </w:p>
    <w:p w14:paraId="0A8F8003" w14:textId="77777777" w:rsidR="00A53DAF" w:rsidRDefault="00A53DAF" w:rsidP="00A53DAF">
      <w:pPr>
        <w:jc w:val="center"/>
        <w:rPr>
          <w:b/>
          <w:sz w:val="28"/>
          <w:szCs w:val="28"/>
        </w:rPr>
      </w:pPr>
    </w:p>
    <w:p w14:paraId="3E2EB088" w14:textId="77777777" w:rsidR="00A53DAF" w:rsidRDefault="00A53DAF" w:rsidP="00A53DAF">
      <w:pPr>
        <w:jc w:val="center"/>
        <w:rPr>
          <w:b/>
        </w:rPr>
      </w:pPr>
    </w:p>
    <w:p w14:paraId="20372926" w14:textId="77777777" w:rsidR="00A53DAF" w:rsidRPr="00EE5BC3" w:rsidRDefault="00A53DAF" w:rsidP="00A53DAF">
      <w:pPr>
        <w:jc w:val="center"/>
        <w:rPr>
          <w:sz w:val="28"/>
          <w:szCs w:val="28"/>
        </w:rPr>
      </w:pPr>
      <w:r w:rsidRPr="00EE5BC3">
        <w:rPr>
          <w:b/>
          <w:sz w:val="28"/>
          <w:szCs w:val="28"/>
        </w:rPr>
        <w:t>Task 3</w:t>
      </w:r>
    </w:p>
    <w:p w14:paraId="7F32652D" w14:textId="77777777" w:rsidR="00A53DAF" w:rsidRPr="00EE5BC3" w:rsidRDefault="00A53DAF" w:rsidP="00A53DAF">
      <w:pPr>
        <w:jc w:val="center"/>
        <w:rPr>
          <w:b/>
          <w:sz w:val="28"/>
          <w:szCs w:val="28"/>
        </w:rPr>
      </w:pPr>
    </w:p>
    <w:p w14:paraId="4B606F66" w14:textId="77777777" w:rsidR="00A53DAF" w:rsidRPr="00EE5BC3" w:rsidRDefault="00A53DAF" w:rsidP="00A53DAF">
      <w:pPr>
        <w:jc w:val="center"/>
        <w:rPr>
          <w:b/>
          <w:sz w:val="28"/>
          <w:szCs w:val="28"/>
        </w:rPr>
      </w:pPr>
      <w:r w:rsidRPr="00EE5BC3">
        <w:rPr>
          <w:b/>
          <w:sz w:val="28"/>
          <w:szCs w:val="28"/>
        </w:rPr>
        <w:t>Safeguarding and working in complex situations – Case Study</w:t>
      </w:r>
    </w:p>
    <w:p w14:paraId="4D9E863A" w14:textId="77777777" w:rsidR="00A53DAF" w:rsidRDefault="00A53DAF" w:rsidP="00A53DAF">
      <w:pPr>
        <w:rPr>
          <w:b/>
        </w:rPr>
      </w:pPr>
    </w:p>
    <w:p w14:paraId="559047AB" w14:textId="77777777" w:rsidR="00A53DAF" w:rsidRDefault="00A53DAF" w:rsidP="00A53DAF">
      <w:pPr>
        <w:rPr>
          <w:b/>
        </w:rPr>
      </w:pPr>
      <w:proofErr w:type="gramStart"/>
      <w:r>
        <w:rPr>
          <w:b/>
        </w:rPr>
        <w:t>Guidance;</w:t>
      </w:r>
      <w:proofErr w:type="gramEnd"/>
    </w:p>
    <w:p w14:paraId="1B1A5AD7" w14:textId="77777777" w:rsidR="00A53DAF" w:rsidRPr="00706BB5" w:rsidRDefault="00A53DAF" w:rsidP="00A53DAF">
      <w:pPr>
        <w:jc w:val="both"/>
        <w:rPr>
          <w:i/>
          <w:iCs/>
        </w:rPr>
      </w:pPr>
      <w:r w:rsidRPr="00F15354">
        <w:rPr>
          <w:i/>
          <w:iCs/>
        </w:rPr>
        <w:t>Please ensure that you meet</w:t>
      </w:r>
      <w:r w:rsidRPr="006179BB">
        <w:rPr>
          <w:i/>
          <w:iCs/>
        </w:rPr>
        <w:t xml:space="preserve"> the National Occupational Standards and assigned </w:t>
      </w:r>
      <w:r w:rsidRPr="00A5656A">
        <w:rPr>
          <w:i/>
          <w:iCs/>
        </w:rPr>
        <w:t>Learning Outcomes for this task (see handbook).</w:t>
      </w:r>
      <w:r w:rsidRPr="009C7342">
        <w:rPr>
          <w:i/>
          <w:iCs/>
        </w:rPr>
        <w:t xml:space="preserve"> </w:t>
      </w:r>
    </w:p>
    <w:p w14:paraId="5D1BBD46" w14:textId="77777777" w:rsidR="00A53DAF" w:rsidRDefault="00A53DAF" w:rsidP="00A53DAF">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53DAF" w:rsidRPr="008B28E7" w14:paraId="72F7FC08" w14:textId="77777777" w:rsidTr="007A7D12">
        <w:tc>
          <w:tcPr>
            <w:tcW w:w="10031" w:type="dxa"/>
            <w:shd w:val="clear" w:color="auto" w:fill="auto"/>
          </w:tcPr>
          <w:p w14:paraId="0C391819" w14:textId="77777777" w:rsidR="00A53DAF" w:rsidRPr="006872A0" w:rsidRDefault="00A53DAF" w:rsidP="007A7D12">
            <w:pPr>
              <w:jc w:val="both"/>
              <w:rPr>
                <w:b/>
              </w:rPr>
            </w:pPr>
            <w:r w:rsidRPr="006872A0">
              <w:rPr>
                <w:b/>
              </w:rPr>
              <w:t>Question</w:t>
            </w:r>
            <w:r>
              <w:rPr>
                <w:b/>
              </w:rPr>
              <w:t>:</w:t>
            </w:r>
          </w:p>
          <w:p w14:paraId="055E3F9E" w14:textId="77777777" w:rsidR="00A53DAF" w:rsidRPr="00706BB5" w:rsidRDefault="00A53DAF" w:rsidP="007A7D12">
            <w:pPr>
              <w:jc w:val="both"/>
            </w:pPr>
            <w:r w:rsidRPr="008B28E7">
              <w:t>Complete a critically reflective case study based on</w:t>
            </w:r>
            <w:r>
              <w:t xml:space="preserve"> </w:t>
            </w:r>
            <w:r w:rsidRPr="008B28E7">
              <w:t xml:space="preserve">an </w:t>
            </w:r>
            <w:r w:rsidRPr="00EE5BC3">
              <w:t>assessment</w:t>
            </w:r>
            <w:r>
              <w:t xml:space="preserve"> </w:t>
            </w:r>
            <w:r w:rsidRPr="00EE5BC3">
              <w:t>that</w:t>
            </w:r>
            <w:r>
              <w:t xml:space="preserve"> you have u</w:t>
            </w:r>
            <w:r w:rsidRPr="008B28E7">
              <w:t>ndertake</w:t>
            </w:r>
            <w:r>
              <w:t>n</w:t>
            </w:r>
            <w:r w:rsidRPr="008B28E7">
              <w:t xml:space="preserve"> with others</w:t>
            </w:r>
            <w:r>
              <w:t>,</w:t>
            </w:r>
            <w:r w:rsidRPr="00F15354">
              <w:rPr>
                <w:b/>
                <w:bCs/>
              </w:rPr>
              <w:t xml:space="preserve"> </w:t>
            </w:r>
            <w:r w:rsidRPr="00064063">
              <w:t>in your own area of work</w:t>
            </w:r>
            <w:r w:rsidRPr="00D0503D">
              <w:t xml:space="preserve">, </w:t>
            </w:r>
            <w:r>
              <w:t>c</w:t>
            </w:r>
            <w:r w:rsidRPr="008B28E7">
              <w:t>oncerning the safeguarding of either an adult or a child</w:t>
            </w:r>
            <w:r>
              <w:t>. You must demonstrate how the case relates to or could relate to safeguarding legislation, policies, strategies and procedures (i</w:t>
            </w:r>
            <w:r w:rsidRPr="00706BB5">
              <w:t>ncluding demonstrating an understanding of the</w:t>
            </w:r>
            <w:r>
              <w:t xml:space="preserve"> </w:t>
            </w:r>
            <w:r w:rsidRPr="00706BB5">
              <w:rPr>
                <w:rFonts w:eastAsia="Arial"/>
                <w:color w:val="000000" w:themeColor="text1"/>
              </w:rPr>
              <w:t>interface between social services provision in Wales with the United Kingdom, the European Union</w:t>
            </w:r>
            <w:r>
              <w:rPr>
                <w:rFonts w:eastAsia="Arial"/>
                <w:color w:val="000000" w:themeColor="text1"/>
              </w:rPr>
              <w:t xml:space="preserve"> (EU)</w:t>
            </w:r>
            <w:r w:rsidRPr="00706BB5">
              <w:rPr>
                <w:rFonts w:eastAsia="Arial"/>
                <w:color w:val="000000" w:themeColor="text1"/>
              </w:rPr>
              <w:t xml:space="preserve"> and outside the EU)</w:t>
            </w:r>
            <w:r>
              <w:t xml:space="preserve">. You must demonstrate your understanding of the integration of analysis in assessment, collaborative working and professional judgements in increasingly complex situations </w:t>
            </w:r>
            <w:r w:rsidRPr="007374EF">
              <w:t xml:space="preserve">and the </w:t>
            </w:r>
            <w:r>
              <w:t xml:space="preserve">use of social work theories. You </w:t>
            </w:r>
            <w:r w:rsidRPr="00FC0334">
              <w:t>must</w:t>
            </w:r>
            <w:r>
              <w:t xml:space="preserve"> refer to the specific dimensions of working in Wales. </w:t>
            </w:r>
          </w:p>
          <w:p w14:paraId="0BBB3D49" w14:textId="77777777" w:rsidR="00A53DAF" w:rsidRDefault="00A53DAF" w:rsidP="007A7D12">
            <w:pPr>
              <w:jc w:val="both"/>
            </w:pPr>
          </w:p>
          <w:p w14:paraId="292AC56E" w14:textId="77777777" w:rsidR="00A53DAF" w:rsidRDefault="00A53DAF" w:rsidP="007A7D12">
            <w:pPr>
              <w:jc w:val="both"/>
            </w:pPr>
          </w:p>
          <w:p w14:paraId="68E4D15E" w14:textId="77777777" w:rsidR="00A53DAF" w:rsidRDefault="00A53DAF" w:rsidP="007A7D12">
            <w:pPr>
              <w:jc w:val="both"/>
              <w:rPr>
                <w:i/>
              </w:rPr>
            </w:pPr>
            <w:r>
              <w:rPr>
                <w:i/>
              </w:rPr>
              <w:t xml:space="preserve">4000 </w:t>
            </w:r>
            <w:r w:rsidRPr="008B28E7">
              <w:rPr>
                <w:i/>
              </w:rPr>
              <w:t>words</w:t>
            </w:r>
            <w:r w:rsidRPr="008B28E7">
              <w:t xml:space="preserve"> </w:t>
            </w:r>
            <w:r w:rsidRPr="008B28E7">
              <w:rPr>
                <w:i/>
              </w:rPr>
              <w:t>(+/- 10%: include your actual word count at the end of each section)</w:t>
            </w:r>
            <w:r>
              <w:rPr>
                <w:i/>
              </w:rPr>
              <w:t>.</w:t>
            </w:r>
          </w:p>
          <w:p w14:paraId="2D40FD22" w14:textId="77777777" w:rsidR="00A53DAF" w:rsidRDefault="00A53DAF" w:rsidP="007A7D12">
            <w:pPr>
              <w:jc w:val="both"/>
              <w:rPr>
                <w:i/>
              </w:rPr>
            </w:pPr>
          </w:p>
          <w:p w14:paraId="313BD01A" w14:textId="77777777" w:rsidR="00A53DAF" w:rsidRDefault="00A53DAF" w:rsidP="007A7D12">
            <w:pPr>
              <w:jc w:val="both"/>
              <w:rPr>
                <w:i/>
              </w:rPr>
            </w:pPr>
          </w:p>
          <w:p w14:paraId="5EAB4B9C" w14:textId="77777777" w:rsidR="00A53DAF" w:rsidRDefault="00A53DAF" w:rsidP="007A7D12">
            <w:pPr>
              <w:jc w:val="both"/>
              <w:rPr>
                <w:i/>
              </w:rPr>
            </w:pPr>
          </w:p>
          <w:p w14:paraId="6C809B87" w14:textId="77777777" w:rsidR="00A53DAF" w:rsidRDefault="00A53DAF" w:rsidP="007A7D12">
            <w:pPr>
              <w:jc w:val="both"/>
              <w:rPr>
                <w:i/>
              </w:rPr>
            </w:pPr>
          </w:p>
          <w:p w14:paraId="1CDB6D8D" w14:textId="77777777" w:rsidR="00A53DAF" w:rsidRDefault="00A53DAF" w:rsidP="007A7D12">
            <w:pPr>
              <w:jc w:val="both"/>
              <w:rPr>
                <w:i/>
              </w:rPr>
            </w:pPr>
          </w:p>
          <w:p w14:paraId="29067618" w14:textId="77777777" w:rsidR="00A53DAF" w:rsidRDefault="00A53DAF" w:rsidP="007A7D12">
            <w:pPr>
              <w:jc w:val="both"/>
              <w:rPr>
                <w:i/>
              </w:rPr>
            </w:pPr>
          </w:p>
          <w:p w14:paraId="77ED2F36" w14:textId="77777777" w:rsidR="00A53DAF" w:rsidRDefault="00A53DAF" w:rsidP="007A7D12">
            <w:pPr>
              <w:jc w:val="both"/>
              <w:rPr>
                <w:i/>
              </w:rPr>
            </w:pPr>
          </w:p>
          <w:p w14:paraId="6139292B" w14:textId="77777777" w:rsidR="00A53DAF" w:rsidRDefault="00A53DAF" w:rsidP="007A7D12">
            <w:pPr>
              <w:jc w:val="both"/>
              <w:rPr>
                <w:i/>
              </w:rPr>
            </w:pPr>
          </w:p>
          <w:p w14:paraId="68ED4EE1" w14:textId="77777777" w:rsidR="00A53DAF" w:rsidRPr="008B28E7" w:rsidRDefault="00A53DAF" w:rsidP="007A7D12">
            <w:pPr>
              <w:jc w:val="both"/>
            </w:pPr>
          </w:p>
        </w:tc>
      </w:tr>
    </w:tbl>
    <w:p w14:paraId="2E8CA722" w14:textId="77777777" w:rsidR="00A53DAF" w:rsidRDefault="00A53DAF" w:rsidP="00A53DAF">
      <w:pPr>
        <w:jc w:val="both"/>
      </w:pPr>
    </w:p>
    <w:p w14:paraId="64F4904D" w14:textId="77777777" w:rsidR="00A53DAF" w:rsidRDefault="00A53DAF" w:rsidP="00A53DAF">
      <w:pPr>
        <w:ind w:firstLine="720"/>
        <w:jc w:val="both"/>
        <w:rPr>
          <w:b/>
        </w:rPr>
      </w:pPr>
    </w:p>
    <w:p w14:paraId="1550C8B8" w14:textId="77777777" w:rsidR="00A53DAF" w:rsidRPr="008B28E7" w:rsidRDefault="00A53DAF" w:rsidP="00A53DAF">
      <w:pPr>
        <w:ind w:firstLine="720"/>
        <w:jc w:val="both"/>
        <w:rPr>
          <w:b/>
        </w:rPr>
      </w:pPr>
    </w:p>
    <w:p w14:paraId="57310027" w14:textId="77777777" w:rsidR="00A53DAF" w:rsidRPr="003B29BC" w:rsidRDefault="00A53DAF" w:rsidP="00A53DAF"/>
    <w:p w14:paraId="11D81570" w14:textId="77777777" w:rsidR="00A53DAF" w:rsidRDefault="00A53DAF">
      <w:pPr>
        <w:rPr>
          <w:rFonts w:ascii="Arial" w:hAnsi="Arial" w:cs="Arial"/>
        </w:rPr>
      </w:pPr>
    </w:p>
    <w:p w14:paraId="631341A9" w14:textId="77777777" w:rsidR="00A53DAF" w:rsidRDefault="00A53DAF">
      <w:pPr>
        <w:rPr>
          <w:rFonts w:ascii="Arial" w:hAnsi="Arial" w:cs="Arial"/>
        </w:rPr>
      </w:pPr>
    </w:p>
    <w:p w14:paraId="248EDC85" w14:textId="77777777" w:rsidR="00A53DAF" w:rsidRDefault="00A53DAF">
      <w:pPr>
        <w:rPr>
          <w:rFonts w:ascii="Arial" w:hAnsi="Arial" w:cs="Arial"/>
        </w:rPr>
      </w:pPr>
    </w:p>
    <w:p w14:paraId="21E0CF9F" w14:textId="77777777" w:rsidR="00A53DAF" w:rsidRDefault="00A53DAF">
      <w:pPr>
        <w:rPr>
          <w:rFonts w:ascii="Arial" w:hAnsi="Arial" w:cs="Arial"/>
        </w:rPr>
      </w:pPr>
    </w:p>
    <w:p w14:paraId="6B1B9565" w14:textId="77777777" w:rsidR="00A53DAF" w:rsidRDefault="00A53DAF">
      <w:pPr>
        <w:rPr>
          <w:rFonts w:ascii="Arial" w:hAnsi="Arial" w:cs="Arial"/>
        </w:rPr>
      </w:pPr>
    </w:p>
    <w:p w14:paraId="3CE6B5F2" w14:textId="77777777" w:rsidR="00A53DAF" w:rsidRDefault="00A53DAF">
      <w:pPr>
        <w:rPr>
          <w:rFonts w:ascii="Arial" w:hAnsi="Arial" w:cs="Arial"/>
        </w:rPr>
      </w:pPr>
    </w:p>
    <w:p w14:paraId="762882E0" w14:textId="77777777" w:rsidR="00A53DAF" w:rsidRDefault="00A53DAF">
      <w:pPr>
        <w:rPr>
          <w:rFonts w:ascii="Arial" w:hAnsi="Arial" w:cs="Arial"/>
        </w:rPr>
      </w:pPr>
    </w:p>
    <w:p w14:paraId="11BA6EBD" w14:textId="77777777" w:rsidR="00A53DAF" w:rsidRDefault="00A53DAF">
      <w:pPr>
        <w:rPr>
          <w:rFonts w:ascii="Arial" w:hAnsi="Arial" w:cs="Arial"/>
        </w:rPr>
      </w:pPr>
    </w:p>
    <w:p w14:paraId="30D2781F" w14:textId="77777777" w:rsidR="00A53DAF" w:rsidRDefault="00A53DAF">
      <w:pPr>
        <w:rPr>
          <w:rFonts w:ascii="Arial" w:hAnsi="Arial" w:cs="Arial"/>
        </w:rPr>
      </w:pPr>
    </w:p>
    <w:p w14:paraId="45EAD6FA" w14:textId="77777777" w:rsidR="00A53DAF" w:rsidRDefault="00A53DAF">
      <w:pPr>
        <w:rPr>
          <w:rFonts w:ascii="Arial" w:hAnsi="Arial" w:cs="Arial"/>
        </w:rPr>
      </w:pPr>
    </w:p>
    <w:p w14:paraId="6165B551" w14:textId="77777777" w:rsidR="00A53DAF" w:rsidRDefault="00A53DAF">
      <w:pPr>
        <w:rPr>
          <w:rFonts w:ascii="Arial" w:hAnsi="Arial" w:cs="Arial"/>
        </w:rPr>
      </w:pPr>
    </w:p>
    <w:p w14:paraId="47C6F3BD" w14:textId="77777777" w:rsidR="00A53DAF" w:rsidRDefault="00A53DAF">
      <w:pPr>
        <w:rPr>
          <w:rFonts w:ascii="Arial" w:hAnsi="Arial" w:cs="Arial"/>
        </w:rPr>
      </w:pPr>
    </w:p>
    <w:p w14:paraId="20C29575" w14:textId="77777777" w:rsidR="00A53DAF" w:rsidRDefault="00A53DAF">
      <w:pPr>
        <w:rPr>
          <w:rFonts w:ascii="Arial" w:hAnsi="Arial" w:cs="Arial"/>
        </w:rPr>
      </w:pPr>
    </w:p>
    <w:p w14:paraId="7F4768E0" w14:textId="77777777" w:rsidR="00A53DAF" w:rsidRDefault="00A53DAF">
      <w:pPr>
        <w:rPr>
          <w:rFonts w:ascii="Arial" w:hAnsi="Arial" w:cs="Arial"/>
        </w:rPr>
      </w:pPr>
    </w:p>
    <w:p w14:paraId="23BFB0B0" w14:textId="77777777" w:rsidR="00A53DAF" w:rsidRDefault="00A53DAF">
      <w:pPr>
        <w:rPr>
          <w:rFonts w:ascii="Arial" w:hAnsi="Arial" w:cs="Arial"/>
        </w:rPr>
      </w:pPr>
    </w:p>
    <w:p w14:paraId="3099913E" w14:textId="77777777" w:rsidR="00A53DAF" w:rsidRDefault="00A53DAF">
      <w:pPr>
        <w:rPr>
          <w:rFonts w:ascii="Arial" w:hAnsi="Arial" w:cs="Arial"/>
        </w:rPr>
      </w:pPr>
    </w:p>
    <w:p w14:paraId="72547782" w14:textId="77777777" w:rsidR="00A53DAF" w:rsidRDefault="00A53DAF">
      <w:pPr>
        <w:rPr>
          <w:rFonts w:ascii="Arial" w:hAnsi="Arial" w:cs="Arial"/>
        </w:rPr>
      </w:pPr>
    </w:p>
    <w:p w14:paraId="2E840C4D" w14:textId="77777777" w:rsidR="00A53DAF" w:rsidRDefault="00A53DAF">
      <w:pPr>
        <w:rPr>
          <w:rFonts w:ascii="Arial" w:hAnsi="Arial" w:cs="Arial"/>
        </w:rPr>
      </w:pPr>
    </w:p>
    <w:p w14:paraId="03E5328C" w14:textId="77777777" w:rsidR="00A53DAF" w:rsidRDefault="00A53DAF">
      <w:pPr>
        <w:rPr>
          <w:rFonts w:ascii="Arial" w:hAnsi="Arial" w:cs="Arial"/>
        </w:rPr>
      </w:pPr>
    </w:p>
    <w:p w14:paraId="07BD9BCA" w14:textId="77777777" w:rsidR="00A53DAF" w:rsidRDefault="00A53DAF">
      <w:pPr>
        <w:rPr>
          <w:rFonts w:ascii="Arial" w:hAnsi="Arial" w:cs="Arial"/>
        </w:rPr>
      </w:pPr>
    </w:p>
    <w:p w14:paraId="10DE9DF7" w14:textId="77777777" w:rsidR="00A53DAF" w:rsidRDefault="00A53DAF">
      <w:pPr>
        <w:rPr>
          <w:rFonts w:ascii="Arial" w:hAnsi="Arial" w:cs="Arial"/>
        </w:rPr>
      </w:pPr>
    </w:p>
    <w:p w14:paraId="273E8223" w14:textId="4F83E43F" w:rsidR="00261C41" w:rsidRDefault="001018AB">
      <w:pPr>
        <w:rPr>
          <w:rFonts w:ascii="Arial" w:hAnsi="Arial" w:cs="Arial"/>
        </w:rPr>
      </w:pPr>
      <w:r>
        <w:rPr>
          <w:rFonts w:ascii="Arial" w:hAnsi="Arial" w:cs="Arial"/>
        </w:rPr>
        <w:lastRenderedPageBreak/>
        <w:t xml:space="preserve">In this task I will complete a critically reflective case study based on an assessment that I have undertaken with others, in my own area of work, concerning the safeguarding of an adult. </w:t>
      </w:r>
    </w:p>
    <w:p w14:paraId="364A5AA5" w14:textId="6982A544" w:rsidR="008A0CEB" w:rsidRPr="008A0CEB" w:rsidRDefault="00FB7E38" w:rsidP="008A0CEB">
      <w:pPr>
        <w:rPr>
          <w:rFonts w:ascii="Arial" w:hAnsi="Arial" w:cs="Arial"/>
        </w:rPr>
      </w:pPr>
      <w:r>
        <w:rPr>
          <w:rFonts w:ascii="Arial" w:hAnsi="Arial" w:cs="Arial"/>
        </w:rPr>
        <w:t>Abuse in adults can be physical, sexual, psychological, emotional or financial and it can take place in any setting, whether in a private dwelling, an institution or any other place.</w:t>
      </w:r>
      <w:r w:rsidR="008A0CEB">
        <w:rPr>
          <w:rFonts w:ascii="Arial" w:hAnsi="Arial" w:cs="Arial"/>
        </w:rPr>
        <w:t xml:space="preserve"> When practicing as a social worker in Wales The </w:t>
      </w:r>
      <w:r w:rsidR="008A0CEB" w:rsidRPr="00FB3E60">
        <w:rPr>
          <w:rFonts w:ascii="Arial" w:hAnsi="Arial" w:cs="Arial"/>
        </w:rPr>
        <w:t xml:space="preserve">National Wales Safeguarding Procedures </w:t>
      </w:r>
      <w:r w:rsidR="008A0CEB">
        <w:rPr>
          <w:rFonts w:ascii="Arial" w:hAnsi="Arial" w:cs="Arial"/>
        </w:rPr>
        <w:t>(NWSP) states that</w:t>
      </w:r>
      <w:r>
        <w:rPr>
          <w:rFonts w:ascii="Arial" w:hAnsi="Arial" w:cs="Arial"/>
        </w:rPr>
        <w:t xml:space="preserve"> </w:t>
      </w:r>
      <w:r w:rsidR="008A0CEB" w:rsidRPr="008A0CEB">
        <w:rPr>
          <w:rFonts w:ascii="Arial" w:hAnsi="Arial" w:cs="Arial"/>
          <w:i/>
          <w:iCs/>
        </w:rPr>
        <w:t>“all practitioners should be aware of the </w:t>
      </w:r>
      <w:hyperlink r:id="rId8" w:tgtFrame="_new" w:history="1">
        <w:r w:rsidR="008A0CEB" w:rsidRPr="008A0CEB">
          <w:rPr>
            <w:rStyle w:val="Hyperlink"/>
            <w:rFonts w:ascii="Arial" w:hAnsi="Arial" w:cs="Arial"/>
            <w:i/>
            <w:iCs/>
            <w:color w:val="auto"/>
            <w:u w:val="none"/>
          </w:rPr>
          <w:t>definitions of abuse and neglect in the Social Services and Well-being Act (Wales) 2014</w:t>
        </w:r>
      </w:hyperlink>
      <w:r w:rsidR="008A0CEB" w:rsidRPr="008A0CEB">
        <w:rPr>
          <w:rFonts w:ascii="Arial" w:hAnsi="Arial" w:cs="Arial"/>
          <w:i/>
          <w:iCs/>
        </w:rPr>
        <w:t xml:space="preserve">, as well as the: </w:t>
      </w:r>
      <w:hyperlink r:id="rId9" w:history="1">
        <w:r w:rsidR="008A0CEB" w:rsidRPr="008A0CEB">
          <w:rPr>
            <w:rStyle w:val="Hyperlink"/>
            <w:rFonts w:ascii="Arial" w:hAnsi="Arial" w:cs="Arial"/>
            <w:i/>
            <w:iCs/>
            <w:color w:val="auto"/>
            <w:u w:val="none"/>
          </w:rPr>
          <w:t>Pointers for Practice: Signs and Indicators of Possible Abuse and Neglect in an Adult at Risk</w:t>
        </w:r>
      </w:hyperlink>
      <w:r w:rsidR="008A0CEB" w:rsidRPr="008A0CEB">
        <w:rPr>
          <w:rFonts w:ascii="Arial" w:hAnsi="Arial" w:cs="Arial"/>
          <w:i/>
          <w:iCs/>
        </w:rPr>
        <w:t>”.</w:t>
      </w:r>
      <w:r w:rsidR="008A0CEB">
        <w:rPr>
          <w:rFonts w:ascii="Arial" w:hAnsi="Arial" w:cs="Arial"/>
          <w:i/>
          <w:iCs/>
        </w:rPr>
        <w:t xml:space="preserve"> </w:t>
      </w:r>
      <w:r w:rsidR="008A0CEB">
        <w:rPr>
          <w:rFonts w:ascii="Arial" w:hAnsi="Arial" w:cs="Arial"/>
        </w:rPr>
        <w:t>(NWSP, 2019</w:t>
      </w:r>
      <w:r w:rsidR="001E07A2">
        <w:rPr>
          <w:rFonts w:ascii="Arial" w:hAnsi="Arial" w:cs="Arial"/>
        </w:rPr>
        <w:t>). The</w:t>
      </w:r>
      <w:r w:rsidR="008A0CEB">
        <w:rPr>
          <w:rFonts w:ascii="Arial" w:hAnsi="Arial" w:cs="Arial"/>
        </w:rPr>
        <w:t xml:space="preserve"> reason for this is</w:t>
      </w:r>
      <w:r w:rsidR="008A0CEB" w:rsidRPr="008A0CEB">
        <w:rPr>
          <w:rFonts w:ascii="Arial" w:hAnsi="Arial" w:cs="Arial"/>
        </w:rPr>
        <w:t xml:space="preserve"> to communicate and address concerns about harm in a meaningful way.</w:t>
      </w:r>
      <w:r w:rsidR="008A0CEB">
        <w:rPr>
          <w:rFonts w:ascii="Arial" w:hAnsi="Arial" w:cs="Arial"/>
        </w:rPr>
        <w:t xml:space="preserve"> S</w:t>
      </w:r>
      <w:r w:rsidR="008A0CEB" w:rsidRPr="008A0CEB">
        <w:rPr>
          <w:rFonts w:ascii="Arial" w:hAnsi="Arial" w:cs="Arial"/>
        </w:rPr>
        <w:t>126(1) of the </w:t>
      </w:r>
      <w:hyperlink r:id="rId10" w:tgtFrame="_new" w:history="1">
        <w:r w:rsidR="008A0CEB" w:rsidRPr="008A0CEB">
          <w:rPr>
            <w:rStyle w:val="Hyperlink"/>
            <w:rFonts w:ascii="Arial" w:hAnsi="Arial" w:cs="Arial"/>
            <w:color w:val="auto"/>
            <w:u w:val="none"/>
          </w:rPr>
          <w:t>Social Services and Well-being (Wales) Act 2014</w:t>
        </w:r>
      </w:hyperlink>
      <w:r w:rsidR="008A0CEB">
        <w:rPr>
          <w:rFonts w:ascii="Arial" w:hAnsi="Arial" w:cs="Arial"/>
        </w:rPr>
        <w:t xml:space="preserve"> (SSWBA14)</w:t>
      </w:r>
      <w:r w:rsidR="008A0CEB" w:rsidRPr="008A0CEB">
        <w:rPr>
          <w:rFonts w:ascii="Arial" w:hAnsi="Arial" w:cs="Arial"/>
        </w:rPr>
        <w:t> defines an </w:t>
      </w:r>
      <w:hyperlink r:id="rId11" w:anchor="tooltip" w:history="1">
        <w:r w:rsidR="008A0CEB" w:rsidRPr="008A0CEB">
          <w:rPr>
            <w:rStyle w:val="Hyperlink"/>
            <w:rFonts w:ascii="Arial" w:hAnsi="Arial" w:cs="Arial"/>
            <w:color w:val="auto"/>
            <w:u w:val="none"/>
          </w:rPr>
          <w:t>adult at risk</w:t>
        </w:r>
      </w:hyperlink>
      <w:r w:rsidR="008A0CEB" w:rsidRPr="008A0CEB">
        <w:rPr>
          <w:rFonts w:ascii="Arial" w:hAnsi="Arial" w:cs="Arial"/>
        </w:rPr>
        <w:t> as an adult who:</w:t>
      </w:r>
      <w:r w:rsidR="008A0CEB">
        <w:rPr>
          <w:rFonts w:ascii="Arial" w:hAnsi="Arial" w:cs="Arial"/>
        </w:rPr>
        <w:t xml:space="preserve"> (i) </w:t>
      </w:r>
      <w:r w:rsidR="008A0CEB" w:rsidRPr="008A0CEB">
        <w:rPr>
          <w:rFonts w:ascii="Arial" w:hAnsi="Arial" w:cs="Arial"/>
          <w:i/>
          <w:iCs/>
        </w:rPr>
        <w:t>“Is experiencing or is at risk of abuse or neglect,</w:t>
      </w:r>
      <w:r w:rsidR="008A0CEB">
        <w:rPr>
          <w:rFonts w:ascii="Arial" w:hAnsi="Arial" w:cs="Arial"/>
          <w:i/>
          <w:iCs/>
        </w:rPr>
        <w:t xml:space="preserve"> (ii) </w:t>
      </w:r>
      <w:r w:rsidR="008A0CEB" w:rsidRPr="008A0CEB">
        <w:rPr>
          <w:rFonts w:ascii="Arial" w:hAnsi="Arial" w:cs="Arial"/>
          <w:i/>
          <w:iCs/>
        </w:rPr>
        <w:t>Has needs for care and support (whether or not the authority is meeting any of those needs), and</w:t>
      </w:r>
      <w:r w:rsidR="008A0CEB">
        <w:rPr>
          <w:rFonts w:ascii="Arial" w:hAnsi="Arial" w:cs="Arial"/>
          <w:i/>
          <w:iCs/>
        </w:rPr>
        <w:t xml:space="preserve"> (iii) </w:t>
      </w:r>
      <w:r w:rsidR="008A0CEB" w:rsidRPr="008A0CEB">
        <w:rPr>
          <w:rFonts w:ascii="Arial" w:hAnsi="Arial" w:cs="Arial"/>
          <w:i/>
          <w:iCs/>
        </w:rPr>
        <w:t>As a result of those needs is unable to protect himself or herself against the abuse or neglect or the risk of it.</w:t>
      </w:r>
      <w:r w:rsidR="008A0CEB">
        <w:rPr>
          <w:rFonts w:ascii="Arial" w:hAnsi="Arial" w:cs="Arial"/>
          <w:i/>
          <w:iCs/>
        </w:rPr>
        <w:t xml:space="preserve">” </w:t>
      </w:r>
      <w:r w:rsidR="008A0CEB">
        <w:rPr>
          <w:rFonts w:ascii="Arial" w:hAnsi="Arial" w:cs="Arial"/>
        </w:rPr>
        <w:t>(SSWBA, 2014).</w:t>
      </w:r>
    </w:p>
    <w:p w14:paraId="5DFB6C8D" w14:textId="2FEC3899" w:rsidR="003E38DF" w:rsidRPr="00770444" w:rsidRDefault="00FB7E38" w:rsidP="00770444">
      <w:pPr>
        <w:rPr>
          <w:rFonts w:ascii="Arial" w:hAnsi="Arial" w:cs="Arial"/>
        </w:rPr>
      </w:pPr>
      <w:r>
        <w:rPr>
          <w:rFonts w:ascii="Arial" w:hAnsi="Arial" w:cs="Arial"/>
        </w:rPr>
        <w:t xml:space="preserve">Neglect in adults can be described as a failure to meet a person’s basic needs (physical, emotional, social or psychological) which is likely to damage the person’s well-being. </w:t>
      </w:r>
      <w:r w:rsidR="00770444">
        <w:rPr>
          <w:rFonts w:ascii="Arial" w:hAnsi="Arial" w:cs="Arial"/>
        </w:rPr>
        <w:t xml:space="preserve">The </w:t>
      </w:r>
      <w:r w:rsidR="00770444" w:rsidRPr="00770444">
        <w:rPr>
          <w:rFonts w:ascii="Arial" w:hAnsi="Arial" w:cs="Arial"/>
        </w:rPr>
        <w:t>North Wales Safeguarding Adults Board</w:t>
      </w:r>
      <w:r w:rsidR="00770444">
        <w:rPr>
          <w:rFonts w:ascii="Arial" w:hAnsi="Arial" w:cs="Arial"/>
        </w:rPr>
        <w:t xml:space="preserve"> states that t</w:t>
      </w:r>
      <w:r w:rsidR="00770444" w:rsidRPr="00770444">
        <w:rPr>
          <w:rFonts w:ascii="Arial" w:hAnsi="Arial" w:cs="Arial"/>
        </w:rPr>
        <w:t>here is no accepted operational definition of self-neglect nationally or internationally</w:t>
      </w:r>
      <w:r w:rsidR="00770444">
        <w:rPr>
          <w:rFonts w:ascii="Arial" w:hAnsi="Arial" w:cs="Arial"/>
        </w:rPr>
        <w:t xml:space="preserve"> </w:t>
      </w:r>
      <w:r w:rsidR="00770444" w:rsidRPr="00770444">
        <w:rPr>
          <w:rFonts w:ascii="Arial" w:hAnsi="Arial" w:cs="Arial"/>
        </w:rPr>
        <w:t>due to the dynamic and complexity of self-neglect.</w:t>
      </w:r>
      <w:r w:rsidR="00770444">
        <w:rPr>
          <w:rFonts w:ascii="Arial" w:hAnsi="Arial" w:cs="Arial"/>
        </w:rPr>
        <w:t xml:space="preserve"> However, </w:t>
      </w:r>
      <w:r w:rsidR="00770444" w:rsidRPr="00770444">
        <w:rPr>
          <w:rFonts w:ascii="Arial" w:hAnsi="Arial" w:cs="Arial"/>
        </w:rPr>
        <w:t xml:space="preserve">Gibbons et al (2006) defined </w:t>
      </w:r>
      <w:r w:rsidR="00770444">
        <w:rPr>
          <w:rFonts w:ascii="Arial" w:hAnsi="Arial" w:cs="Arial"/>
        </w:rPr>
        <w:t>self-neglect</w:t>
      </w:r>
      <w:r w:rsidR="00770444" w:rsidRPr="00770444">
        <w:rPr>
          <w:rFonts w:ascii="Arial" w:hAnsi="Arial" w:cs="Arial"/>
        </w:rPr>
        <w:t xml:space="preserve"> as </w:t>
      </w:r>
      <w:r w:rsidR="00770444" w:rsidRPr="00770444">
        <w:rPr>
          <w:rFonts w:ascii="Arial" w:hAnsi="Arial" w:cs="Arial"/>
          <w:i/>
          <w:iCs/>
        </w:rPr>
        <w:t>“the inability (intentionally or non-intentionally) to maintain a socially and culturally acceptable standard of self-care with the potential for serious consequences to the health and well-being of those who self-neglect and perhaps too to their community”.</w:t>
      </w:r>
      <w:r w:rsidR="00770444">
        <w:rPr>
          <w:rFonts w:ascii="Arial" w:hAnsi="Arial" w:cs="Arial"/>
          <w:i/>
          <w:iCs/>
        </w:rPr>
        <w:t xml:space="preserve"> </w:t>
      </w:r>
      <w:r w:rsidR="00770444">
        <w:rPr>
          <w:rFonts w:ascii="Arial" w:hAnsi="Arial" w:cs="Arial"/>
        </w:rPr>
        <w:t xml:space="preserve">(Gibbons, 2006). </w:t>
      </w:r>
    </w:p>
    <w:p w14:paraId="2C611FF6" w14:textId="3F0AC9FC" w:rsidR="00517563" w:rsidRDefault="00517563" w:rsidP="00517563">
      <w:pPr>
        <w:rPr>
          <w:rFonts w:ascii="Arial" w:hAnsi="Arial" w:cs="Arial"/>
        </w:rPr>
      </w:pPr>
      <w:r w:rsidRPr="007F778A">
        <w:rPr>
          <w:rFonts w:ascii="Arial" w:hAnsi="Arial" w:cs="Arial"/>
        </w:rPr>
        <w:t>The</w:t>
      </w:r>
      <w:r>
        <w:rPr>
          <w:rFonts w:ascii="Arial" w:hAnsi="Arial" w:cs="Arial"/>
        </w:rPr>
        <w:t xml:space="preserve"> </w:t>
      </w:r>
      <w:r w:rsidR="008A0CEB">
        <w:rPr>
          <w:rFonts w:ascii="Arial" w:hAnsi="Arial" w:cs="Arial"/>
        </w:rPr>
        <w:t>SSWBA14</w:t>
      </w:r>
      <w:r w:rsidRPr="002E1AEE">
        <w:rPr>
          <w:rFonts w:ascii="Arial" w:hAnsi="Arial" w:cs="Arial"/>
        </w:rPr>
        <w:t xml:space="preserve"> </w:t>
      </w:r>
      <w:r w:rsidRPr="007F778A">
        <w:rPr>
          <w:rFonts w:ascii="Arial" w:hAnsi="Arial" w:cs="Arial"/>
        </w:rPr>
        <w:t>has 11 parts. Part 7 of</w:t>
      </w:r>
      <w:r>
        <w:rPr>
          <w:rFonts w:ascii="Arial" w:hAnsi="Arial" w:cs="Arial"/>
        </w:rPr>
        <w:t xml:space="preserve"> </w:t>
      </w:r>
      <w:r w:rsidRPr="007F778A">
        <w:rPr>
          <w:rFonts w:ascii="Arial" w:hAnsi="Arial" w:cs="Arial"/>
        </w:rPr>
        <w:t>the Act relates to safeguarding.</w:t>
      </w:r>
      <w:r>
        <w:rPr>
          <w:rFonts w:ascii="Arial" w:hAnsi="Arial" w:cs="Arial"/>
        </w:rPr>
        <w:t xml:space="preserve"> </w:t>
      </w:r>
      <w:r w:rsidRPr="007F778A">
        <w:rPr>
          <w:rFonts w:ascii="Arial" w:hAnsi="Arial" w:cs="Arial"/>
        </w:rPr>
        <w:t>Section 7 of t</w:t>
      </w:r>
      <w:r>
        <w:rPr>
          <w:rFonts w:ascii="Arial" w:hAnsi="Arial" w:cs="Arial"/>
        </w:rPr>
        <w:t>he SSWBA14</w:t>
      </w:r>
      <w:r w:rsidRPr="007F778A">
        <w:rPr>
          <w:rFonts w:ascii="Arial" w:hAnsi="Arial" w:cs="Arial"/>
        </w:rPr>
        <w:t xml:space="preserve"> places duties on persons exercising functions under the</w:t>
      </w:r>
      <w:r>
        <w:rPr>
          <w:rFonts w:ascii="Arial" w:hAnsi="Arial" w:cs="Arial"/>
        </w:rPr>
        <w:t xml:space="preserve"> SSWBA14</w:t>
      </w:r>
      <w:r w:rsidRPr="007F778A">
        <w:rPr>
          <w:rFonts w:ascii="Arial" w:hAnsi="Arial" w:cs="Arial"/>
        </w:rPr>
        <w:t xml:space="preserve"> to have</w:t>
      </w:r>
      <w:r>
        <w:rPr>
          <w:rFonts w:ascii="Arial" w:hAnsi="Arial" w:cs="Arial"/>
        </w:rPr>
        <w:t xml:space="preserve"> </w:t>
      </w:r>
      <w:r w:rsidRPr="007F778A">
        <w:rPr>
          <w:rFonts w:ascii="Arial" w:hAnsi="Arial" w:cs="Arial"/>
        </w:rPr>
        <w:t xml:space="preserve">due regard to the </w:t>
      </w:r>
      <w:bookmarkStart w:id="0" w:name="_Hlk204605861"/>
      <w:r w:rsidRPr="007F778A">
        <w:rPr>
          <w:rFonts w:ascii="Arial" w:hAnsi="Arial" w:cs="Arial"/>
        </w:rPr>
        <w:t xml:space="preserve">United Nations Principles for Older Persons </w:t>
      </w:r>
      <w:bookmarkEnd w:id="0"/>
      <w:r>
        <w:rPr>
          <w:rFonts w:ascii="Arial" w:hAnsi="Arial" w:cs="Arial"/>
        </w:rPr>
        <w:t xml:space="preserve">(UNPfOP) </w:t>
      </w:r>
      <w:r w:rsidRPr="007F778A">
        <w:rPr>
          <w:rFonts w:ascii="Arial" w:hAnsi="Arial" w:cs="Arial"/>
        </w:rPr>
        <w:t xml:space="preserve">and the </w:t>
      </w:r>
      <w:bookmarkStart w:id="1" w:name="_Hlk204605975"/>
      <w:r w:rsidRPr="007F778A">
        <w:rPr>
          <w:rFonts w:ascii="Arial" w:hAnsi="Arial" w:cs="Arial"/>
        </w:rPr>
        <w:t>United Nations</w:t>
      </w:r>
      <w:r>
        <w:rPr>
          <w:rFonts w:ascii="Arial" w:hAnsi="Arial" w:cs="Arial"/>
        </w:rPr>
        <w:t xml:space="preserve"> </w:t>
      </w:r>
      <w:r w:rsidRPr="007F778A">
        <w:rPr>
          <w:rFonts w:ascii="Arial" w:hAnsi="Arial" w:cs="Arial"/>
        </w:rPr>
        <w:t>Convention on the Rights of the Chil</w:t>
      </w:r>
      <w:r>
        <w:rPr>
          <w:rFonts w:ascii="Arial" w:hAnsi="Arial" w:cs="Arial"/>
        </w:rPr>
        <w:t>d</w:t>
      </w:r>
      <w:bookmarkEnd w:id="1"/>
      <w:r>
        <w:rPr>
          <w:rFonts w:ascii="Arial" w:hAnsi="Arial" w:cs="Arial"/>
        </w:rPr>
        <w:t>, particularly articles 2,3,5,6,</w:t>
      </w:r>
      <w:r w:rsidR="001E07A2">
        <w:rPr>
          <w:rFonts w:ascii="Arial" w:hAnsi="Arial" w:cs="Arial"/>
        </w:rPr>
        <w:t xml:space="preserve"> </w:t>
      </w:r>
      <w:r>
        <w:rPr>
          <w:rFonts w:ascii="Arial" w:hAnsi="Arial" w:cs="Arial"/>
        </w:rPr>
        <w:t xml:space="preserve">and 8. </w:t>
      </w:r>
      <w:r w:rsidRPr="007F778A">
        <w:rPr>
          <w:rFonts w:ascii="Arial" w:hAnsi="Arial" w:cs="Arial"/>
        </w:rPr>
        <w:t xml:space="preserve">When exercising functions under the </w:t>
      </w:r>
      <w:r>
        <w:rPr>
          <w:rFonts w:ascii="Arial" w:hAnsi="Arial" w:cs="Arial"/>
        </w:rPr>
        <w:t>SSWBA14</w:t>
      </w:r>
      <w:r w:rsidRPr="007F778A">
        <w:rPr>
          <w:rFonts w:ascii="Arial" w:hAnsi="Arial" w:cs="Arial"/>
        </w:rPr>
        <w:t xml:space="preserve"> in relation to adults</w:t>
      </w:r>
      <w:r>
        <w:rPr>
          <w:rFonts w:ascii="Arial" w:hAnsi="Arial" w:cs="Arial"/>
        </w:rPr>
        <w:t xml:space="preserve"> or carers</w:t>
      </w:r>
      <w:r w:rsidRPr="007F778A">
        <w:rPr>
          <w:rFonts w:ascii="Arial" w:hAnsi="Arial" w:cs="Arial"/>
        </w:rPr>
        <w:t xml:space="preserve"> who need care, local authorities</w:t>
      </w:r>
      <w:r>
        <w:rPr>
          <w:rFonts w:ascii="Arial" w:hAnsi="Arial" w:cs="Arial"/>
        </w:rPr>
        <w:t xml:space="preserve"> must</w:t>
      </w:r>
      <w:r w:rsidRPr="007F778A">
        <w:rPr>
          <w:rFonts w:ascii="Arial" w:hAnsi="Arial" w:cs="Arial"/>
          <w:b/>
          <w:bCs/>
        </w:rPr>
        <w:t xml:space="preserve"> </w:t>
      </w:r>
      <w:r w:rsidRPr="007F778A">
        <w:rPr>
          <w:rFonts w:ascii="Arial" w:hAnsi="Arial" w:cs="Arial"/>
        </w:rPr>
        <w:t xml:space="preserve">have due regard to the </w:t>
      </w:r>
      <w:r>
        <w:rPr>
          <w:rFonts w:ascii="Arial" w:hAnsi="Arial" w:cs="Arial"/>
        </w:rPr>
        <w:t>UNPfOP</w:t>
      </w:r>
      <w:r w:rsidRPr="007F778A">
        <w:rPr>
          <w:rFonts w:ascii="Arial" w:hAnsi="Arial" w:cs="Arial"/>
        </w:rPr>
        <w:t xml:space="preserve"> as adopted by the General Assembly of the United</w:t>
      </w:r>
      <w:r>
        <w:rPr>
          <w:rFonts w:ascii="Arial" w:hAnsi="Arial" w:cs="Arial"/>
        </w:rPr>
        <w:t xml:space="preserve"> </w:t>
      </w:r>
      <w:r w:rsidRPr="007F778A">
        <w:rPr>
          <w:rFonts w:ascii="Arial" w:hAnsi="Arial" w:cs="Arial"/>
        </w:rPr>
        <w:t>Nations on 16th December 1991.</w:t>
      </w:r>
      <w:r w:rsidR="00A77A8A">
        <w:rPr>
          <w:rFonts w:ascii="Arial" w:hAnsi="Arial" w:cs="Arial"/>
        </w:rPr>
        <w:t xml:space="preserve"> Wales is the first and only country in the UK to embed principles of the UNPfOP, it includes protection from abuse, express views and have them listened to, to receive care and services if they are living away from home. </w:t>
      </w:r>
    </w:p>
    <w:p w14:paraId="4A3F2965" w14:textId="5040457B" w:rsidR="000E38CD" w:rsidRPr="001665CA" w:rsidRDefault="009C4227" w:rsidP="001665CA">
      <w:pPr>
        <w:rPr>
          <w:rFonts w:ascii="Arial" w:hAnsi="Arial" w:cs="Arial"/>
        </w:rPr>
      </w:pPr>
      <w:r>
        <w:rPr>
          <w:rFonts w:ascii="Arial" w:hAnsi="Arial" w:cs="Arial"/>
        </w:rPr>
        <w:t xml:space="preserve">The </w:t>
      </w:r>
      <w:r w:rsidRPr="00FB3E60">
        <w:rPr>
          <w:rFonts w:ascii="Arial" w:hAnsi="Arial" w:cs="Arial"/>
        </w:rPr>
        <w:t xml:space="preserve">National Wales Safeguarding Procedures </w:t>
      </w:r>
      <w:r>
        <w:rPr>
          <w:rFonts w:ascii="Arial" w:hAnsi="Arial" w:cs="Arial"/>
        </w:rPr>
        <w:t>(NWSP) detail the essential roles and responsibilities for practitioners to ensure that they safeguard children an</w:t>
      </w:r>
      <w:r w:rsidR="009E0B0E">
        <w:rPr>
          <w:rFonts w:ascii="Arial" w:hAnsi="Arial" w:cs="Arial"/>
        </w:rPr>
        <w:t>d</w:t>
      </w:r>
      <w:r>
        <w:rPr>
          <w:rFonts w:ascii="Arial" w:hAnsi="Arial" w:cs="Arial"/>
        </w:rPr>
        <w:t xml:space="preserve"> adults who are at risk of abuse and neglect. These Procedures helps practitioners apply the SSWBA14 and statutory </w:t>
      </w:r>
      <w:r w:rsidRPr="00AB4130">
        <w:rPr>
          <w:rFonts w:ascii="Arial" w:hAnsi="Arial" w:cs="Arial"/>
        </w:rPr>
        <w:t xml:space="preserve">safeguarding guidance Working Together to Safeguard People. </w:t>
      </w:r>
      <w:r w:rsidR="000E38CD">
        <w:rPr>
          <w:rFonts w:ascii="Arial" w:hAnsi="Arial" w:cs="Arial"/>
        </w:rPr>
        <w:t xml:space="preserve">The NWSP states that effective safeguarding requires each practitioner and organisation to play their part and contributing to safeguarding and promoting the </w:t>
      </w:r>
      <w:r w:rsidR="000E38CD">
        <w:rPr>
          <w:rFonts w:ascii="Arial" w:hAnsi="Arial" w:cs="Arial"/>
        </w:rPr>
        <w:lastRenderedPageBreak/>
        <w:t>well-being of adults at risk, working as a multi-disciplinary team</w:t>
      </w:r>
      <w:r w:rsidR="00F164D1">
        <w:rPr>
          <w:rFonts w:ascii="Arial" w:hAnsi="Arial" w:cs="Arial"/>
        </w:rPr>
        <w:t xml:space="preserve"> (MDT)</w:t>
      </w:r>
      <w:r w:rsidR="000E38CD">
        <w:rPr>
          <w:rFonts w:ascii="Arial" w:hAnsi="Arial" w:cs="Arial"/>
        </w:rPr>
        <w:t xml:space="preserve"> to better understand the individual and their circumstances and co-productively working with the adult at risk, their family and carers to establish what matters to them and to ensure they feel respected and informed (NWSP,</w:t>
      </w:r>
      <w:r w:rsidR="00AB4130">
        <w:rPr>
          <w:rFonts w:ascii="Arial" w:hAnsi="Arial" w:cs="Arial"/>
        </w:rPr>
        <w:t xml:space="preserve"> 2019</w:t>
      </w:r>
      <w:r w:rsidR="003E38DF">
        <w:rPr>
          <w:rFonts w:ascii="Arial" w:hAnsi="Arial" w:cs="Arial"/>
        </w:rPr>
        <w:t>).</w:t>
      </w:r>
      <w:r w:rsidR="009E0B0E">
        <w:rPr>
          <w:rFonts w:ascii="Arial" w:hAnsi="Arial" w:cs="Arial"/>
        </w:rPr>
        <w:t xml:space="preserve"> </w:t>
      </w:r>
      <w:r w:rsidR="001665CA">
        <w:rPr>
          <w:rFonts w:ascii="Arial" w:hAnsi="Arial" w:cs="Arial"/>
        </w:rPr>
        <w:t xml:space="preserve">The SSWBA14 states that </w:t>
      </w:r>
      <w:r w:rsidR="001665CA" w:rsidRPr="001665CA">
        <w:rPr>
          <w:rFonts w:ascii="Arial" w:hAnsi="Arial" w:cs="Arial"/>
        </w:rPr>
        <w:t>Local authorities and health boards must work together to assess care and support needs (and carer support needs) of the population in their area (SSWBA, 2014).</w:t>
      </w:r>
      <w:r w:rsidR="001665CA">
        <w:rPr>
          <w:rFonts w:ascii="Arial" w:hAnsi="Arial" w:cs="Arial"/>
        </w:rPr>
        <w:t xml:space="preserve"> Dr Miller (2018) explained that </w:t>
      </w:r>
      <w:r w:rsidR="001665CA" w:rsidRPr="001665CA">
        <w:rPr>
          <w:rFonts w:ascii="Arial" w:hAnsi="Arial" w:cs="Arial"/>
          <w:i/>
          <w:iCs/>
        </w:rPr>
        <w:t>“not working together results in a poor experience of care,</w:t>
      </w:r>
      <w:r w:rsidR="001665CA">
        <w:rPr>
          <w:rFonts w:ascii="Arial" w:hAnsi="Arial" w:cs="Arial"/>
          <w:i/>
          <w:iCs/>
        </w:rPr>
        <w:t xml:space="preserve"> </w:t>
      </w:r>
      <w:r w:rsidR="001665CA" w:rsidRPr="001665CA">
        <w:rPr>
          <w:rFonts w:ascii="Arial" w:hAnsi="Arial" w:cs="Arial"/>
          <w:i/>
          <w:iCs/>
        </w:rPr>
        <w:t xml:space="preserve">a waste of resources and in some </w:t>
      </w:r>
      <w:r w:rsidR="001E07A2" w:rsidRPr="001665CA">
        <w:rPr>
          <w:rFonts w:ascii="Arial" w:hAnsi="Arial" w:cs="Arial"/>
          <w:i/>
          <w:iCs/>
        </w:rPr>
        <w:t>cases,</w:t>
      </w:r>
      <w:r w:rsidR="001665CA" w:rsidRPr="001665CA">
        <w:rPr>
          <w:rFonts w:ascii="Arial" w:hAnsi="Arial" w:cs="Arial"/>
          <w:i/>
          <w:iCs/>
        </w:rPr>
        <w:t xml:space="preserve"> people suffering harm”</w:t>
      </w:r>
      <w:r w:rsidR="001665CA">
        <w:rPr>
          <w:rFonts w:ascii="Arial" w:hAnsi="Arial" w:cs="Arial"/>
          <w:i/>
          <w:iCs/>
        </w:rPr>
        <w:t xml:space="preserve"> </w:t>
      </w:r>
      <w:r w:rsidR="001665CA">
        <w:rPr>
          <w:rFonts w:ascii="Arial" w:hAnsi="Arial" w:cs="Arial"/>
        </w:rPr>
        <w:t>(Miller. R, 2018).</w:t>
      </w:r>
    </w:p>
    <w:p w14:paraId="11C438C3" w14:textId="0AB39F5D" w:rsidR="00193A0A" w:rsidRDefault="00193A0A">
      <w:pPr>
        <w:rPr>
          <w:rFonts w:ascii="Arial" w:hAnsi="Arial" w:cs="Arial"/>
        </w:rPr>
      </w:pPr>
      <w:r w:rsidRPr="00193A0A">
        <w:rPr>
          <w:rFonts w:ascii="Arial" w:hAnsi="Arial" w:cs="Arial"/>
        </w:rPr>
        <w:t xml:space="preserve">The Equality Act 2010 provides a legal framework to protect individuals from discrimination and harassment based on specific characteristics, </w:t>
      </w:r>
      <w:r>
        <w:rPr>
          <w:rFonts w:ascii="Arial" w:hAnsi="Arial" w:cs="Arial"/>
        </w:rPr>
        <w:t xml:space="preserve">which are </w:t>
      </w:r>
      <w:r w:rsidRPr="00193A0A">
        <w:rPr>
          <w:rFonts w:ascii="Arial" w:hAnsi="Arial" w:cs="Arial"/>
        </w:rPr>
        <w:t xml:space="preserve">known as "protected characteristics". It also places duties on public bodies to actively promote equality and foster good relations between different groups. In the context of safeguarding, this means ensuring that individuals are not discriminated against or treated unfairly due to their </w:t>
      </w:r>
      <w:r>
        <w:rPr>
          <w:rFonts w:ascii="Arial" w:hAnsi="Arial" w:cs="Arial"/>
        </w:rPr>
        <w:t>protected characteristics (</w:t>
      </w:r>
      <w:r w:rsidRPr="00193A0A">
        <w:rPr>
          <w:rFonts w:ascii="Arial" w:hAnsi="Arial" w:cs="Arial"/>
        </w:rPr>
        <w:t>age, disability, gender reassignment, race, religion or belief, sex, sexual orientation, marriage or civil partnership, or pregnancy and maternity</w:t>
      </w:r>
      <w:r>
        <w:rPr>
          <w:rFonts w:ascii="Arial" w:hAnsi="Arial" w:cs="Arial"/>
        </w:rPr>
        <w:t>)</w:t>
      </w:r>
      <w:r w:rsidRPr="00193A0A">
        <w:rPr>
          <w:rFonts w:ascii="Arial" w:hAnsi="Arial" w:cs="Arial"/>
        </w:rPr>
        <w:t>. </w:t>
      </w:r>
    </w:p>
    <w:p w14:paraId="5ED263DD" w14:textId="6C2172A0" w:rsidR="009E133F" w:rsidRDefault="009E133F" w:rsidP="009E0B0E">
      <w:pPr>
        <w:tabs>
          <w:tab w:val="num" w:pos="720"/>
        </w:tabs>
        <w:rPr>
          <w:rFonts w:ascii="Arial" w:hAnsi="Arial" w:cs="Arial"/>
        </w:rPr>
      </w:pPr>
      <w:r w:rsidRPr="009E133F">
        <w:rPr>
          <w:rFonts w:ascii="Arial" w:hAnsi="Arial" w:cs="Arial"/>
        </w:rPr>
        <w:t>‘More than just words’ is the </w:t>
      </w:r>
      <w:hyperlink r:id="rId12" w:tgtFrame="_blank" w:history="1">
        <w:r w:rsidRPr="009E133F">
          <w:rPr>
            <w:rStyle w:val="Hyperlink"/>
            <w:rFonts w:ascii="Arial" w:hAnsi="Arial" w:cs="Arial"/>
            <w:color w:val="auto"/>
            <w:u w:val="none"/>
          </w:rPr>
          <w:t>Welsh Government’s Strategic Framework for the Welsh Language in Health and Social Care</w:t>
        </w:r>
      </w:hyperlink>
      <w:r w:rsidRPr="009E133F">
        <w:rPr>
          <w:rFonts w:ascii="Arial" w:hAnsi="Arial" w:cs="Arial"/>
        </w:rPr>
        <w:t>.</w:t>
      </w:r>
      <w:r>
        <w:rPr>
          <w:rFonts w:ascii="Arial" w:hAnsi="Arial" w:cs="Arial"/>
        </w:rPr>
        <w:t xml:space="preserve"> The framework aims to make sure the language needs of Welsh speakers are met, </w:t>
      </w:r>
      <w:r w:rsidRPr="009E133F">
        <w:rPr>
          <w:rFonts w:ascii="Arial" w:hAnsi="Arial" w:cs="Arial"/>
        </w:rPr>
        <w:t>provide Welsh language services for those who need it</w:t>
      </w:r>
      <w:r>
        <w:rPr>
          <w:rFonts w:ascii="Arial" w:hAnsi="Arial" w:cs="Arial"/>
        </w:rPr>
        <w:t xml:space="preserve"> and </w:t>
      </w:r>
      <w:r w:rsidRPr="009E133F">
        <w:rPr>
          <w:rFonts w:ascii="Arial" w:hAnsi="Arial" w:cs="Arial"/>
        </w:rPr>
        <w:t>show that language plays an important part in the quality of care and isn’t seen as an “add-on”.</w:t>
      </w:r>
      <w:r w:rsidR="009E0B0E">
        <w:rPr>
          <w:rFonts w:ascii="Arial" w:hAnsi="Arial" w:cs="Arial"/>
        </w:rPr>
        <w:t xml:space="preserve"> </w:t>
      </w:r>
      <w:r w:rsidRPr="009E133F">
        <w:rPr>
          <w:rFonts w:ascii="Arial" w:hAnsi="Arial" w:cs="Arial"/>
        </w:rPr>
        <w:t xml:space="preserve">This </w:t>
      </w:r>
      <w:r w:rsidR="009E0B0E">
        <w:rPr>
          <w:rFonts w:ascii="Arial" w:hAnsi="Arial" w:cs="Arial"/>
        </w:rPr>
        <w:t>framework</w:t>
      </w:r>
      <w:r w:rsidRPr="009E133F">
        <w:rPr>
          <w:rFonts w:ascii="Arial" w:hAnsi="Arial" w:cs="Arial"/>
        </w:rPr>
        <w:t xml:space="preserve"> places the responsibility for ensuring Welsh language services on service providers,</w:t>
      </w:r>
      <w:r w:rsidR="009E0B0E">
        <w:rPr>
          <w:rFonts w:ascii="Arial" w:hAnsi="Arial" w:cs="Arial"/>
        </w:rPr>
        <w:t xml:space="preserve"> and</w:t>
      </w:r>
      <w:r w:rsidRPr="009E133F">
        <w:rPr>
          <w:rFonts w:ascii="Arial" w:hAnsi="Arial" w:cs="Arial"/>
        </w:rPr>
        <w:t xml:space="preserve"> not on the individual </w:t>
      </w:r>
      <w:r w:rsidR="009E0B0E">
        <w:rPr>
          <w:rFonts w:ascii="Arial" w:hAnsi="Arial" w:cs="Arial"/>
        </w:rPr>
        <w:t>themselves who uses the service</w:t>
      </w:r>
      <w:r w:rsidRPr="009E133F">
        <w:rPr>
          <w:rFonts w:ascii="Arial" w:hAnsi="Arial" w:cs="Arial"/>
        </w:rPr>
        <w:t>.</w:t>
      </w:r>
      <w:r w:rsidR="009E0B0E">
        <w:rPr>
          <w:rFonts w:ascii="Arial" w:hAnsi="Arial" w:cs="Arial"/>
        </w:rPr>
        <w:t xml:space="preserve"> </w:t>
      </w:r>
      <w:r w:rsidRPr="009E133F">
        <w:rPr>
          <w:rFonts w:ascii="Arial" w:hAnsi="Arial" w:cs="Arial"/>
        </w:rPr>
        <w:t>The ‘active offer’ means providing a service in Welsh without having to ask for it.</w:t>
      </w:r>
      <w:r w:rsidR="009E0B0E">
        <w:rPr>
          <w:rFonts w:ascii="Arial" w:hAnsi="Arial" w:cs="Arial"/>
        </w:rPr>
        <w:t xml:space="preserve"> </w:t>
      </w:r>
      <w:r w:rsidRPr="009E133F">
        <w:rPr>
          <w:rFonts w:ascii="Arial" w:hAnsi="Arial" w:cs="Arial"/>
        </w:rPr>
        <w:t>Actively offering Welsh language services makes sure that people’s needs are understood and met and that those who access care services can rely on being treated with the dignity and respect they deserve.</w:t>
      </w:r>
      <w:r w:rsidR="009E0B0E">
        <w:rPr>
          <w:rFonts w:ascii="Arial" w:hAnsi="Arial" w:cs="Arial"/>
        </w:rPr>
        <w:t xml:space="preserve"> Not doing so </w:t>
      </w:r>
      <w:r w:rsidRPr="009E133F">
        <w:rPr>
          <w:rFonts w:ascii="Arial" w:hAnsi="Arial" w:cs="Arial"/>
        </w:rPr>
        <w:t>may result in people’s dignity and respect being compromised</w:t>
      </w:r>
      <w:r w:rsidR="009E0B0E">
        <w:rPr>
          <w:rFonts w:ascii="Arial" w:hAnsi="Arial" w:cs="Arial"/>
        </w:rPr>
        <w:t xml:space="preserve"> (SCW, 2025)</w:t>
      </w:r>
      <w:r w:rsidRPr="009E133F">
        <w:rPr>
          <w:rFonts w:ascii="Arial" w:hAnsi="Arial" w:cs="Arial"/>
        </w:rPr>
        <w:t>.</w:t>
      </w:r>
    </w:p>
    <w:p w14:paraId="6F265F53" w14:textId="420F6FEB" w:rsidR="00473768" w:rsidRDefault="003F1755" w:rsidP="00A77A8A">
      <w:pPr>
        <w:rPr>
          <w:rFonts w:ascii="Arial" w:hAnsi="Arial" w:cs="Arial"/>
        </w:rPr>
      </w:pPr>
      <w:r>
        <w:rPr>
          <w:rFonts w:ascii="Arial" w:hAnsi="Arial" w:cs="Arial"/>
        </w:rPr>
        <w:t xml:space="preserve">The Mental Capacity Act 2005 (MCA) is to protect and empower adults who may lack capacity </w:t>
      </w:r>
      <w:r w:rsidR="006D6298">
        <w:rPr>
          <w:rFonts w:ascii="Arial" w:hAnsi="Arial" w:cs="Arial"/>
        </w:rPr>
        <w:t xml:space="preserve">to make some or all decisions for themselves. By ensuring that their best interests are considered the MCA provides a framework for making decisions on behalf of those individuals. </w:t>
      </w:r>
      <w:r w:rsidR="00FD4C25" w:rsidRPr="00FD4C25">
        <w:rPr>
          <w:rFonts w:ascii="Arial" w:hAnsi="Arial" w:cs="Arial"/>
        </w:rPr>
        <w:t xml:space="preserve">Safeguarding adults under the MCA involves assessing capacity, making best interest decisions, and potentially using Deprivation of Liberty Safeguards (DoLS) </w:t>
      </w:r>
      <w:r w:rsidR="00A77A8A">
        <w:rPr>
          <w:rFonts w:ascii="Arial" w:hAnsi="Arial" w:cs="Arial"/>
        </w:rPr>
        <w:t xml:space="preserve">or </w:t>
      </w:r>
      <w:hyperlink r:id="rId13" w:history="1">
        <w:r w:rsidR="00A77A8A" w:rsidRPr="00A77A8A">
          <w:rPr>
            <w:rStyle w:val="Hyperlink"/>
            <w:rFonts w:ascii="Arial" w:hAnsi="Arial" w:cs="Arial"/>
            <w:color w:val="auto"/>
            <w:u w:val="none"/>
          </w:rPr>
          <w:t>Deprivation of Liberty in a Domestic Setting (DIDs)</w:t>
        </w:r>
      </w:hyperlink>
      <w:r w:rsidR="00A77A8A">
        <w:rPr>
          <w:rFonts w:ascii="Arial" w:hAnsi="Arial" w:cs="Arial"/>
        </w:rPr>
        <w:t xml:space="preserve"> </w:t>
      </w:r>
      <w:r w:rsidR="00FD4C25" w:rsidRPr="00FD4C25">
        <w:rPr>
          <w:rFonts w:ascii="Arial" w:hAnsi="Arial" w:cs="Arial"/>
        </w:rPr>
        <w:t>when restrictions are necessary. </w:t>
      </w:r>
      <w:r w:rsidR="00A77A8A">
        <w:rPr>
          <w:rFonts w:ascii="Arial" w:hAnsi="Arial" w:cs="Arial"/>
        </w:rPr>
        <w:t>When someone has capacity then you will require consent to support under the safeguarding team, unless there are children or vulnerable adult who might not have capacity involved.</w:t>
      </w:r>
      <w:r w:rsidR="00500C12">
        <w:rPr>
          <w:rFonts w:ascii="Arial" w:hAnsi="Arial" w:cs="Arial"/>
        </w:rPr>
        <w:t xml:space="preserve"> The MCA Code of Practice defines lacking in capacity as </w:t>
      </w:r>
      <w:r w:rsidR="00500C12" w:rsidRPr="00500C12">
        <w:rPr>
          <w:rFonts w:ascii="Arial" w:hAnsi="Arial" w:cs="Arial"/>
          <w:i/>
          <w:iCs/>
        </w:rPr>
        <w:t>“a person who lacks capacity to make a particular decision or take a particular action for themselves at the time the decision or action needs to be taken”</w:t>
      </w:r>
      <w:r w:rsidR="00500C12">
        <w:rPr>
          <w:rFonts w:ascii="Arial" w:hAnsi="Arial" w:cs="Arial"/>
          <w:i/>
          <w:iCs/>
        </w:rPr>
        <w:t xml:space="preserve"> </w:t>
      </w:r>
      <w:r w:rsidR="00500C12">
        <w:rPr>
          <w:rFonts w:ascii="Arial" w:hAnsi="Arial" w:cs="Arial"/>
        </w:rPr>
        <w:t>(Code of Practice, pg.7</w:t>
      </w:r>
      <w:r w:rsidR="00500C12" w:rsidRPr="00500C12">
        <w:rPr>
          <w:rFonts w:ascii="Arial" w:hAnsi="Arial" w:cs="Arial"/>
        </w:rPr>
        <w:t>). I</w:t>
      </w:r>
      <w:r w:rsidR="00A77A8A" w:rsidRPr="00500C12">
        <w:rPr>
          <w:rFonts w:ascii="Arial" w:hAnsi="Arial" w:cs="Arial"/>
        </w:rPr>
        <w:t>f</w:t>
      </w:r>
      <w:r w:rsidR="00A77A8A">
        <w:rPr>
          <w:rFonts w:ascii="Arial" w:hAnsi="Arial" w:cs="Arial"/>
        </w:rPr>
        <w:t xml:space="preserve"> you have assessed someone’s capacity whilst they are living in </w:t>
      </w:r>
      <w:r w:rsidR="00500C12">
        <w:rPr>
          <w:rFonts w:ascii="Arial" w:hAnsi="Arial" w:cs="Arial"/>
        </w:rPr>
        <w:t xml:space="preserve">the United Kingdom and they then move to another </w:t>
      </w:r>
      <w:r w:rsidR="00500C12">
        <w:rPr>
          <w:rFonts w:ascii="Arial" w:hAnsi="Arial" w:cs="Arial"/>
        </w:rPr>
        <w:lastRenderedPageBreak/>
        <w:t xml:space="preserve">country you should be aware that different countries have different laws, the Code of Practice becomes important in different countries especially MCA. For </w:t>
      </w:r>
      <w:r w:rsidR="001E07A2">
        <w:rPr>
          <w:rFonts w:ascii="Arial" w:hAnsi="Arial" w:cs="Arial"/>
        </w:rPr>
        <w:t>example,</w:t>
      </w:r>
      <w:r w:rsidR="00500C12">
        <w:rPr>
          <w:rFonts w:ascii="Arial" w:hAnsi="Arial" w:cs="Arial"/>
        </w:rPr>
        <w:t xml:space="preserve"> i</w:t>
      </w:r>
      <w:r w:rsidR="00500C12" w:rsidRPr="00500C12">
        <w:rPr>
          <w:rFonts w:ascii="Arial" w:hAnsi="Arial" w:cs="Arial"/>
        </w:rPr>
        <w:t>n both the U</w:t>
      </w:r>
      <w:r w:rsidR="00500C12">
        <w:rPr>
          <w:rFonts w:ascii="Arial" w:hAnsi="Arial" w:cs="Arial"/>
        </w:rPr>
        <w:t xml:space="preserve">nited </w:t>
      </w:r>
      <w:r w:rsidR="00500C12" w:rsidRPr="00500C12">
        <w:rPr>
          <w:rFonts w:ascii="Arial" w:hAnsi="Arial" w:cs="Arial"/>
        </w:rPr>
        <w:t>K</w:t>
      </w:r>
      <w:r w:rsidR="00500C12">
        <w:rPr>
          <w:rFonts w:ascii="Arial" w:hAnsi="Arial" w:cs="Arial"/>
        </w:rPr>
        <w:t>ingdom</w:t>
      </w:r>
      <w:r w:rsidR="00500C12" w:rsidRPr="00500C12">
        <w:rPr>
          <w:rFonts w:ascii="Arial" w:hAnsi="Arial" w:cs="Arial"/>
        </w:rPr>
        <w:t xml:space="preserve"> and the U</w:t>
      </w:r>
      <w:r w:rsidR="00500C12">
        <w:rPr>
          <w:rFonts w:ascii="Arial" w:hAnsi="Arial" w:cs="Arial"/>
        </w:rPr>
        <w:t xml:space="preserve">nited </w:t>
      </w:r>
      <w:r w:rsidR="00500C12" w:rsidRPr="00500C12">
        <w:rPr>
          <w:rFonts w:ascii="Arial" w:hAnsi="Arial" w:cs="Arial"/>
        </w:rPr>
        <w:t>S</w:t>
      </w:r>
      <w:r w:rsidR="00500C12">
        <w:rPr>
          <w:rFonts w:ascii="Arial" w:hAnsi="Arial" w:cs="Arial"/>
        </w:rPr>
        <w:t>tates</w:t>
      </w:r>
      <w:r w:rsidR="00500C12" w:rsidRPr="00500C12">
        <w:rPr>
          <w:rFonts w:ascii="Arial" w:hAnsi="Arial" w:cs="Arial"/>
        </w:rPr>
        <w:t>, assessing mental capacity involves determining if an individual can understand, retain, weigh, and communicate information relevant to a specific decision. However, the legal frameworks and specific procedures differ. In the U</w:t>
      </w:r>
      <w:r w:rsidR="00500C12">
        <w:rPr>
          <w:rFonts w:ascii="Arial" w:hAnsi="Arial" w:cs="Arial"/>
        </w:rPr>
        <w:t xml:space="preserve">nited </w:t>
      </w:r>
      <w:r w:rsidR="00500C12" w:rsidRPr="00500C12">
        <w:rPr>
          <w:rFonts w:ascii="Arial" w:hAnsi="Arial" w:cs="Arial"/>
        </w:rPr>
        <w:t>K</w:t>
      </w:r>
      <w:r w:rsidR="00500C12">
        <w:rPr>
          <w:rFonts w:ascii="Arial" w:hAnsi="Arial" w:cs="Arial"/>
        </w:rPr>
        <w:t>ingdom</w:t>
      </w:r>
      <w:r w:rsidR="00500C12" w:rsidRPr="00500C12">
        <w:rPr>
          <w:rFonts w:ascii="Arial" w:hAnsi="Arial" w:cs="Arial"/>
        </w:rPr>
        <w:t xml:space="preserve">, </w:t>
      </w:r>
      <w:hyperlink r:id="rId14" w:tgtFrame="_blank" w:history="1">
        <w:r w:rsidR="00500C12" w:rsidRPr="00500C12">
          <w:rPr>
            <w:rStyle w:val="Hyperlink"/>
            <w:rFonts w:ascii="Arial" w:hAnsi="Arial" w:cs="Arial"/>
            <w:color w:val="auto"/>
            <w:u w:val="none"/>
          </w:rPr>
          <w:t>MCA</w:t>
        </w:r>
      </w:hyperlink>
      <w:r w:rsidR="00500C12">
        <w:rPr>
          <w:rFonts w:ascii="Arial" w:hAnsi="Arial" w:cs="Arial"/>
        </w:rPr>
        <w:t xml:space="preserve"> </w:t>
      </w:r>
      <w:r w:rsidR="00500C12" w:rsidRPr="00500C12">
        <w:rPr>
          <w:rFonts w:ascii="Arial" w:hAnsi="Arial" w:cs="Arial"/>
        </w:rPr>
        <w:t>provides a statutory framework, while in the U</w:t>
      </w:r>
      <w:r w:rsidR="00500C12">
        <w:rPr>
          <w:rFonts w:ascii="Arial" w:hAnsi="Arial" w:cs="Arial"/>
        </w:rPr>
        <w:t xml:space="preserve">nited </w:t>
      </w:r>
      <w:r w:rsidR="00500C12" w:rsidRPr="00500C12">
        <w:rPr>
          <w:rFonts w:ascii="Arial" w:hAnsi="Arial" w:cs="Arial"/>
        </w:rPr>
        <w:t>S</w:t>
      </w:r>
      <w:r w:rsidR="00500C12">
        <w:rPr>
          <w:rFonts w:ascii="Arial" w:hAnsi="Arial" w:cs="Arial"/>
        </w:rPr>
        <w:t>tates</w:t>
      </w:r>
      <w:r w:rsidR="00500C12" w:rsidRPr="00500C12">
        <w:rPr>
          <w:rFonts w:ascii="Arial" w:hAnsi="Arial" w:cs="Arial"/>
        </w:rPr>
        <w:t>, capacity assessments are more varied, relying on state laws and court precedents. </w:t>
      </w:r>
    </w:p>
    <w:p w14:paraId="74D48C1D" w14:textId="2372482A" w:rsidR="00FD4C25" w:rsidRDefault="00473768" w:rsidP="00A77A8A">
      <w:pPr>
        <w:rPr>
          <w:rFonts w:ascii="Arial" w:hAnsi="Arial" w:cs="Arial"/>
        </w:rPr>
      </w:pPr>
      <w:r>
        <w:rPr>
          <w:rFonts w:ascii="Arial" w:hAnsi="Arial" w:cs="Arial"/>
        </w:rPr>
        <w:t>In this case study I will be addressing the citizen as 1 and adult child as 2. I was allocated to support 1 as they were in hospital and a safeguarding meeting needed to take place</w:t>
      </w:r>
      <w:r w:rsidR="00FB6523">
        <w:rPr>
          <w:rFonts w:ascii="Arial" w:hAnsi="Arial" w:cs="Arial"/>
        </w:rPr>
        <w:t xml:space="preserve"> urgently due to concerns of discharge. </w:t>
      </w:r>
      <w:r w:rsidR="002F46E5">
        <w:rPr>
          <w:rFonts w:ascii="Arial" w:hAnsi="Arial" w:cs="Arial"/>
        </w:rPr>
        <w:t xml:space="preserve">Brief history of 1: 1 </w:t>
      </w:r>
      <w:proofErr w:type="gramStart"/>
      <w:r w:rsidR="002F46E5">
        <w:rPr>
          <w:rFonts w:ascii="Arial" w:hAnsi="Arial" w:cs="Arial"/>
        </w:rPr>
        <w:t>lives</w:t>
      </w:r>
      <w:proofErr w:type="gramEnd"/>
      <w:r w:rsidR="002F46E5">
        <w:rPr>
          <w:rFonts w:ascii="Arial" w:hAnsi="Arial" w:cs="Arial"/>
        </w:rPr>
        <w:t xml:space="preserve"> in a council rented house in a deprived area.</w:t>
      </w:r>
      <w:r w:rsidR="007C6B35">
        <w:rPr>
          <w:rFonts w:ascii="Arial" w:hAnsi="Arial" w:cs="Arial"/>
        </w:rPr>
        <w:t xml:space="preserve"> </w:t>
      </w:r>
      <w:r w:rsidR="007C6B35" w:rsidRPr="007C6B35">
        <w:rPr>
          <w:rFonts w:ascii="Arial" w:hAnsi="Arial" w:cs="Arial"/>
        </w:rPr>
        <w:t>The Welsh Index of Multiple Deprivation (WIMD) is the Welsh Government’s official measure of relative deprivation for small areas in Wales.</w:t>
      </w:r>
      <w:r w:rsidR="0029792C">
        <w:rPr>
          <w:rFonts w:ascii="Arial" w:hAnsi="Arial" w:cs="Arial"/>
        </w:rPr>
        <w:t xml:space="preserve"> In their recent report this area was in the 10-20% of the most deprived area in Wales (WIMD, 2019).</w:t>
      </w:r>
      <w:r w:rsidR="002F46E5">
        <w:rPr>
          <w:rFonts w:ascii="Arial" w:hAnsi="Arial" w:cs="Arial"/>
        </w:rPr>
        <w:t xml:space="preserve"> </w:t>
      </w:r>
      <w:r w:rsidR="00AD18FE">
        <w:rPr>
          <w:rFonts w:ascii="Arial" w:hAnsi="Arial" w:cs="Arial"/>
        </w:rPr>
        <w:t>1</w:t>
      </w:r>
      <w:r w:rsidR="002F46E5">
        <w:rPr>
          <w:rFonts w:ascii="Arial" w:hAnsi="Arial" w:cs="Arial"/>
        </w:rPr>
        <w:t xml:space="preserve"> </w:t>
      </w:r>
      <w:proofErr w:type="gramStart"/>
      <w:r w:rsidR="002F46E5">
        <w:rPr>
          <w:rFonts w:ascii="Arial" w:hAnsi="Arial" w:cs="Arial"/>
        </w:rPr>
        <w:t>lives</w:t>
      </w:r>
      <w:proofErr w:type="gramEnd"/>
      <w:r w:rsidR="002F46E5">
        <w:rPr>
          <w:rFonts w:ascii="Arial" w:hAnsi="Arial" w:cs="Arial"/>
        </w:rPr>
        <w:t xml:space="preserve"> with 2. Both 1 and 2 have their own learning disability and other health conditions. </w:t>
      </w:r>
      <w:r w:rsidR="00AD18FE">
        <w:rPr>
          <w:rFonts w:ascii="Arial" w:hAnsi="Arial" w:cs="Arial"/>
        </w:rPr>
        <w:t xml:space="preserve">They have been known to Social Services for several years, often disengaging after </w:t>
      </w:r>
      <w:r w:rsidR="001E07A2">
        <w:rPr>
          <w:rFonts w:ascii="Arial" w:hAnsi="Arial" w:cs="Arial"/>
        </w:rPr>
        <w:t>a period</w:t>
      </w:r>
      <w:r w:rsidR="00AD18FE">
        <w:rPr>
          <w:rFonts w:ascii="Arial" w:hAnsi="Arial" w:cs="Arial"/>
        </w:rPr>
        <w:t xml:space="preserve"> and very untrustworthy of </w:t>
      </w:r>
      <w:r w:rsidR="00BC5C6E">
        <w:rPr>
          <w:rFonts w:ascii="Arial" w:hAnsi="Arial" w:cs="Arial"/>
        </w:rPr>
        <w:t>social</w:t>
      </w:r>
      <w:r w:rsidR="00AD18FE">
        <w:rPr>
          <w:rFonts w:ascii="Arial" w:hAnsi="Arial" w:cs="Arial"/>
        </w:rPr>
        <w:t xml:space="preserve"> services. </w:t>
      </w:r>
      <w:r w:rsidR="0029792C">
        <w:rPr>
          <w:rFonts w:ascii="Arial" w:hAnsi="Arial" w:cs="Arial"/>
        </w:rPr>
        <w:t>Keepin</w:t>
      </w:r>
      <w:r w:rsidR="002716B9">
        <w:rPr>
          <w:rFonts w:ascii="Arial" w:hAnsi="Arial" w:cs="Arial"/>
        </w:rPr>
        <w:t xml:space="preserve">g (2014) emphasises that trust and respect </w:t>
      </w:r>
      <w:r w:rsidR="002716B9">
        <w:rPr>
          <w:rFonts w:ascii="Arial" w:hAnsi="Arial" w:cs="Arial"/>
          <w:i/>
          <w:iCs/>
        </w:rPr>
        <w:t xml:space="preserve">“are important in effective team working, particularly in an interprofessional setting, and that trust in an individual can develop into trust of the professional group. Conversely distrust can be engendered in the same way” </w:t>
      </w:r>
      <w:r w:rsidR="002716B9">
        <w:rPr>
          <w:rFonts w:ascii="Arial" w:hAnsi="Arial" w:cs="Arial"/>
        </w:rPr>
        <w:t>(Keeping, 2014).</w:t>
      </w:r>
      <w:r w:rsidR="00AD18FE">
        <w:rPr>
          <w:rFonts w:ascii="Arial" w:hAnsi="Arial" w:cs="Arial"/>
          <w:color w:val="FF0000"/>
        </w:rPr>
        <w:t xml:space="preserve"> </w:t>
      </w:r>
      <w:r w:rsidR="00AD18FE">
        <w:rPr>
          <w:rFonts w:ascii="Arial" w:hAnsi="Arial" w:cs="Arial"/>
        </w:rPr>
        <w:t xml:space="preserve">1 has been receiving support around hoarding and has been supported to clear the home several times by different agencies but has always </w:t>
      </w:r>
      <w:r w:rsidR="000703A7">
        <w:rPr>
          <w:rFonts w:ascii="Arial" w:hAnsi="Arial" w:cs="Arial"/>
        </w:rPr>
        <w:t>disengaged</w:t>
      </w:r>
      <w:r w:rsidR="00AD18FE">
        <w:rPr>
          <w:rFonts w:ascii="Arial" w:hAnsi="Arial" w:cs="Arial"/>
        </w:rPr>
        <w:t xml:space="preserve">. </w:t>
      </w:r>
      <w:r w:rsidR="00C701DE" w:rsidRPr="00C701DE">
        <w:rPr>
          <w:rFonts w:ascii="Arial" w:hAnsi="Arial" w:cs="Arial"/>
        </w:rPr>
        <w:t xml:space="preserve">Hoarding is the excessive collection and retention of any material to the point that it impedes day to day functioning (Frost &amp; Gross, 1993). </w:t>
      </w:r>
      <w:r w:rsidR="00580908">
        <w:rPr>
          <w:rFonts w:ascii="Arial" w:hAnsi="Arial" w:cs="Arial"/>
        </w:rPr>
        <w:t xml:space="preserve">In North Wales there is a hoarding Protocol created by the safeguarding board. </w:t>
      </w:r>
      <w:r w:rsidR="00580908" w:rsidRPr="00580908">
        <w:rPr>
          <w:rFonts w:ascii="Arial" w:hAnsi="Arial" w:cs="Arial"/>
        </w:rPr>
        <w:t>This protocol sets out a framework for social care and other relevant agencies to work in partnership using an outcome focused, solution-based model. The protocol offers clear guidance to staff working with hoarders. This protocol has been developed in partnership with multi-agency partners</w:t>
      </w:r>
      <w:r w:rsidR="00580908">
        <w:rPr>
          <w:rFonts w:ascii="Arial" w:hAnsi="Arial" w:cs="Arial"/>
        </w:rPr>
        <w:t>.</w:t>
      </w:r>
      <w:r w:rsidR="0025165E">
        <w:rPr>
          <w:rFonts w:ascii="Arial" w:hAnsi="Arial" w:cs="Arial"/>
        </w:rPr>
        <w:t xml:space="preserve"> </w:t>
      </w:r>
      <w:r w:rsidR="0025165E" w:rsidRPr="0025165E">
        <w:rPr>
          <w:rFonts w:ascii="Arial" w:hAnsi="Arial" w:cs="Arial"/>
        </w:rPr>
        <w:t>Disorganized attachment is theorized to contribute to adult hoarding as a coping mechanism for thwarted interpersonal needs and a history of trauma or abandonment, where possessions become a substitute for secure, reciprocal relationships with people. Individuals with disorganized attachment may see their possessions as their primary attachment figures, attempting to fulfil a need for care from objects that cannot provide it, which further interferes with real-life relationships. Attachment theory provides a basis for understanding the complex nature of human relationships. The foundation of this theory is that humans have a basic need for social connection, such that they must form and maintain interpersonal relationships, and derive a sense of security, acceptance, and belongingness from those relationships (Baumeister &amp; Leary, 1995).</w:t>
      </w:r>
      <w:r w:rsidR="0025165E">
        <w:rPr>
          <w:rFonts w:ascii="Arial" w:hAnsi="Arial" w:cs="Arial"/>
        </w:rPr>
        <w:t xml:space="preserve"> </w:t>
      </w:r>
      <w:r w:rsidR="0025165E" w:rsidRPr="0025165E">
        <w:rPr>
          <w:rFonts w:ascii="Arial" w:hAnsi="Arial" w:cs="Arial"/>
        </w:rPr>
        <w:t>Mathes, B. M., Timpano, K. R., Raines, A. M., &amp; Schmidt, N. B. (2020)</w:t>
      </w:r>
      <w:r w:rsidR="0025165E">
        <w:rPr>
          <w:rFonts w:ascii="Arial" w:hAnsi="Arial" w:cs="Arial"/>
        </w:rPr>
        <w:t xml:space="preserve"> </w:t>
      </w:r>
      <w:r w:rsidR="0025165E" w:rsidRPr="0025165E">
        <w:rPr>
          <w:rFonts w:ascii="Arial" w:hAnsi="Arial" w:cs="Arial"/>
        </w:rPr>
        <w:t xml:space="preserve">current review delineates existing work regarding attachment in </w:t>
      </w:r>
      <w:r w:rsidR="0025165E">
        <w:rPr>
          <w:rFonts w:ascii="Arial" w:hAnsi="Arial" w:cs="Arial"/>
        </w:rPr>
        <w:t>hoarding</w:t>
      </w:r>
      <w:r w:rsidR="0025165E" w:rsidRPr="0025165E">
        <w:rPr>
          <w:rFonts w:ascii="Arial" w:hAnsi="Arial" w:cs="Arial"/>
        </w:rPr>
        <w:t xml:space="preserve"> and integrates findings regarding attachment into existing cognitive behavioural models of </w:t>
      </w:r>
      <w:r w:rsidR="0025165E">
        <w:rPr>
          <w:rFonts w:ascii="Arial" w:hAnsi="Arial" w:cs="Arial"/>
        </w:rPr>
        <w:t>hoarding</w:t>
      </w:r>
      <w:r w:rsidR="0025165E" w:rsidRPr="0025165E">
        <w:rPr>
          <w:rFonts w:ascii="Arial" w:hAnsi="Arial" w:cs="Arial"/>
        </w:rPr>
        <w:t>.</w:t>
      </w:r>
      <w:r w:rsidR="0025165E">
        <w:rPr>
          <w:rFonts w:ascii="Arial" w:hAnsi="Arial" w:cs="Arial"/>
        </w:rPr>
        <w:t xml:space="preserve"> They</w:t>
      </w:r>
      <w:r w:rsidR="0025165E" w:rsidRPr="0025165E">
        <w:rPr>
          <w:rFonts w:ascii="Arial" w:hAnsi="Arial" w:cs="Arial"/>
        </w:rPr>
        <w:t xml:space="preserve"> use attachment theory as a foundation by which to examine </w:t>
      </w:r>
      <w:r w:rsidR="0025165E">
        <w:rPr>
          <w:rFonts w:ascii="Arial" w:hAnsi="Arial" w:cs="Arial"/>
        </w:rPr>
        <w:t>hoarding</w:t>
      </w:r>
      <w:r w:rsidR="0025165E" w:rsidRPr="0025165E">
        <w:rPr>
          <w:rFonts w:ascii="Arial" w:hAnsi="Arial" w:cs="Arial"/>
        </w:rPr>
        <w:t xml:space="preserve"> and better understand the dysfunctional relationships seen in those who hoard.</w:t>
      </w:r>
      <w:r w:rsidR="0025165E">
        <w:rPr>
          <w:rFonts w:ascii="Arial" w:hAnsi="Arial" w:cs="Arial"/>
        </w:rPr>
        <w:t xml:space="preserve"> </w:t>
      </w:r>
      <w:r w:rsidR="00FB6523">
        <w:rPr>
          <w:rFonts w:ascii="Arial" w:hAnsi="Arial" w:cs="Arial"/>
        </w:rPr>
        <w:t xml:space="preserve">This meeting took place as </w:t>
      </w:r>
      <w:proofErr w:type="gramStart"/>
      <w:r w:rsidR="00FB6523">
        <w:rPr>
          <w:rFonts w:ascii="Arial" w:hAnsi="Arial" w:cs="Arial"/>
        </w:rPr>
        <w:t>a</w:t>
      </w:r>
      <w:proofErr w:type="gramEnd"/>
      <w:r w:rsidR="00FB6523">
        <w:rPr>
          <w:rFonts w:ascii="Arial" w:hAnsi="Arial" w:cs="Arial"/>
        </w:rPr>
        <w:t xml:space="preserve"> </w:t>
      </w:r>
      <w:r w:rsidR="00F164D1">
        <w:rPr>
          <w:rFonts w:ascii="Arial" w:hAnsi="Arial" w:cs="Arial"/>
        </w:rPr>
        <w:t>MDT</w:t>
      </w:r>
      <w:r w:rsidR="00FB6523">
        <w:rPr>
          <w:rFonts w:ascii="Arial" w:hAnsi="Arial" w:cs="Arial"/>
        </w:rPr>
        <w:t xml:space="preserve"> approach with hospital staff and professionals and community professionals who have known and worked with 1 for several years. During the meeting it was disclosed that 1 wanted to discharge themselves when not medically fit to be discharged. </w:t>
      </w:r>
      <w:r w:rsidR="00AD18FE">
        <w:rPr>
          <w:rFonts w:ascii="Arial" w:hAnsi="Arial" w:cs="Arial"/>
        </w:rPr>
        <w:t xml:space="preserve">Several concerns regarding the home were also discussed during this meeting and whether it being safe for 1 to be discharged to. </w:t>
      </w:r>
      <w:r w:rsidR="00FB6523">
        <w:rPr>
          <w:rFonts w:ascii="Arial" w:hAnsi="Arial" w:cs="Arial"/>
        </w:rPr>
        <w:t xml:space="preserve">The hospital questioned 1’s capacity around understanding their current situation and the importance of the medication therefore the doctor on the ward completed a capacity assessment where they deemed 1 to have the capacity. Under the MCA there are 5 principles which are: presume capacity, right to support, unwise decision, best interest, least restrictive option. Before completing this capacity assessment, the doctor would presume 1 has capacity then during the assessment 1 had the right to support, this could mean having a family member, friend or advocate present, ensuring the information is clear to the person in their method of communication. If someone is deemed to have capacity, then they have the right to make unwise decisions. After 1 was deemed to have capacity the ward staff disputed this and brought an Independent Mental Capacity Advocate to support with completing a new capacity assessment. This capacity assessment deemed 1 not to have the capacity to understand their current </w:t>
      </w:r>
      <w:r w:rsidR="00FB6523">
        <w:rPr>
          <w:rFonts w:ascii="Arial" w:hAnsi="Arial" w:cs="Arial"/>
        </w:rPr>
        <w:lastRenderedPageBreak/>
        <w:t>health situation and the importance of medication, the ward from this made an application for a D</w:t>
      </w:r>
      <w:r w:rsidR="00A37E6B">
        <w:rPr>
          <w:rFonts w:ascii="Arial" w:hAnsi="Arial" w:cs="Arial"/>
        </w:rPr>
        <w:t>o</w:t>
      </w:r>
      <w:r w:rsidR="00FB6523">
        <w:rPr>
          <w:rFonts w:ascii="Arial" w:hAnsi="Arial" w:cs="Arial"/>
        </w:rPr>
        <w:t>Ls. Over that same weekend the hospital completed another capacity assessment that deemed 1 to have capacity and they were discharged that same day.</w:t>
      </w:r>
      <w:r w:rsidR="00070816">
        <w:rPr>
          <w:rFonts w:ascii="Arial" w:hAnsi="Arial" w:cs="Arial"/>
        </w:rPr>
        <w:t xml:space="preserve"> </w:t>
      </w:r>
      <w:r w:rsidR="000703A7">
        <w:rPr>
          <w:rFonts w:ascii="Arial" w:hAnsi="Arial" w:cs="Arial"/>
        </w:rPr>
        <w:t xml:space="preserve">When completing a capacity </w:t>
      </w:r>
      <w:proofErr w:type="gramStart"/>
      <w:r w:rsidR="000703A7">
        <w:rPr>
          <w:rFonts w:ascii="Arial" w:hAnsi="Arial" w:cs="Arial"/>
        </w:rPr>
        <w:t>assessment</w:t>
      </w:r>
      <w:proofErr w:type="gramEnd"/>
      <w:r w:rsidR="000703A7">
        <w:rPr>
          <w:rFonts w:ascii="Arial" w:hAnsi="Arial" w:cs="Arial"/>
        </w:rPr>
        <w:t xml:space="preserve"> it is time specific and decision specific. After 1 was deemed to have </w:t>
      </w:r>
      <w:proofErr w:type="gramStart"/>
      <w:r w:rsidR="000703A7">
        <w:rPr>
          <w:rFonts w:ascii="Arial" w:hAnsi="Arial" w:cs="Arial"/>
        </w:rPr>
        <w:t>capacity</w:t>
      </w:r>
      <w:proofErr w:type="gramEnd"/>
      <w:r w:rsidR="000703A7">
        <w:rPr>
          <w:rFonts w:ascii="Arial" w:hAnsi="Arial" w:cs="Arial"/>
        </w:rPr>
        <w:t xml:space="preserve"> they had the right to discharge themselves under the Human Right Act 1998. </w:t>
      </w:r>
      <w:r w:rsidR="00070816">
        <w:rPr>
          <w:rFonts w:ascii="Arial" w:hAnsi="Arial" w:cs="Arial"/>
        </w:rPr>
        <w:t>T</w:t>
      </w:r>
      <w:r w:rsidR="00070816" w:rsidRPr="00070816">
        <w:rPr>
          <w:rFonts w:ascii="Arial" w:hAnsi="Arial" w:cs="Arial"/>
        </w:rPr>
        <w:t>he medical model focuses on an individual's specific condition or impairment, viewing them as a problem to be fixed through treatment and intervention, while the social model shifts the focus to external societal and environmental barriers, advocating for systemic change and accessibility to empower individuals</w:t>
      </w:r>
      <w:r w:rsidR="00070816">
        <w:rPr>
          <w:rFonts w:ascii="Arial" w:hAnsi="Arial" w:cs="Arial"/>
        </w:rPr>
        <w:t>. During the meeting that was held at the hospital, although concerns were shared regarding the living situation 1 was still discharged without support in place for 1 to return home or a home inspection from health.</w:t>
      </w:r>
      <w:r w:rsidR="00E84E82">
        <w:rPr>
          <w:rFonts w:ascii="Arial" w:hAnsi="Arial" w:cs="Arial"/>
        </w:rPr>
        <w:t xml:space="preserve"> Hogan (2019) explains </w:t>
      </w:r>
      <w:r w:rsidR="001E07A2">
        <w:rPr>
          <w:rFonts w:ascii="Arial" w:hAnsi="Arial" w:cs="Arial"/>
        </w:rPr>
        <w:t>that</w:t>
      </w:r>
      <w:r w:rsidR="00E84E82" w:rsidRPr="00E84E82">
        <w:rPr>
          <w:rFonts w:ascii="Arial" w:hAnsi="Arial" w:cs="Arial"/>
        </w:rPr>
        <w:t xml:space="preserve"> </w:t>
      </w:r>
      <w:r w:rsidR="00E84E82">
        <w:rPr>
          <w:rFonts w:ascii="Arial" w:hAnsi="Arial" w:cs="Arial"/>
        </w:rPr>
        <w:t>“</w:t>
      </w:r>
      <w:r w:rsidR="00E84E82" w:rsidRPr="00E84E82">
        <w:rPr>
          <w:rFonts w:ascii="Arial" w:hAnsi="Arial" w:cs="Arial"/>
          <w:i/>
          <w:iCs/>
        </w:rPr>
        <w:t xml:space="preserve">proponents of the social model of disability have widely embraced the view that impairment and disability interact, and that the individual challenges of impairment should not be disregarded. Nonetheless, many </w:t>
      </w:r>
      <w:r w:rsidR="001E07A2" w:rsidRPr="00E84E82">
        <w:rPr>
          <w:rFonts w:ascii="Arial" w:hAnsi="Arial" w:cs="Arial"/>
          <w:i/>
          <w:iCs/>
        </w:rPr>
        <w:t>disabilities</w:t>
      </w:r>
      <w:r w:rsidR="00E84E82" w:rsidRPr="00E84E82">
        <w:rPr>
          <w:rFonts w:ascii="Arial" w:hAnsi="Arial" w:cs="Arial"/>
          <w:i/>
          <w:iCs/>
        </w:rPr>
        <w:t xml:space="preserve"> self-advocates continue to express substantial distrust in the medical community and its approaches”.</w:t>
      </w:r>
      <w:r w:rsidR="00070816">
        <w:rPr>
          <w:rFonts w:ascii="Arial" w:hAnsi="Arial" w:cs="Arial"/>
        </w:rPr>
        <w:t xml:space="preserve"> </w:t>
      </w:r>
      <w:r w:rsidR="002F46E5">
        <w:rPr>
          <w:rFonts w:ascii="Arial" w:hAnsi="Arial" w:cs="Arial"/>
        </w:rPr>
        <w:t>Now that 1 is home we are back to the start of building trust with 1 once more to gain trust and good rapport.</w:t>
      </w:r>
      <w:r w:rsidR="006F3422">
        <w:rPr>
          <w:rFonts w:ascii="Arial" w:hAnsi="Arial" w:cs="Arial"/>
        </w:rPr>
        <w:t xml:space="preserve"> Rapport Is not something that is built once, rapport is a matter of ongoing concern beginning with your initial presentations, in initial telephone contacts as well the ongoing support you offer (Knapp, 2010).</w:t>
      </w:r>
      <w:r w:rsidR="002F46E5">
        <w:rPr>
          <w:rFonts w:ascii="Arial" w:hAnsi="Arial" w:cs="Arial"/>
        </w:rPr>
        <w:t xml:space="preserve"> </w:t>
      </w:r>
    </w:p>
    <w:p w14:paraId="38166DB7" w14:textId="487DBF29" w:rsidR="00D531FD" w:rsidRDefault="00D531FD" w:rsidP="00A77A8A">
      <w:pPr>
        <w:rPr>
          <w:rFonts w:ascii="Arial" w:hAnsi="Arial" w:cs="Arial"/>
        </w:rPr>
      </w:pPr>
      <w:r>
        <w:rPr>
          <w:rFonts w:ascii="Arial" w:hAnsi="Arial" w:cs="Arial"/>
        </w:rPr>
        <w:t xml:space="preserve">After 1 was discharged </w:t>
      </w:r>
      <w:r w:rsidR="001E07A2">
        <w:rPr>
          <w:rFonts w:ascii="Arial" w:hAnsi="Arial" w:cs="Arial"/>
        </w:rPr>
        <w:t>home,</w:t>
      </w:r>
      <w:r>
        <w:rPr>
          <w:rFonts w:ascii="Arial" w:hAnsi="Arial" w:cs="Arial"/>
        </w:rPr>
        <w:t xml:space="preserve"> I arranged a home visit with a nurse who had been supporting 1 in the past for several years and knew 1 and had a good rapport. During this home visit several things were discussed. The home environment was discussed as 1 has been hoarding for years and has had support with organising her items in the past but has gone back to the old ways. 1 and 2 had ask for support with clearing which is something that has not happened in the past. Several adaptions needed to be done in the home including a hospital bed as 1 and community support were informed during the safeguarding meeting in the hospital that a hospital bed would be ordered however there had not been one delivered</w:t>
      </w:r>
      <w:r w:rsidR="00EC2809">
        <w:rPr>
          <w:rFonts w:ascii="Arial" w:hAnsi="Arial" w:cs="Arial"/>
        </w:rPr>
        <w:t xml:space="preserve"> and 1 had been sleeping in her chair for three weeks</w:t>
      </w:r>
      <w:r>
        <w:rPr>
          <w:rFonts w:ascii="Arial" w:hAnsi="Arial" w:cs="Arial"/>
        </w:rPr>
        <w:t>.</w:t>
      </w:r>
      <w:r w:rsidR="00EC2809">
        <w:rPr>
          <w:rFonts w:ascii="Arial" w:hAnsi="Arial" w:cs="Arial"/>
        </w:rPr>
        <w:t xml:space="preserve"> </w:t>
      </w:r>
      <w:r>
        <w:rPr>
          <w:rFonts w:ascii="Arial" w:hAnsi="Arial" w:cs="Arial"/>
        </w:rPr>
        <w:t xml:space="preserve">Several actions </w:t>
      </w:r>
      <w:r w:rsidR="001E07A2">
        <w:rPr>
          <w:rFonts w:ascii="Arial" w:hAnsi="Arial" w:cs="Arial"/>
        </w:rPr>
        <w:t>were</w:t>
      </w:r>
      <w:r>
        <w:rPr>
          <w:rFonts w:ascii="Arial" w:hAnsi="Arial" w:cs="Arial"/>
        </w:rPr>
        <w:t xml:space="preserve"> needed following this home visit and it was agreed that I would hold an MDT meeting with relevant professionals to discuss the next steps. One of the actions was for me to complete a referral for the occupational therapy (OT) team to </w:t>
      </w:r>
      <w:r w:rsidR="000703A7">
        <w:rPr>
          <w:rFonts w:ascii="Arial" w:hAnsi="Arial" w:cs="Arial"/>
        </w:rPr>
        <w:t>work collaboratively</w:t>
      </w:r>
      <w:r>
        <w:rPr>
          <w:rFonts w:ascii="Arial" w:hAnsi="Arial" w:cs="Arial"/>
        </w:rPr>
        <w:t xml:space="preserve"> to look at the adaptions in the home. The nurse would contact the district nurses to </w:t>
      </w:r>
      <w:r w:rsidR="001E07A2">
        <w:rPr>
          <w:rFonts w:ascii="Arial" w:hAnsi="Arial" w:cs="Arial"/>
        </w:rPr>
        <w:t>investigate</w:t>
      </w:r>
      <w:r>
        <w:rPr>
          <w:rFonts w:ascii="Arial" w:hAnsi="Arial" w:cs="Arial"/>
        </w:rPr>
        <w:t xml:space="preserve"> where the bed had got to and if it was in fact out for delivery. </w:t>
      </w:r>
    </w:p>
    <w:p w14:paraId="20F04B5B" w14:textId="09543A7A" w:rsidR="00D531FD" w:rsidRPr="00D531FD" w:rsidRDefault="00D531FD" w:rsidP="00A77A8A">
      <w:pPr>
        <w:rPr>
          <w:rFonts w:ascii="Arial" w:hAnsi="Arial" w:cs="Arial"/>
        </w:rPr>
      </w:pPr>
      <w:r>
        <w:rPr>
          <w:rFonts w:ascii="Arial" w:hAnsi="Arial" w:cs="Arial"/>
        </w:rPr>
        <w:t>The following week an MDT was arranged with social services, OT, nurses and the housing team due to 1 living in social housing and requesting to move.</w:t>
      </w:r>
      <w:r>
        <w:rPr>
          <w:rFonts w:ascii="Arial" w:hAnsi="Arial" w:cs="Arial"/>
          <w:color w:val="FF0000"/>
        </w:rPr>
        <w:t xml:space="preserve"> </w:t>
      </w:r>
      <w:r w:rsidR="00EC2809" w:rsidRPr="00EC2809">
        <w:rPr>
          <w:rFonts w:ascii="Arial" w:hAnsi="Arial" w:cs="Arial"/>
        </w:rPr>
        <w:t xml:space="preserve">The purpose of </w:t>
      </w:r>
      <w:r w:rsidR="00EC2809">
        <w:rPr>
          <w:rFonts w:ascii="Arial" w:hAnsi="Arial" w:cs="Arial"/>
        </w:rPr>
        <w:t xml:space="preserve">the MDT was to inform all parties involved of how the home visit went. During the MDT we were informed that the hospital had not made a referral to the community nurses to order a hospital bed, this would be discussed at the end of that week when I would visit along with the OT. Another issue that was discussed in the MDT was </w:t>
      </w:r>
      <w:r w:rsidR="00EC2809">
        <w:rPr>
          <w:rFonts w:ascii="Arial" w:hAnsi="Arial" w:cs="Arial"/>
        </w:rPr>
        <w:lastRenderedPageBreak/>
        <w:t xml:space="preserve">housing. In the past 1 wanted to move to a bungalow which would better meet their needs however when they rang the local authority housing list to find out where they were on the </w:t>
      </w:r>
      <w:r w:rsidR="007C1604">
        <w:rPr>
          <w:rFonts w:ascii="Arial" w:hAnsi="Arial" w:cs="Arial"/>
        </w:rPr>
        <w:t>list,</w:t>
      </w:r>
      <w:r w:rsidR="00EC2809">
        <w:rPr>
          <w:rFonts w:ascii="Arial" w:hAnsi="Arial" w:cs="Arial"/>
        </w:rPr>
        <w:t xml:space="preserve"> they had no record of them. Housing explained that this was done in the past but 1 refused to fill in the medical record at the time and the application was not completed. Housing raised a concern around 1’s capacity around care and support however I noted that social services have no concerns about 1’s capacity regarding this matter and 1 has the right to make an unwise decision about </w:t>
      </w:r>
      <w:r w:rsidR="007C1604">
        <w:rPr>
          <w:rFonts w:ascii="Arial" w:hAnsi="Arial" w:cs="Arial"/>
        </w:rPr>
        <w:t>their</w:t>
      </w:r>
      <w:r w:rsidR="00EC2809">
        <w:rPr>
          <w:rFonts w:ascii="Arial" w:hAnsi="Arial" w:cs="Arial"/>
        </w:rPr>
        <w:t xml:space="preserve"> life.</w:t>
      </w:r>
      <w:r w:rsidR="007D047A">
        <w:rPr>
          <w:rFonts w:ascii="Arial" w:hAnsi="Arial" w:cs="Arial"/>
        </w:rPr>
        <w:t xml:space="preserve"> </w:t>
      </w:r>
      <w:r w:rsidR="002A4C14">
        <w:rPr>
          <w:rFonts w:ascii="Arial" w:hAnsi="Arial" w:cs="Arial"/>
        </w:rPr>
        <w:t>However,</w:t>
      </w:r>
      <w:r w:rsidR="007D047A">
        <w:rPr>
          <w:rFonts w:ascii="Arial" w:hAnsi="Arial" w:cs="Arial"/>
        </w:rPr>
        <w:t xml:space="preserve"> as that it would be the first time OT would be meeting </w:t>
      </w:r>
      <w:proofErr w:type="gramStart"/>
      <w:r w:rsidR="007D047A">
        <w:rPr>
          <w:rFonts w:ascii="Arial" w:hAnsi="Arial" w:cs="Arial"/>
        </w:rPr>
        <w:t>1</w:t>
      </w:r>
      <w:proofErr w:type="gramEnd"/>
      <w:r w:rsidR="007D047A">
        <w:rPr>
          <w:rFonts w:ascii="Arial" w:hAnsi="Arial" w:cs="Arial"/>
        </w:rPr>
        <w:t xml:space="preserve"> she would also feedback her opinion on this matter after the visit that was arranged that week. </w:t>
      </w:r>
      <w:r w:rsidR="002A4C14">
        <w:rPr>
          <w:rFonts w:ascii="Arial" w:hAnsi="Arial" w:cs="Arial"/>
        </w:rPr>
        <w:t xml:space="preserve">A safeguarding concern was raised during the MDT regarding 2’s attitude towards 1. Housing disclosed that when they have been to visit 1, 2 has been shouting and swearing towards them and has been silencing 1 whilst they were trying to talk. I also shared that this had been raise in the hospital during the safeguarding meeting, 2 was telling 1 to be quiet often when they were trying to speak. It was agreed from this meeting that we would meet with 1 at the home in pairs to reduce the risk. </w:t>
      </w:r>
      <w:r w:rsidR="007E4985">
        <w:rPr>
          <w:rFonts w:ascii="Arial" w:hAnsi="Arial" w:cs="Arial"/>
        </w:rPr>
        <w:t xml:space="preserve">I explained during the MDT as 1 has the capacity around her care and support </w:t>
      </w:r>
      <w:r w:rsidR="006F3422">
        <w:rPr>
          <w:rFonts w:ascii="Arial" w:hAnsi="Arial" w:cs="Arial"/>
        </w:rPr>
        <w:t>needs,</w:t>
      </w:r>
      <w:r w:rsidR="007E4985">
        <w:rPr>
          <w:rFonts w:ascii="Arial" w:hAnsi="Arial" w:cs="Arial"/>
        </w:rPr>
        <w:t xml:space="preserve"> we would </w:t>
      </w:r>
      <w:r w:rsidR="006F3422">
        <w:rPr>
          <w:rFonts w:ascii="Arial" w:hAnsi="Arial" w:cs="Arial"/>
        </w:rPr>
        <w:t>ask for</w:t>
      </w:r>
      <w:r w:rsidR="007E4985">
        <w:rPr>
          <w:rFonts w:ascii="Arial" w:hAnsi="Arial" w:cs="Arial"/>
        </w:rPr>
        <w:t xml:space="preserve"> her consent to follow the safeguarding procedure. </w:t>
      </w:r>
      <w:r w:rsidR="00CC1160" w:rsidRPr="00CC1160">
        <w:rPr>
          <w:rFonts w:ascii="Arial" w:hAnsi="Arial" w:cs="Arial"/>
        </w:rPr>
        <w:t>You do not need consent from an adult with capacity to make a safeguarding referral if it is in the public interest, if others are at risk of abuse, or if the person is being coerced or threatened to the point that they cannot give a free choice about consent. You should always seek consent first and only override it in specific circumstances, as this promotes partnership and effective outcomes, but you can proceed without consent if the risk of harm to the adult is increased by seeking it. The interests of the </w:t>
      </w:r>
      <w:hyperlink r:id="rId15" w:anchor="tooltip" w:history="1">
        <w:r w:rsidR="00CC1160" w:rsidRPr="00CC1160">
          <w:rPr>
            <w:rStyle w:val="Hyperlink"/>
            <w:rFonts w:ascii="Arial" w:hAnsi="Arial" w:cs="Arial"/>
            <w:color w:val="auto"/>
            <w:u w:val="none"/>
          </w:rPr>
          <w:t>adult at risk</w:t>
        </w:r>
      </w:hyperlink>
      <w:r w:rsidR="00CC1160" w:rsidRPr="00CC1160">
        <w:rPr>
          <w:rFonts w:ascii="Arial" w:hAnsi="Arial" w:cs="Arial"/>
        </w:rPr>
        <w:t> must be the overriding consideration in making any decisions whether to seek consent prior to making a report</w:t>
      </w:r>
      <w:r w:rsidR="00CC1160">
        <w:rPr>
          <w:rFonts w:ascii="Arial" w:hAnsi="Arial" w:cs="Arial"/>
        </w:rPr>
        <w:t xml:space="preserve"> (NWSP, 2019).</w:t>
      </w:r>
      <w:r w:rsidR="00CC1160" w:rsidRPr="00CC1160">
        <w:rPr>
          <w:rFonts w:ascii="Arial" w:hAnsi="Arial" w:cs="Arial"/>
        </w:rPr>
        <w:t xml:space="preserve"> </w:t>
      </w:r>
      <w:r w:rsidR="007E4985">
        <w:rPr>
          <w:rFonts w:ascii="Arial" w:hAnsi="Arial" w:cs="Arial"/>
        </w:rPr>
        <w:t xml:space="preserve">We decided that we would attempt to see 1 on their own to discuss our safeguarding however I did raise my concern that I was worried 1 would disengage once these would be brought to light, therefore we needed to be aware of how we spoke to 1 about these concerns to ensure 1 does not disengage from support when they needed support. </w:t>
      </w:r>
    </w:p>
    <w:p w14:paraId="5C7862E1" w14:textId="76CCF0B2" w:rsidR="007E0F9C" w:rsidRDefault="007E4985" w:rsidP="00A77A8A">
      <w:pPr>
        <w:rPr>
          <w:rFonts w:ascii="Arial" w:hAnsi="Arial" w:cs="Arial"/>
        </w:rPr>
      </w:pPr>
      <w:r>
        <w:rPr>
          <w:rFonts w:ascii="Arial" w:hAnsi="Arial" w:cs="Arial"/>
        </w:rPr>
        <w:t xml:space="preserve">After the MDT </w:t>
      </w:r>
      <w:r w:rsidR="001E07A2">
        <w:rPr>
          <w:rFonts w:ascii="Arial" w:hAnsi="Arial" w:cs="Arial"/>
        </w:rPr>
        <w:t>I</w:t>
      </w:r>
      <w:r>
        <w:rPr>
          <w:rFonts w:ascii="Arial" w:hAnsi="Arial" w:cs="Arial"/>
        </w:rPr>
        <w:t xml:space="preserve"> and the OT visited 1 at their property 1 was present with 2. Whilst asking questions to 1, 2 was telling 1 to be quiet often we ensured we informed 2 that we were there to support 1 and needed to hear from 1. We explained that it is important to hear from 2 however at this moment in time we needed to speak to 1 and hear from 1. After we explained this to </w:t>
      </w:r>
      <w:r w:rsidR="001E07A2">
        <w:rPr>
          <w:rFonts w:ascii="Arial" w:hAnsi="Arial" w:cs="Arial"/>
        </w:rPr>
        <w:t>2,</w:t>
      </w:r>
      <w:r>
        <w:rPr>
          <w:rFonts w:ascii="Arial" w:hAnsi="Arial" w:cs="Arial"/>
        </w:rPr>
        <w:t xml:space="preserve"> they would allow 1 to finish what they were saying. To enable 1 to have a bed in the home there would need to be enough space in a room for it and for 1 to be able to get out of the bed, this was explained to 1 and 2, however, when discussing who would be moving items that were in the way of the bed 2 became aggressive and was raising their voice towards 1 as 2 wanted to pay someone who was not very trustworthy in 1’s eyes and they disagreed. We calmly explained to 2 that if it was 1’s wishes not to pay this said person then we agree with </w:t>
      </w:r>
      <w:r w:rsidR="001E07A2">
        <w:rPr>
          <w:rFonts w:ascii="Arial" w:hAnsi="Arial" w:cs="Arial"/>
        </w:rPr>
        <w:t>them,</w:t>
      </w:r>
      <w:r>
        <w:rPr>
          <w:rFonts w:ascii="Arial" w:hAnsi="Arial" w:cs="Arial"/>
        </w:rPr>
        <w:t xml:space="preserve"> and it should not be arranged. </w:t>
      </w:r>
      <w:r w:rsidR="007E0F9C">
        <w:rPr>
          <w:rFonts w:ascii="Arial" w:hAnsi="Arial" w:cs="Arial"/>
        </w:rPr>
        <w:t xml:space="preserve">2 did not like this and continued to argue. We explained that there are certified people who would be able to support with this or 2 would be able to move the items </w:t>
      </w:r>
      <w:r w:rsidR="001E07A2">
        <w:rPr>
          <w:rFonts w:ascii="Arial" w:hAnsi="Arial" w:cs="Arial"/>
        </w:rPr>
        <w:t>themselves</w:t>
      </w:r>
      <w:r w:rsidR="007E0F9C">
        <w:rPr>
          <w:rFonts w:ascii="Arial" w:hAnsi="Arial" w:cs="Arial"/>
        </w:rPr>
        <w:t xml:space="preserve"> as it was a couple of </w:t>
      </w:r>
      <w:r w:rsidR="007E0F9C">
        <w:rPr>
          <w:rFonts w:ascii="Arial" w:hAnsi="Arial" w:cs="Arial"/>
        </w:rPr>
        <w:lastRenderedPageBreak/>
        <w:t xml:space="preserve">boxes and a clothing rail. Another topic that was discussed during the visit was carers support at home for 1. 1 agreed that this might be useful for them as they would rely less on 2 then every day however 2 did not like the idea of someone coming to their home. After this home visit </w:t>
      </w:r>
      <w:r w:rsidR="0098375E">
        <w:rPr>
          <w:rFonts w:ascii="Arial" w:hAnsi="Arial" w:cs="Arial"/>
        </w:rPr>
        <w:t>I</w:t>
      </w:r>
      <w:r w:rsidR="007E0F9C">
        <w:rPr>
          <w:rFonts w:ascii="Arial" w:hAnsi="Arial" w:cs="Arial"/>
        </w:rPr>
        <w:t xml:space="preserve"> and the OT had a </w:t>
      </w:r>
      <w:r w:rsidR="001E07A2">
        <w:rPr>
          <w:rFonts w:ascii="Arial" w:hAnsi="Arial" w:cs="Arial"/>
        </w:rPr>
        <w:t>discussion,</w:t>
      </w:r>
      <w:r w:rsidR="007E0F9C">
        <w:rPr>
          <w:rFonts w:ascii="Arial" w:hAnsi="Arial" w:cs="Arial"/>
        </w:rPr>
        <w:t xml:space="preserve"> and we were both in agreement that we needed to speak to 1 on their own to discuss our concerns and possibility of putting in a package of care to support 1 with personal care. A telephone call was made by me to arrange with 1 to meet them outside the property in one of the OT’s offices. We have agreed that if 2 is present on the day we will explain that we need to weigh 1 and would like for 2 to remain waiting in the waiting room. This will give us the opportunity to speak with 1 without 2 being present and potentially encouraging 1 to refuse services they need and want. </w:t>
      </w:r>
    </w:p>
    <w:p w14:paraId="62FF60E3" w14:textId="7D1024FD" w:rsidR="00EA480F" w:rsidRPr="00EA480F" w:rsidRDefault="00A476BA" w:rsidP="00EA480F">
      <w:pPr>
        <w:rPr>
          <w:rFonts w:ascii="Arial" w:hAnsi="Arial" w:cs="Arial"/>
        </w:rPr>
      </w:pPr>
      <w:r>
        <w:rPr>
          <w:rFonts w:ascii="Arial" w:hAnsi="Arial" w:cs="Arial"/>
        </w:rPr>
        <w:t xml:space="preserve">1 attended the appointment with 2 </w:t>
      </w:r>
      <w:proofErr w:type="gramStart"/>
      <w:r w:rsidR="0098375E">
        <w:rPr>
          <w:rFonts w:ascii="Arial" w:hAnsi="Arial" w:cs="Arial"/>
        </w:rPr>
        <w:t>present</w:t>
      </w:r>
      <w:proofErr w:type="gramEnd"/>
      <w:r>
        <w:rPr>
          <w:rFonts w:ascii="Arial" w:hAnsi="Arial" w:cs="Arial"/>
        </w:rPr>
        <w:t xml:space="preserve">, when entering the </w:t>
      </w:r>
      <w:r w:rsidR="0098375E">
        <w:rPr>
          <w:rFonts w:ascii="Arial" w:hAnsi="Arial" w:cs="Arial"/>
        </w:rPr>
        <w:t>room,</w:t>
      </w:r>
      <w:r>
        <w:rPr>
          <w:rFonts w:ascii="Arial" w:hAnsi="Arial" w:cs="Arial"/>
        </w:rPr>
        <w:t xml:space="preserve"> we asked 2 if they could sit outside the room so that we could speak to 1 on her own and complete the assessment. 2 left the room after making some comments about being comfortable in the current chair.</w:t>
      </w:r>
      <w:r w:rsidR="000703A7">
        <w:rPr>
          <w:rFonts w:ascii="Arial" w:hAnsi="Arial" w:cs="Arial"/>
        </w:rPr>
        <w:t xml:space="preserve"> Attachment theory could be useful here when thinking of 2 as there might be the reasons why they don’t like leaving 1 on their own, 2 could become anxious however it could also be coercive and/or abuse. </w:t>
      </w:r>
      <w:r w:rsidR="00896639">
        <w:rPr>
          <w:rFonts w:ascii="Arial" w:hAnsi="Arial" w:cs="Arial"/>
        </w:rPr>
        <w:t xml:space="preserve">When you’re having a sensitive conversation with an individual it is important to have effective communication </w:t>
      </w:r>
      <w:r w:rsidR="0098375E">
        <w:rPr>
          <w:rFonts w:ascii="Arial" w:hAnsi="Arial" w:cs="Arial"/>
        </w:rPr>
        <w:t>skills,</w:t>
      </w:r>
      <w:r w:rsidR="00896639">
        <w:rPr>
          <w:rFonts w:ascii="Arial" w:hAnsi="Arial" w:cs="Arial"/>
        </w:rPr>
        <w:t xml:space="preserve"> and you always need to be considerate of what the impact it has on the individual. </w:t>
      </w:r>
      <w:r w:rsidR="00EA480F" w:rsidRPr="00EA480F">
        <w:rPr>
          <w:rFonts w:ascii="Arial" w:hAnsi="Arial" w:cs="Arial"/>
        </w:rPr>
        <w:t>Without effective communication skills social practitioners will be less able to: Find out what service users, carers or other practitioners think and feel</w:t>
      </w:r>
      <w:r w:rsidR="00EA480F">
        <w:rPr>
          <w:rFonts w:ascii="Arial" w:hAnsi="Arial" w:cs="Arial"/>
        </w:rPr>
        <w:t xml:space="preserve">; </w:t>
      </w:r>
      <w:r w:rsidR="00EA480F" w:rsidRPr="00EA480F">
        <w:rPr>
          <w:rFonts w:ascii="Arial" w:hAnsi="Arial" w:cs="Arial"/>
        </w:rPr>
        <w:t>Provide the kind of information others need</w:t>
      </w:r>
      <w:r w:rsidR="00EA480F">
        <w:rPr>
          <w:rFonts w:ascii="Arial" w:hAnsi="Arial" w:cs="Arial"/>
        </w:rPr>
        <w:t>;</w:t>
      </w:r>
      <w:r w:rsidR="00EA480F" w:rsidRPr="00EA480F">
        <w:rPr>
          <w:rFonts w:ascii="Arial" w:hAnsi="Arial" w:cs="Arial"/>
        </w:rPr>
        <w:t xml:space="preserve"> Interpret complex situations accurately</w:t>
      </w:r>
      <w:r w:rsidR="00EA480F">
        <w:rPr>
          <w:rFonts w:ascii="Arial" w:hAnsi="Arial" w:cs="Arial"/>
        </w:rPr>
        <w:t>;</w:t>
      </w:r>
      <w:r w:rsidR="00EA480F" w:rsidRPr="00EA480F">
        <w:rPr>
          <w:rFonts w:ascii="Arial" w:hAnsi="Arial" w:cs="Arial"/>
        </w:rPr>
        <w:t xml:space="preserve"> Negotiate, mediate and intervene sensitively, authoritatively and appropriately</w:t>
      </w:r>
      <w:r w:rsidR="00EA480F">
        <w:rPr>
          <w:rFonts w:ascii="Arial" w:hAnsi="Arial" w:cs="Arial"/>
        </w:rPr>
        <w:t xml:space="preserve"> (Community care, 2008).</w:t>
      </w:r>
    </w:p>
    <w:p w14:paraId="1D6EB798" w14:textId="4F56D7D3" w:rsidR="00A476BA" w:rsidRDefault="00A476BA" w:rsidP="00A77A8A">
      <w:pPr>
        <w:rPr>
          <w:rFonts w:ascii="Arial" w:hAnsi="Arial" w:cs="Arial"/>
        </w:rPr>
      </w:pPr>
      <w:r>
        <w:rPr>
          <w:rFonts w:ascii="Arial" w:hAnsi="Arial" w:cs="Arial"/>
        </w:rPr>
        <w:t xml:space="preserve">Once 1 was on her own we eased into the conversation asking questions about how 1 had been over the last week. After some </w:t>
      </w:r>
      <w:r w:rsidR="0098375E">
        <w:rPr>
          <w:rFonts w:ascii="Arial" w:hAnsi="Arial" w:cs="Arial"/>
        </w:rPr>
        <w:t>time,</w:t>
      </w:r>
      <w:r>
        <w:rPr>
          <w:rFonts w:ascii="Arial" w:hAnsi="Arial" w:cs="Arial"/>
        </w:rPr>
        <w:t xml:space="preserve"> we discussed the possibility of having carers coming to the home to support 1 with personal care which was discussed in the previous meeting with 1</w:t>
      </w:r>
      <w:r w:rsidR="00896639">
        <w:rPr>
          <w:rFonts w:ascii="Arial" w:hAnsi="Arial" w:cs="Arial"/>
        </w:rPr>
        <w:t xml:space="preserve">. 1 explained that they felt this would be a positive for them, we then shared that last time we spoke about it 2 was very dismissive and did not want to have carers in the home. We explained that this would be to support 1 and asked how she thinks 2 would feel about it if we discussed it with them. I explained to 1 that concerns have been raise regarding her safety with 2 in the home. I explained that 2 has recently shouted and swore at a police officer at the home and has expressed their anger several times in front of professionals. 1 explained that 2 has been very stressed with the neighbours and with 1 being in hospital and that is why he has been getting angry. I asked 1 if 2 would speak to them in this manner and they replied that no they wouldn’t. I asked 1 if they </w:t>
      </w:r>
      <w:r w:rsidR="0098375E">
        <w:rPr>
          <w:rFonts w:ascii="Arial" w:hAnsi="Arial" w:cs="Arial"/>
        </w:rPr>
        <w:t>ever</w:t>
      </w:r>
      <w:r w:rsidR="00896639">
        <w:rPr>
          <w:rFonts w:ascii="Arial" w:hAnsi="Arial" w:cs="Arial"/>
        </w:rPr>
        <w:t xml:space="preserve"> felt afraid at home which they explained they didn’t. I asked 1 if they would like to receive support from the safeguarding team and explained that these are a specialised team who work hard to keep vulnerable people safe from harm. 1 declined this offer. When working with adults who have </w:t>
      </w:r>
      <w:r w:rsidR="0098375E">
        <w:rPr>
          <w:rFonts w:ascii="Arial" w:hAnsi="Arial" w:cs="Arial"/>
        </w:rPr>
        <w:t>capacity,</w:t>
      </w:r>
      <w:r w:rsidR="00896639">
        <w:rPr>
          <w:rFonts w:ascii="Arial" w:hAnsi="Arial" w:cs="Arial"/>
        </w:rPr>
        <w:t xml:space="preserve"> we would require consent from them to refer to the safeguarding team</w:t>
      </w:r>
      <w:r w:rsidR="0098375E">
        <w:rPr>
          <w:rFonts w:ascii="Arial" w:hAnsi="Arial" w:cs="Arial"/>
        </w:rPr>
        <w:t>, however</w:t>
      </w:r>
      <w:r w:rsidR="0098375E" w:rsidRPr="00CC1160">
        <w:rPr>
          <w:rFonts w:ascii="Arial" w:hAnsi="Arial" w:cs="Arial"/>
        </w:rPr>
        <w:t xml:space="preserve"> you can proceed </w:t>
      </w:r>
      <w:r w:rsidR="0098375E" w:rsidRPr="00CC1160">
        <w:rPr>
          <w:rFonts w:ascii="Arial" w:hAnsi="Arial" w:cs="Arial"/>
        </w:rPr>
        <w:lastRenderedPageBreak/>
        <w:t>without consent if the risk of harm to the adult is increased by seeking it</w:t>
      </w:r>
      <w:r w:rsidR="0098375E">
        <w:rPr>
          <w:rFonts w:ascii="Arial" w:hAnsi="Arial" w:cs="Arial"/>
        </w:rPr>
        <w:t xml:space="preserve"> (NWSP ,2019).</w:t>
      </w:r>
    </w:p>
    <w:p w14:paraId="5901A424" w14:textId="03DE2633" w:rsidR="00896639" w:rsidRDefault="00BC5C6E" w:rsidP="00A77A8A">
      <w:pPr>
        <w:rPr>
          <w:rFonts w:ascii="Arial" w:hAnsi="Arial" w:cs="Arial"/>
        </w:rPr>
      </w:pPr>
      <w:r>
        <w:rPr>
          <w:rFonts w:ascii="Arial" w:hAnsi="Arial" w:cs="Arial"/>
        </w:rPr>
        <w:t xml:space="preserve">If 1 would </w:t>
      </w:r>
      <w:r w:rsidR="0098375E">
        <w:rPr>
          <w:rFonts w:ascii="Arial" w:hAnsi="Arial" w:cs="Arial"/>
        </w:rPr>
        <w:t>have</w:t>
      </w:r>
      <w:r>
        <w:rPr>
          <w:rFonts w:ascii="Arial" w:hAnsi="Arial" w:cs="Arial"/>
        </w:rPr>
        <w:t xml:space="preserve"> consented to a safeguarding referral it would </w:t>
      </w:r>
      <w:r w:rsidR="001E07A2">
        <w:rPr>
          <w:rFonts w:ascii="Arial" w:hAnsi="Arial" w:cs="Arial"/>
        </w:rPr>
        <w:t>have</w:t>
      </w:r>
      <w:r>
        <w:rPr>
          <w:rFonts w:ascii="Arial" w:hAnsi="Arial" w:cs="Arial"/>
        </w:rPr>
        <w:t xml:space="preserve"> required me to complete the referral form to the safeguarding team. They would take the lead in the safeguarding aspect of the support however I would still support 1 and attend all statutory meetings and be part of the team who would create a safety plan for 1. </w:t>
      </w:r>
    </w:p>
    <w:p w14:paraId="67F5D998" w14:textId="6D768ACA" w:rsidR="00E5374B" w:rsidRPr="007D50B6" w:rsidRDefault="00E5374B" w:rsidP="00A77A8A">
      <w:pPr>
        <w:rPr>
          <w:rFonts w:ascii="Arial" w:hAnsi="Arial" w:cs="Arial"/>
          <w:color w:val="FF0000"/>
        </w:rPr>
      </w:pPr>
      <w:r>
        <w:rPr>
          <w:rFonts w:ascii="Arial" w:hAnsi="Arial" w:cs="Arial"/>
        </w:rPr>
        <w:t>When working with individuals who hoard and self-neglect the theory of risk is used to navigate complex situations, make professional judgements based on evidence, and determine actions to prevent harm and promote well-being within legal and ethical frameworks.</w:t>
      </w:r>
      <w:r w:rsidRPr="00E5374B">
        <w:rPr>
          <w:rFonts w:ascii="Arial" w:hAnsi="Arial" w:cs="Arial"/>
        </w:rPr>
        <w:t xml:space="preserve"> </w:t>
      </w:r>
      <w:r w:rsidR="007D50B6">
        <w:rPr>
          <w:rFonts w:ascii="Arial" w:hAnsi="Arial" w:cs="Arial"/>
        </w:rPr>
        <w:t xml:space="preserve">Social </w:t>
      </w:r>
      <w:r w:rsidR="007D50B6" w:rsidRPr="007D50B6">
        <w:rPr>
          <w:rFonts w:ascii="Arial" w:hAnsi="Arial" w:cs="Arial"/>
        </w:rPr>
        <w:t>workers assess risk to predict potential harm or dangers to individuals. Risk management in social work often involves tension between providing care and support and prevent</w:t>
      </w:r>
      <w:r w:rsidR="007D50B6">
        <w:rPr>
          <w:rFonts w:ascii="Arial" w:hAnsi="Arial" w:cs="Arial"/>
        </w:rPr>
        <w:t>ing</w:t>
      </w:r>
      <w:r w:rsidR="007D50B6" w:rsidRPr="007D50B6">
        <w:rPr>
          <w:rFonts w:ascii="Arial" w:hAnsi="Arial" w:cs="Arial"/>
        </w:rPr>
        <w:t xml:space="preserve"> harm. Risk management requires collaboration with other professionals and agencies to develop a </w:t>
      </w:r>
      <w:r w:rsidR="0098375E" w:rsidRPr="007D50B6">
        <w:rPr>
          <w:rFonts w:ascii="Arial" w:hAnsi="Arial" w:cs="Arial"/>
        </w:rPr>
        <w:t>comprehensive safety plan</w:t>
      </w:r>
      <w:r w:rsidR="007D50B6" w:rsidRPr="007D50B6">
        <w:rPr>
          <w:rFonts w:ascii="Arial" w:hAnsi="Arial" w:cs="Arial"/>
        </w:rPr>
        <w:t xml:space="preserve"> and provide integrated support.</w:t>
      </w:r>
      <w:r w:rsidR="007D50B6" w:rsidRPr="0098375E">
        <w:rPr>
          <w:rFonts w:ascii="Arial" w:hAnsi="Arial" w:cs="Arial"/>
        </w:rPr>
        <w:t xml:space="preserve"> </w:t>
      </w:r>
      <w:r w:rsidR="0098375E" w:rsidRPr="0098375E">
        <w:rPr>
          <w:rFonts w:ascii="Arial" w:hAnsi="Arial" w:cs="Arial"/>
        </w:rPr>
        <w:t>Risk is often defined in terms of the probability of harm occurring (Gigerenzer, </w:t>
      </w:r>
      <w:hyperlink r:id="rId16" w:history="1">
        <w:r w:rsidR="0098375E" w:rsidRPr="0098375E">
          <w:rPr>
            <w:rStyle w:val="Hyperlink"/>
            <w:rFonts w:ascii="Arial" w:hAnsi="Arial" w:cs="Arial"/>
            <w:color w:val="auto"/>
            <w:u w:val="none"/>
          </w:rPr>
          <w:t>2014</w:t>
        </w:r>
      </w:hyperlink>
      <w:r w:rsidR="0098375E" w:rsidRPr="0098375E">
        <w:rPr>
          <w:rFonts w:ascii="Arial" w:hAnsi="Arial" w:cs="Arial"/>
        </w:rPr>
        <w:t>); although in social work practice, the concept is far more multi-faceted. The profession is concerned with the seriousness of (i.e. negative value placed on) the harm as well as its likelihood. When we consider ‘risky situations’ in terms of making decisions, we are often considering both potential gains (with both their value and their likelihood) as well as the possible harms in some way or other (Taylor, 2017). </w:t>
      </w:r>
    </w:p>
    <w:p w14:paraId="204BB32E" w14:textId="7EF34639" w:rsidR="00BC5C6E" w:rsidRDefault="00BC5C6E" w:rsidP="001E07A2">
      <w:pPr>
        <w:rPr>
          <w:rFonts w:ascii="Arial" w:hAnsi="Arial" w:cs="Arial"/>
        </w:rPr>
      </w:pPr>
      <w:bookmarkStart w:id="2" w:name="_Hlk206680917"/>
      <w:r>
        <w:rPr>
          <w:rFonts w:ascii="Arial" w:hAnsi="Arial" w:cs="Arial"/>
        </w:rPr>
        <w:t>The Freedom of Information Act 2000</w:t>
      </w:r>
      <w:bookmarkEnd w:id="2"/>
      <w:r>
        <w:rPr>
          <w:rFonts w:ascii="Arial" w:hAnsi="Arial" w:cs="Arial"/>
        </w:rPr>
        <w:t xml:space="preserve"> gives people the right to access their personal information that is recorded by the public authority, </w:t>
      </w:r>
      <w:r w:rsidRPr="00BC5C6E">
        <w:rPr>
          <w:rFonts w:ascii="Arial" w:hAnsi="Arial" w:cs="Arial"/>
        </w:rPr>
        <w:t xml:space="preserve">unless </w:t>
      </w:r>
      <w:r w:rsidR="0098375E" w:rsidRPr="00BC5C6E">
        <w:rPr>
          <w:rFonts w:ascii="Arial" w:hAnsi="Arial" w:cs="Arial"/>
        </w:rPr>
        <w:t>exemptions</w:t>
      </w:r>
      <w:r w:rsidRPr="00BC5C6E">
        <w:rPr>
          <w:rFonts w:ascii="Arial" w:hAnsi="Arial" w:cs="Arial"/>
        </w:rPr>
        <w:t xml:space="preserve"> apply</w:t>
      </w:r>
      <w:r>
        <w:rPr>
          <w:rFonts w:ascii="Arial" w:hAnsi="Arial" w:cs="Arial"/>
        </w:rPr>
        <w:t>,</w:t>
      </w:r>
      <w:r w:rsidRPr="00BC5C6E">
        <w:rPr>
          <w:rFonts w:ascii="Arial" w:hAnsi="Arial" w:cs="Arial"/>
        </w:rPr>
        <w:t xml:space="preserve"> requests for personal information are handled under data protection laws. The Act aims to improve the openness and transparency of public authorities, and we are committed to complying with this legislation.</w:t>
      </w:r>
      <w:r>
        <w:rPr>
          <w:rFonts w:ascii="Arial" w:hAnsi="Arial" w:cs="Arial"/>
        </w:rPr>
        <w:t xml:space="preserve"> Therefore, when completing any form of social </w:t>
      </w:r>
      <w:r w:rsidR="0098375E">
        <w:rPr>
          <w:rFonts w:ascii="Arial" w:hAnsi="Arial" w:cs="Arial"/>
        </w:rPr>
        <w:t>work,</w:t>
      </w:r>
      <w:r>
        <w:rPr>
          <w:rFonts w:ascii="Arial" w:hAnsi="Arial" w:cs="Arial"/>
        </w:rPr>
        <w:t xml:space="preserve"> it is important to document every detail accurate. When recording </w:t>
      </w:r>
      <w:r w:rsidR="0098375E">
        <w:rPr>
          <w:rFonts w:ascii="Arial" w:hAnsi="Arial" w:cs="Arial"/>
        </w:rPr>
        <w:t>conversations,</w:t>
      </w:r>
      <w:r>
        <w:rPr>
          <w:rFonts w:ascii="Arial" w:hAnsi="Arial" w:cs="Arial"/>
        </w:rPr>
        <w:t xml:space="preserve"> you should write as the person spoke and include every detail even if it seems irrelevant. </w:t>
      </w:r>
      <w:r w:rsidR="001E07A2" w:rsidRPr="001E07A2">
        <w:rPr>
          <w:rFonts w:ascii="Arial" w:hAnsi="Arial" w:cs="Arial"/>
        </w:rPr>
        <w:t>Section 6.2 of the Social Work code of Practice highlights that social workers must maintain clear and accurate records in accordance with legal and work setting requirements</w:t>
      </w:r>
      <w:r w:rsidR="001E07A2">
        <w:rPr>
          <w:rFonts w:ascii="Arial" w:hAnsi="Arial" w:cs="Arial"/>
        </w:rPr>
        <w:t xml:space="preserve"> (Social care Wales, 2017). </w:t>
      </w:r>
    </w:p>
    <w:p w14:paraId="16B173A0" w14:textId="683B4B46" w:rsidR="004D6CC1" w:rsidRPr="001E07A2" w:rsidRDefault="004D6CC1" w:rsidP="001E07A2">
      <w:pPr>
        <w:rPr>
          <w:rFonts w:ascii="Arial" w:hAnsi="Arial" w:cs="Arial"/>
        </w:rPr>
      </w:pPr>
      <w:r>
        <w:rPr>
          <w:rFonts w:ascii="Arial" w:hAnsi="Arial" w:cs="Arial"/>
        </w:rPr>
        <w:t xml:space="preserve">In conclusion I have demonstrated in this task the process for safeguarding when it comes to working with adults by critically reflecting on a case study that was based on an assessment I have undertaken in my area of work whilst considering </w:t>
      </w:r>
      <w:r w:rsidR="00264273">
        <w:rPr>
          <w:rFonts w:ascii="Arial" w:hAnsi="Arial" w:cs="Arial"/>
        </w:rPr>
        <w:t>legislations</w:t>
      </w:r>
      <w:r>
        <w:rPr>
          <w:rFonts w:ascii="Arial" w:hAnsi="Arial" w:cs="Arial"/>
        </w:rPr>
        <w:t xml:space="preserve"> </w:t>
      </w:r>
      <w:r w:rsidR="00264273">
        <w:rPr>
          <w:rFonts w:ascii="Arial" w:hAnsi="Arial" w:cs="Arial"/>
        </w:rPr>
        <w:t xml:space="preserve">and theories that underpin my practice. </w:t>
      </w:r>
    </w:p>
    <w:p w14:paraId="02666E0F" w14:textId="416B7BBB" w:rsidR="00FB7E38" w:rsidRPr="00E34FCF" w:rsidRDefault="00E34FCF" w:rsidP="00A77A8A">
      <w:pPr>
        <w:rPr>
          <w:rFonts w:ascii="Arial" w:hAnsi="Arial" w:cs="Arial"/>
          <w:b/>
          <w:bCs/>
        </w:rPr>
      </w:pPr>
      <w:r>
        <w:rPr>
          <w:rFonts w:ascii="Arial" w:hAnsi="Arial" w:cs="Arial"/>
          <w:b/>
          <w:bCs/>
        </w:rPr>
        <w:t>4077 words (+2%).</w:t>
      </w:r>
    </w:p>
    <w:sectPr w:rsidR="00FB7E38" w:rsidRPr="00E34FC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8BA68" w14:textId="77777777" w:rsidR="00261C41" w:rsidRDefault="00261C41" w:rsidP="00261C41">
      <w:pPr>
        <w:spacing w:after="0" w:line="240" w:lineRule="auto"/>
      </w:pPr>
      <w:r>
        <w:separator/>
      </w:r>
    </w:p>
  </w:endnote>
  <w:endnote w:type="continuationSeparator" w:id="0">
    <w:p w14:paraId="622CDB5F" w14:textId="77777777" w:rsidR="00261C41" w:rsidRDefault="00261C41" w:rsidP="00261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383218"/>
      <w:docPartObj>
        <w:docPartGallery w:val="Page Numbers (Bottom of Page)"/>
        <w:docPartUnique/>
      </w:docPartObj>
    </w:sdtPr>
    <w:sdtEndPr>
      <w:rPr>
        <w:noProof/>
      </w:rPr>
    </w:sdtEndPr>
    <w:sdtContent>
      <w:p w14:paraId="233CB650" w14:textId="65D7A391" w:rsidR="00261C41" w:rsidRDefault="00261C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52099D" w14:textId="77777777" w:rsidR="00261C41" w:rsidRDefault="00261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2E331" w14:textId="77777777" w:rsidR="00261C41" w:rsidRDefault="00261C41" w:rsidP="00261C41">
      <w:pPr>
        <w:spacing w:after="0" w:line="240" w:lineRule="auto"/>
      </w:pPr>
      <w:r>
        <w:separator/>
      </w:r>
    </w:p>
  </w:footnote>
  <w:footnote w:type="continuationSeparator" w:id="0">
    <w:p w14:paraId="057510D1" w14:textId="77777777" w:rsidR="00261C41" w:rsidRDefault="00261C41" w:rsidP="00261C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CDA74" w14:textId="7648CE3E" w:rsidR="00261C41" w:rsidRDefault="00261C41">
    <w:pPr>
      <w:pStyle w:val="Header"/>
    </w:pPr>
    <w:r>
      <w:rPr>
        <w:rFonts w:ascii="Arial" w:hAnsi="Arial" w:cs="Arial"/>
      </w:rPr>
      <w:t>Task 3</w:t>
    </w:r>
    <w:r>
      <w:ptab w:relativeTo="margin" w:alignment="right" w:leader="none"/>
    </w:r>
    <w:r>
      <w:t>2433968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3454E"/>
    <w:multiLevelType w:val="multilevel"/>
    <w:tmpl w:val="2A266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C445E1"/>
    <w:multiLevelType w:val="multilevel"/>
    <w:tmpl w:val="72AEFE24"/>
    <w:lvl w:ilvl="0">
      <w:start w:val="1"/>
      <w:numFmt w:val="lowerRoman"/>
      <w:lvlText w:val="%1)"/>
      <w:lvlJc w:val="left"/>
      <w:pPr>
        <w:tabs>
          <w:tab w:val="num" w:pos="360"/>
        </w:tabs>
        <w:ind w:left="360" w:hanging="360"/>
      </w:pPr>
      <w:rPr>
        <w:rFonts w:ascii="Arial" w:eastAsiaTheme="minorHAnsi" w:hAnsi="Arial" w:cs="Arial"/>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488940073">
    <w:abstractNumId w:val="0"/>
  </w:num>
  <w:num w:numId="2" w16cid:durableId="1901941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C41"/>
    <w:rsid w:val="000703A7"/>
    <w:rsid w:val="00070816"/>
    <w:rsid w:val="000D5ED0"/>
    <w:rsid w:val="000E38CD"/>
    <w:rsid w:val="001018AB"/>
    <w:rsid w:val="001378C2"/>
    <w:rsid w:val="001665CA"/>
    <w:rsid w:val="00173B40"/>
    <w:rsid w:val="00193A0A"/>
    <w:rsid w:val="001E07A2"/>
    <w:rsid w:val="0022000E"/>
    <w:rsid w:val="0025165E"/>
    <w:rsid w:val="00261C41"/>
    <w:rsid w:val="00264273"/>
    <w:rsid w:val="002716B9"/>
    <w:rsid w:val="002925C7"/>
    <w:rsid w:val="0029792C"/>
    <w:rsid w:val="002A4C14"/>
    <w:rsid w:val="002E1AEE"/>
    <w:rsid w:val="002F46E5"/>
    <w:rsid w:val="003E38DF"/>
    <w:rsid w:val="003F1755"/>
    <w:rsid w:val="00473768"/>
    <w:rsid w:val="004D6CC1"/>
    <w:rsid w:val="00500C12"/>
    <w:rsid w:val="00517563"/>
    <w:rsid w:val="00580908"/>
    <w:rsid w:val="006907D8"/>
    <w:rsid w:val="006D6298"/>
    <w:rsid w:val="006F3422"/>
    <w:rsid w:val="00770444"/>
    <w:rsid w:val="007C1604"/>
    <w:rsid w:val="007C6B35"/>
    <w:rsid w:val="007D047A"/>
    <w:rsid w:val="007D50B6"/>
    <w:rsid w:val="007E0F9C"/>
    <w:rsid w:val="007E4985"/>
    <w:rsid w:val="007F778A"/>
    <w:rsid w:val="00840629"/>
    <w:rsid w:val="00896639"/>
    <w:rsid w:val="00896926"/>
    <w:rsid w:val="008A0CEB"/>
    <w:rsid w:val="008A0F56"/>
    <w:rsid w:val="0098375E"/>
    <w:rsid w:val="009C4227"/>
    <w:rsid w:val="009E0B0E"/>
    <w:rsid w:val="009E133F"/>
    <w:rsid w:val="00A37E6B"/>
    <w:rsid w:val="00A46026"/>
    <w:rsid w:val="00A476BA"/>
    <w:rsid w:val="00A53DAF"/>
    <w:rsid w:val="00A77A8A"/>
    <w:rsid w:val="00AB4130"/>
    <w:rsid w:val="00AD18FE"/>
    <w:rsid w:val="00AE5CDA"/>
    <w:rsid w:val="00BC5C6E"/>
    <w:rsid w:val="00C30964"/>
    <w:rsid w:val="00C701DE"/>
    <w:rsid w:val="00CB6031"/>
    <w:rsid w:val="00CC1160"/>
    <w:rsid w:val="00D531FD"/>
    <w:rsid w:val="00E34FCF"/>
    <w:rsid w:val="00E5374B"/>
    <w:rsid w:val="00E84E82"/>
    <w:rsid w:val="00EA480F"/>
    <w:rsid w:val="00EB77A5"/>
    <w:rsid w:val="00EC2809"/>
    <w:rsid w:val="00F164D1"/>
    <w:rsid w:val="00F647A6"/>
    <w:rsid w:val="00FB3E60"/>
    <w:rsid w:val="00FB6523"/>
    <w:rsid w:val="00FB7E38"/>
    <w:rsid w:val="00FD4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83598"/>
  <w15:chartTrackingRefBased/>
  <w15:docId w15:val="{706CAA15-AAB1-445C-9A0C-345666524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C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C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1C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C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C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C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C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C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C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C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C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1C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C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C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C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C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C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C41"/>
    <w:rPr>
      <w:rFonts w:eastAsiaTheme="majorEastAsia" w:cstheme="majorBidi"/>
      <w:color w:val="272727" w:themeColor="text1" w:themeTint="D8"/>
    </w:rPr>
  </w:style>
  <w:style w:type="paragraph" w:styleId="Title">
    <w:name w:val="Title"/>
    <w:basedOn w:val="Normal"/>
    <w:next w:val="Normal"/>
    <w:link w:val="TitleChar"/>
    <w:uiPriority w:val="10"/>
    <w:qFormat/>
    <w:rsid w:val="00261C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C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C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C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C41"/>
    <w:pPr>
      <w:spacing w:before="160"/>
      <w:jc w:val="center"/>
    </w:pPr>
    <w:rPr>
      <w:i/>
      <w:iCs/>
      <w:color w:val="404040" w:themeColor="text1" w:themeTint="BF"/>
    </w:rPr>
  </w:style>
  <w:style w:type="character" w:customStyle="1" w:styleId="QuoteChar">
    <w:name w:val="Quote Char"/>
    <w:basedOn w:val="DefaultParagraphFont"/>
    <w:link w:val="Quote"/>
    <w:uiPriority w:val="29"/>
    <w:rsid w:val="00261C41"/>
    <w:rPr>
      <w:i/>
      <w:iCs/>
      <w:color w:val="404040" w:themeColor="text1" w:themeTint="BF"/>
    </w:rPr>
  </w:style>
  <w:style w:type="paragraph" w:styleId="ListParagraph">
    <w:name w:val="List Paragraph"/>
    <w:basedOn w:val="Normal"/>
    <w:uiPriority w:val="34"/>
    <w:qFormat/>
    <w:rsid w:val="00261C41"/>
    <w:pPr>
      <w:ind w:left="720"/>
      <w:contextualSpacing/>
    </w:pPr>
  </w:style>
  <w:style w:type="character" w:styleId="IntenseEmphasis">
    <w:name w:val="Intense Emphasis"/>
    <w:basedOn w:val="DefaultParagraphFont"/>
    <w:uiPriority w:val="21"/>
    <w:qFormat/>
    <w:rsid w:val="00261C41"/>
    <w:rPr>
      <w:i/>
      <w:iCs/>
      <w:color w:val="0F4761" w:themeColor="accent1" w:themeShade="BF"/>
    </w:rPr>
  </w:style>
  <w:style w:type="paragraph" w:styleId="IntenseQuote">
    <w:name w:val="Intense Quote"/>
    <w:basedOn w:val="Normal"/>
    <w:next w:val="Normal"/>
    <w:link w:val="IntenseQuoteChar"/>
    <w:uiPriority w:val="30"/>
    <w:qFormat/>
    <w:rsid w:val="00261C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C41"/>
    <w:rPr>
      <w:i/>
      <w:iCs/>
      <w:color w:val="0F4761" w:themeColor="accent1" w:themeShade="BF"/>
    </w:rPr>
  </w:style>
  <w:style w:type="character" w:styleId="IntenseReference">
    <w:name w:val="Intense Reference"/>
    <w:basedOn w:val="DefaultParagraphFont"/>
    <w:uiPriority w:val="32"/>
    <w:qFormat/>
    <w:rsid w:val="00261C41"/>
    <w:rPr>
      <w:b/>
      <w:bCs/>
      <w:smallCaps/>
      <w:color w:val="0F4761" w:themeColor="accent1" w:themeShade="BF"/>
      <w:spacing w:val="5"/>
    </w:rPr>
  </w:style>
  <w:style w:type="paragraph" w:styleId="Header">
    <w:name w:val="header"/>
    <w:basedOn w:val="Normal"/>
    <w:link w:val="HeaderChar"/>
    <w:uiPriority w:val="99"/>
    <w:unhideWhenUsed/>
    <w:rsid w:val="00261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C41"/>
  </w:style>
  <w:style w:type="paragraph" w:styleId="Footer">
    <w:name w:val="footer"/>
    <w:basedOn w:val="Normal"/>
    <w:link w:val="FooterChar"/>
    <w:uiPriority w:val="99"/>
    <w:unhideWhenUsed/>
    <w:rsid w:val="00261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C41"/>
  </w:style>
  <w:style w:type="character" w:styleId="Hyperlink">
    <w:name w:val="Hyperlink"/>
    <w:basedOn w:val="DefaultParagraphFont"/>
    <w:uiPriority w:val="99"/>
    <w:unhideWhenUsed/>
    <w:rsid w:val="009E133F"/>
    <w:rPr>
      <w:color w:val="467886" w:themeColor="hyperlink"/>
      <w:u w:val="single"/>
    </w:rPr>
  </w:style>
  <w:style w:type="character" w:styleId="UnresolvedMention">
    <w:name w:val="Unresolved Mention"/>
    <w:basedOn w:val="DefaultParagraphFont"/>
    <w:uiPriority w:val="99"/>
    <w:semiHidden/>
    <w:unhideWhenUsed/>
    <w:rsid w:val="009E133F"/>
    <w:rPr>
      <w:color w:val="605E5C"/>
      <w:shd w:val="clear" w:color="auto" w:fill="E1DFDD"/>
    </w:rPr>
  </w:style>
  <w:style w:type="paragraph" w:styleId="NormalWeb">
    <w:name w:val="Normal (Web)"/>
    <w:basedOn w:val="Normal"/>
    <w:uiPriority w:val="99"/>
    <w:semiHidden/>
    <w:unhideWhenUsed/>
    <w:rsid w:val="008A0CE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459706">
      <w:bodyDiv w:val="1"/>
      <w:marLeft w:val="0"/>
      <w:marRight w:val="0"/>
      <w:marTop w:val="0"/>
      <w:marBottom w:val="0"/>
      <w:divBdr>
        <w:top w:val="none" w:sz="0" w:space="0" w:color="auto"/>
        <w:left w:val="none" w:sz="0" w:space="0" w:color="auto"/>
        <w:bottom w:val="none" w:sz="0" w:space="0" w:color="auto"/>
        <w:right w:val="none" w:sz="0" w:space="0" w:color="auto"/>
      </w:divBdr>
    </w:div>
    <w:div w:id="584994875">
      <w:bodyDiv w:val="1"/>
      <w:marLeft w:val="0"/>
      <w:marRight w:val="0"/>
      <w:marTop w:val="0"/>
      <w:marBottom w:val="0"/>
      <w:divBdr>
        <w:top w:val="none" w:sz="0" w:space="0" w:color="auto"/>
        <w:left w:val="none" w:sz="0" w:space="0" w:color="auto"/>
        <w:bottom w:val="none" w:sz="0" w:space="0" w:color="auto"/>
        <w:right w:val="none" w:sz="0" w:space="0" w:color="auto"/>
      </w:divBdr>
    </w:div>
    <w:div w:id="824587634">
      <w:bodyDiv w:val="1"/>
      <w:marLeft w:val="0"/>
      <w:marRight w:val="0"/>
      <w:marTop w:val="0"/>
      <w:marBottom w:val="0"/>
      <w:divBdr>
        <w:top w:val="none" w:sz="0" w:space="0" w:color="auto"/>
        <w:left w:val="none" w:sz="0" w:space="0" w:color="auto"/>
        <w:bottom w:val="none" w:sz="0" w:space="0" w:color="auto"/>
        <w:right w:val="none" w:sz="0" w:space="0" w:color="auto"/>
      </w:divBdr>
    </w:div>
    <w:div w:id="964389506">
      <w:bodyDiv w:val="1"/>
      <w:marLeft w:val="0"/>
      <w:marRight w:val="0"/>
      <w:marTop w:val="0"/>
      <w:marBottom w:val="0"/>
      <w:divBdr>
        <w:top w:val="none" w:sz="0" w:space="0" w:color="auto"/>
        <w:left w:val="none" w:sz="0" w:space="0" w:color="auto"/>
        <w:bottom w:val="none" w:sz="0" w:space="0" w:color="auto"/>
        <w:right w:val="none" w:sz="0" w:space="0" w:color="auto"/>
      </w:divBdr>
    </w:div>
    <w:div w:id="986713403">
      <w:bodyDiv w:val="1"/>
      <w:marLeft w:val="0"/>
      <w:marRight w:val="0"/>
      <w:marTop w:val="0"/>
      <w:marBottom w:val="0"/>
      <w:divBdr>
        <w:top w:val="none" w:sz="0" w:space="0" w:color="auto"/>
        <w:left w:val="none" w:sz="0" w:space="0" w:color="auto"/>
        <w:bottom w:val="none" w:sz="0" w:space="0" w:color="auto"/>
        <w:right w:val="none" w:sz="0" w:space="0" w:color="auto"/>
      </w:divBdr>
    </w:div>
    <w:div w:id="1034573913">
      <w:bodyDiv w:val="1"/>
      <w:marLeft w:val="0"/>
      <w:marRight w:val="0"/>
      <w:marTop w:val="0"/>
      <w:marBottom w:val="0"/>
      <w:divBdr>
        <w:top w:val="none" w:sz="0" w:space="0" w:color="auto"/>
        <w:left w:val="none" w:sz="0" w:space="0" w:color="auto"/>
        <w:bottom w:val="none" w:sz="0" w:space="0" w:color="auto"/>
        <w:right w:val="none" w:sz="0" w:space="0" w:color="auto"/>
      </w:divBdr>
    </w:div>
    <w:div w:id="1086224857">
      <w:bodyDiv w:val="1"/>
      <w:marLeft w:val="0"/>
      <w:marRight w:val="0"/>
      <w:marTop w:val="0"/>
      <w:marBottom w:val="0"/>
      <w:divBdr>
        <w:top w:val="none" w:sz="0" w:space="0" w:color="auto"/>
        <w:left w:val="none" w:sz="0" w:space="0" w:color="auto"/>
        <w:bottom w:val="none" w:sz="0" w:space="0" w:color="auto"/>
        <w:right w:val="none" w:sz="0" w:space="0" w:color="auto"/>
      </w:divBdr>
    </w:div>
    <w:div w:id="1253509679">
      <w:bodyDiv w:val="1"/>
      <w:marLeft w:val="0"/>
      <w:marRight w:val="0"/>
      <w:marTop w:val="0"/>
      <w:marBottom w:val="0"/>
      <w:divBdr>
        <w:top w:val="none" w:sz="0" w:space="0" w:color="auto"/>
        <w:left w:val="none" w:sz="0" w:space="0" w:color="auto"/>
        <w:bottom w:val="none" w:sz="0" w:space="0" w:color="auto"/>
        <w:right w:val="none" w:sz="0" w:space="0" w:color="auto"/>
      </w:divBdr>
    </w:div>
    <w:div w:id="1394039937">
      <w:bodyDiv w:val="1"/>
      <w:marLeft w:val="0"/>
      <w:marRight w:val="0"/>
      <w:marTop w:val="0"/>
      <w:marBottom w:val="0"/>
      <w:divBdr>
        <w:top w:val="none" w:sz="0" w:space="0" w:color="auto"/>
        <w:left w:val="none" w:sz="0" w:space="0" w:color="auto"/>
        <w:bottom w:val="none" w:sz="0" w:space="0" w:color="auto"/>
        <w:right w:val="none" w:sz="0" w:space="0" w:color="auto"/>
      </w:divBdr>
    </w:div>
    <w:div w:id="213031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4/4/pdfs/anaw_20140004_en.pdf" TargetMode="External"/><Relationship Id="rId13" Type="http://schemas.openxmlformats.org/officeDocument/2006/relationships/hyperlink" Target="https://www.manchester.gov.uk/info/100010/social_services/6608/deprivation_of_liberty_in_a_domestic_setting_did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welsh-language-and-health"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andfonline.com/doi/full/10.1080/02650533.2017.139761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afeguarding.wales/en/adu-i/adu-i-a1/a1-p5/" TargetMode="External"/><Relationship Id="rId5" Type="http://schemas.openxmlformats.org/officeDocument/2006/relationships/footnotes" Target="footnotes.xml"/><Relationship Id="rId15" Type="http://schemas.openxmlformats.org/officeDocument/2006/relationships/hyperlink" Target="https://safeguarding.wales/en/adu-i/adu-i-a2/a2-p13/" TargetMode="External"/><Relationship Id="rId10" Type="http://schemas.openxmlformats.org/officeDocument/2006/relationships/hyperlink" Target="https://www.legislation.gov.uk/anaw/2014/4/pdfs/anaw_20140004_en.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afeguarding.wales/en/adu-i/adu-i-ap/a1p-p2" TargetMode="External"/><Relationship Id="rId14" Type="http://schemas.openxmlformats.org/officeDocument/2006/relationships/hyperlink" Target="https://www.google.com/search?sca_esv=7466096905fafdc9&amp;cs=0&amp;q=Mental+Capacity+Act+%28MCA%29+2005&amp;sa=X&amp;ved=2ahUKEwjk2rycxoKPAxXNUUEAHfxyCxEQxccNegQIChAB&amp;mstk=AUtExfBfai-TiGOWA4RlC9V9MRTgZlO-atXt_YJYk0Nn848hR9OUYenpiDp5ST41SYmwi3QMtVbBt6PYCLIac-XDkYgHRr8cGtryiDs_DrTC2UwZ253_U9G4WQeZVnxd4i6afG8&amp;csui=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1284</TotalTime>
  <Pages>11</Pages>
  <Words>3991</Words>
  <Characters>22753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Denbighshire County Council</Company>
  <LinksUpToDate>false</LinksUpToDate>
  <CharactersWithSpaces>26691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Cet Williams</dc:creator>
  <cp:keywords/>
  <dc:description/>
  <cp:lastModifiedBy>Cet Williams</cp:lastModifiedBy>
  <cp:revision>24</cp:revision>
  <dcterms:created xsi:type="dcterms:W3CDTF">2025-07-28T08:20:00Z</dcterms:created>
  <dcterms:modified xsi:type="dcterms:W3CDTF">2026-02-21T20:21:00Z</dcterms:modified>
</cp:coreProperties>
</file>