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005524" w14:textId="230FC78C" w:rsidR="00D9318F" w:rsidRPr="00FF6519" w:rsidRDefault="002713AF" w:rsidP="00FF6519">
      <w:pPr>
        <w:spacing w:after="120" w:line="276" w:lineRule="auto"/>
        <w:rPr>
          <w:rFonts w:ascii="Perpetua Titling MT" w:hAnsi="Perpetua Titling MT"/>
          <w:sz w:val="36"/>
          <w:szCs w:val="48"/>
        </w:rPr>
      </w:pPr>
      <w:r w:rsidRPr="00FF6519">
        <w:rPr>
          <w:rFonts w:ascii="Perpetua Titling MT" w:hAnsi="Perpetua Titling MT"/>
          <w:sz w:val="36"/>
          <w:szCs w:val="48"/>
        </w:rPr>
        <w:t xml:space="preserve">COMPULSORY </w:t>
      </w:r>
      <w:r w:rsidR="00FF6519" w:rsidRPr="00FF6519">
        <w:rPr>
          <w:rFonts w:ascii="Perpetua Titling MT" w:hAnsi="Perpetua Titling MT"/>
          <w:sz w:val="36"/>
          <w:szCs w:val="48"/>
        </w:rPr>
        <w:t>PORTFOLIO</w:t>
      </w:r>
      <w:r w:rsidR="00FF6519" w:rsidRPr="00FF6519">
        <w:rPr>
          <w:rFonts w:ascii="Perpetua Titling MT" w:hAnsi="Perpetua Titling MT"/>
          <w:sz w:val="36"/>
          <w:szCs w:val="48"/>
        </w:rPr>
        <w:t xml:space="preserve"> </w:t>
      </w:r>
      <w:r w:rsidRPr="00FF6519">
        <w:rPr>
          <w:rFonts w:ascii="Perpetua Titling MT" w:hAnsi="Perpetua Titling MT"/>
          <w:sz w:val="36"/>
          <w:szCs w:val="48"/>
        </w:rPr>
        <w:t xml:space="preserve">TASK </w:t>
      </w:r>
    </w:p>
    <w:p w14:paraId="207BFD56" w14:textId="4FB287A9" w:rsidR="008312E1" w:rsidRPr="008312E1" w:rsidRDefault="008312E1" w:rsidP="00FF6519">
      <w:pPr>
        <w:spacing w:after="120" w:line="276" w:lineRule="auto"/>
        <w:rPr>
          <w:rFonts w:ascii="Palatino Linotype" w:hAnsi="Palatino Linotype"/>
          <w:color w:val="C00000"/>
          <w:u w:val="single"/>
        </w:rPr>
      </w:pPr>
      <w:r w:rsidRPr="008312E1">
        <w:rPr>
          <w:rFonts w:ascii="Palatino Linotype" w:hAnsi="Palatino Linotype"/>
          <w:color w:val="C00000"/>
          <w:u w:val="single"/>
        </w:rPr>
        <w:t>This is the only task which everyone MUST do to pass this module.</w:t>
      </w:r>
    </w:p>
    <w:p w14:paraId="05EE19C5" w14:textId="34C07B4E" w:rsidR="009F26AD" w:rsidRPr="00FC50BF" w:rsidRDefault="002713AF" w:rsidP="00FF6519">
      <w:pPr>
        <w:spacing w:after="120" w:line="276" w:lineRule="auto"/>
        <w:rPr>
          <w:rFonts w:ascii="Palatino Linotype" w:hAnsi="Palatino Linotype"/>
          <w:sz w:val="22"/>
        </w:rPr>
      </w:pPr>
      <w:r w:rsidRPr="00FC50BF">
        <w:rPr>
          <w:rFonts w:ascii="Palatino Linotype" w:hAnsi="Palatino Linotype"/>
          <w:sz w:val="22"/>
        </w:rPr>
        <w:t>In the following bibliography there is no way of telling which texts are books and which are articles. Please</w:t>
      </w:r>
      <w:r w:rsidR="009F26AD" w:rsidRPr="00FC50BF">
        <w:rPr>
          <w:rFonts w:ascii="Palatino Linotype" w:hAnsi="Palatino Linotype"/>
          <w:sz w:val="22"/>
        </w:rPr>
        <w:t xml:space="preserve"> print off and </w:t>
      </w:r>
      <w:r w:rsidR="009F26AD" w:rsidRPr="00FC50BF">
        <w:rPr>
          <w:rFonts w:ascii="Palatino Linotype" w:hAnsi="Palatino Linotype"/>
          <w:i/>
          <w:sz w:val="22"/>
        </w:rPr>
        <w:t>by hand</w:t>
      </w:r>
    </w:p>
    <w:p w14:paraId="30AC18B7" w14:textId="31CA12E9" w:rsidR="008312E1" w:rsidRPr="00FC50BF" w:rsidRDefault="008312E1" w:rsidP="00FF6519">
      <w:pPr>
        <w:pStyle w:val="ListParagraph"/>
        <w:numPr>
          <w:ilvl w:val="0"/>
          <w:numId w:val="3"/>
        </w:numPr>
        <w:spacing w:after="120" w:line="276" w:lineRule="auto"/>
        <w:rPr>
          <w:rFonts w:ascii="Palatino Linotype" w:hAnsi="Palatino Linotype"/>
          <w:sz w:val="22"/>
        </w:rPr>
      </w:pPr>
      <w:r w:rsidRPr="00FC50BF">
        <w:rPr>
          <w:rFonts w:ascii="Palatino Linotype" w:hAnsi="Palatino Linotype"/>
          <w:sz w:val="22"/>
        </w:rPr>
        <w:t xml:space="preserve">indicate whether </w:t>
      </w:r>
      <w:r w:rsidRPr="00FC50BF">
        <w:rPr>
          <w:rFonts w:ascii="Palatino Linotype" w:hAnsi="Palatino Linotype"/>
          <w:b/>
          <w:sz w:val="22"/>
        </w:rPr>
        <w:t>book, article</w:t>
      </w:r>
      <w:r w:rsidRPr="00FC50BF">
        <w:rPr>
          <w:rFonts w:ascii="Palatino Linotype" w:hAnsi="Palatino Linotype"/>
          <w:sz w:val="22"/>
        </w:rPr>
        <w:t xml:space="preserve"> and/or </w:t>
      </w:r>
      <w:r w:rsidRPr="00FC50BF">
        <w:rPr>
          <w:rFonts w:ascii="Palatino Linotype" w:hAnsi="Palatino Linotype"/>
          <w:b/>
          <w:sz w:val="22"/>
        </w:rPr>
        <w:t>journal</w:t>
      </w:r>
      <w:r w:rsidRPr="00FC50BF">
        <w:rPr>
          <w:rFonts w:ascii="Palatino Linotype" w:hAnsi="Palatino Linotype"/>
          <w:sz w:val="22"/>
        </w:rPr>
        <w:t xml:space="preserve">: </w:t>
      </w:r>
      <w:r w:rsidRPr="00FF6519">
        <w:rPr>
          <w:rFonts w:ascii="Palatino Linotype" w:hAnsi="Palatino Linotype"/>
          <w:sz w:val="22"/>
          <w:u w:val="single"/>
        </w:rPr>
        <w:t>underline titles to indicate italics</w:t>
      </w:r>
      <w:r w:rsidR="00D15930">
        <w:rPr>
          <w:rFonts w:ascii="Palatino Linotype" w:hAnsi="Palatino Linotype"/>
          <w:sz w:val="22"/>
          <w:u w:val="single"/>
        </w:rPr>
        <w:t>;</w:t>
      </w:r>
    </w:p>
    <w:p w14:paraId="582A4AEB" w14:textId="464DCD4E" w:rsidR="002713AF" w:rsidRDefault="009F26AD" w:rsidP="00FF6519">
      <w:pPr>
        <w:pStyle w:val="ListParagraph"/>
        <w:numPr>
          <w:ilvl w:val="0"/>
          <w:numId w:val="3"/>
        </w:numPr>
        <w:spacing w:after="120" w:line="276" w:lineRule="auto"/>
        <w:rPr>
          <w:rFonts w:ascii="Palatino Linotype" w:hAnsi="Palatino Linotype"/>
          <w:sz w:val="22"/>
        </w:rPr>
      </w:pPr>
      <w:r w:rsidRPr="00FC50BF">
        <w:rPr>
          <w:rFonts w:ascii="Palatino Linotype" w:hAnsi="Palatino Linotype"/>
          <w:sz w:val="22"/>
        </w:rPr>
        <w:t xml:space="preserve">Insert B or J </w:t>
      </w:r>
      <w:r w:rsidR="003D0548" w:rsidRPr="00FC50BF">
        <w:rPr>
          <w:rFonts w:ascii="Palatino Linotype" w:hAnsi="Palatino Linotype"/>
          <w:sz w:val="22"/>
        </w:rPr>
        <w:t xml:space="preserve">in the second column </w:t>
      </w:r>
      <w:r w:rsidRPr="00FC50BF">
        <w:rPr>
          <w:rFonts w:ascii="Palatino Linotype" w:hAnsi="Palatino Linotype"/>
          <w:sz w:val="22"/>
        </w:rPr>
        <w:t>to indicate whether book or journal</w:t>
      </w:r>
      <w:r w:rsidR="00D15930">
        <w:rPr>
          <w:rFonts w:ascii="Palatino Linotype" w:hAnsi="Palatino Linotype"/>
          <w:sz w:val="22"/>
        </w:rPr>
        <w:t>;</w:t>
      </w:r>
      <w:r w:rsidR="002713AF" w:rsidRPr="00FC50BF">
        <w:rPr>
          <w:rFonts w:ascii="Palatino Linotype" w:hAnsi="Palatino Linotype"/>
          <w:sz w:val="22"/>
        </w:rPr>
        <w:t xml:space="preserve"> </w:t>
      </w:r>
    </w:p>
    <w:p w14:paraId="62705F7D" w14:textId="30444BDD" w:rsidR="00FF6519" w:rsidRPr="00FC50BF" w:rsidRDefault="00FF6519" w:rsidP="00FF6519">
      <w:pPr>
        <w:pStyle w:val="ListParagraph"/>
        <w:numPr>
          <w:ilvl w:val="0"/>
          <w:numId w:val="3"/>
        </w:numPr>
        <w:spacing w:after="120" w:line="276" w:lineRule="auto"/>
        <w:rPr>
          <w:rFonts w:ascii="Palatino Linotype" w:hAnsi="Palatino Linotype"/>
          <w:sz w:val="22"/>
        </w:rPr>
      </w:pPr>
      <w:r>
        <w:rPr>
          <w:rFonts w:ascii="Palatino Linotype" w:hAnsi="Palatino Linotype"/>
          <w:sz w:val="22"/>
        </w:rPr>
        <w:t>Check the order of information and correct if necessary</w:t>
      </w:r>
      <w:r w:rsidR="00D15930">
        <w:rPr>
          <w:rFonts w:ascii="Palatino Linotype" w:hAnsi="Palatino Linotype"/>
          <w:sz w:val="22"/>
        </w:rPr>
        <w:t>.</w:t>
      </w:r>
      <w:bookmarkStart w:id="0" w:name="_GoBack"/>
      <w:bookmarkEnd w:id="0"/>
      <w:r>
        <w:rPr>
          <w:rFonts w:ascii="Palatino Linotype" w:hAnsi="Palatino Linotype"/>
          <w:sz w:val="22"/>
        </w:rPr>
        <w:t xml:space="preserve"> </w:t>
      </w:r>
    </w:p>
    <w:tbl>
      <w:tblPr>
        <w:tblStyle w:val="TableGrid"/>
        <w:tblpPr w:leftFromText="180" w:rightFromText="180" w:vertAnchor="text" w:horzAnchor="margin" w:tblpY="144"/>
        <w:tblW w:w="0" w:type="auto"/>
        <w:tblLook w:val="04A0" w:firstRow="1" w:lastRow="0" w:firstColumn="1" w:lastColumn="0" w:noHBand="0" w:noVBand="1"/>
      </w:tblPr>
      <w:tblGrid>
        <w:gridCol w:w="9039"/>
        <w:gridCol w:w="815"/>
      </w:tblGrid>
      <w:tr w:rsidR="002713AF" w14:paraId="44F7C21E" w14:textId="77777777" w:rsidTr="008312E1">
        <w:tc>
          <w:tcPr>
            <w:tcW w:w="9039" w:type="dxa"/>
          </w:tcPr>
          <w:p w14:paraId="2927CA9E" w14:textId="14982FF6" w:rsidR="002713AF" w:rsidRPr="008312E1" w:rsidRDefault="008312E1" w:rsidP="00FF6519">
            <w:pPr>
              <w:spacing w:after="120" w:line="276" w:lineRule="auto"/>
              <w:jc w:val="center"/>
              <w:rPr>
                <w:rFonts w:ascii="Garamond" w:hAnsi="Garamond"/>
                <w:i/>
              </w:rPr>
            </w:pPr>
            <w:r w:rsidRPr="008312E1">
              <w:rPr>
                <w:rFonts w:ascii="Garamond" w:hAnsi="Garamond"/>
                <w:i/>
              </w:rPr>
              <w:t>Title &amp; publication details</w:t>
            </w:r>
          </w:p>
        </w:tc>
        <w:tc>
          <w:tcPr>
            <w:tcW w:w="815" w:type="dxa"/>
          </w:tcPr>
          <w:p w14:paraId="7694C934" w14:textId="25AB8D67" w:rsidR="002713AF" w:rsidRPr="003D0548" w:rsidRDefault="002713AF" w:rsidP="00FF6519">
            <w:pPr>
              <w:spacing w:after="120" w:line="276" w:lineRule="auto"/>
              <w:rPr>
                <w:rFonts w:ascii="Garamond" w:hAnsi="Garamond"/>
                <w:i/>
              </w:rPr>
            </w:pPr>
            <w:r w:rsidRPr="003D0548">
              <w:rPr>
                <w:rFonts w:ascii="Garamond" w:hAnsi="Garamond"/>
                <w:b/>
              </w:rPr>
              <w:t>B</w:t>
            </w:r>
            <w:r w:rsidRPr="003D0548">
              <w:rPr>
                <w:rFonts w:ascii="Garamond" w:hAnsi="Garamond"/>
                <w:i/>
              </w:rPr>
              <w:t xml:space="preserve"> or </w:t>
            </w:r>
            <w:r w:rsidRPr="003D0548">
              <w:rPr>
                <w:rFonts w:ascii="Garamond" w:hAnsi="Garamond"/>
                <w:b/>
              </w:rPr>
              <w:t>J</w:t>
            </w:r>
          </w:p>
        </w:tc>
      </w:tr>
      <w:tr w:rsidR="00FF6519" w14:paraId="570FBC92" w14:textId="77777777" w:rsidTr="008312E1">
        <w:tc>
          <w:tcPr>
            <w:tcW w:w="9039" w:type="dxa"/>
          </w:tcPr>
          <w:p w14:paraId="3AC7C10E" w14:textId="0A49E06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Abel, Elizabeth, Virginia Woolf and the Fictions of Psychoanalysis (Chicago: University of Chicago Press, 1989).</w:t>
            </w:r>
          </w:p>
          <w:p w14:paraId="1C46089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Armstrong, Tim, </w:t>
            </w:r>
            <w:proofErr w:type="gramStart"/>
            <w:r w:rsidRPr="008312E1">
              <w:rPr>
                <w:rFonts w:ascii="Garamond" w:hAnsi="Garamond"/>
              </w:rPr>
              <w:t>Modernism</w:t>
            </w:r>
            <w:proofErr w:type="gramEnd"/>
            <w:r w:rsidRPr="008312E1">
              <w:rPr>
                <w:rFonts w:ascii="Garamond" w:hAnsi="Garamond"/>
              </w:rPr>
              <w:t xml:space="preserve"> (Cambridge: Polity, 2005).</w:t>
            </w:r>
          </w:p>
          <w:p w14:paraId="0E777DAD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Attridge</w:t>
            </w:r>
            <w:proofErr w:type="spellEnd"/>
            <w:r w:rsidRPr="008312E1">
              <w:rPr>
                <w:rFonts w:ascii="Garamond" w:hAnsi="Garamond"/>
              </w:rPr>
              <w:t>, Derek, ed., The Cambridge Companion to James Joyce (Cambridge: Cambridge University Press, 1990).</w:t>
            </w:r>
          </w:p>
          <w:p w14:paraId="191CFF5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Attridge</w:t>
            </w:r>
            <w:proofErr w:type="spellEnd"/>
            <w:r w:rsidRPr="008312E1">
              <w:rPr>
                <w:rFonts w:ascii="Garamond" w:hAnsi="Garamond"/>
              </w:rPr>
              <w:t xml:space="preserve">, Derek, How to Read Joyce (London: </w:t>
            </w:r>
            <w:proofErr w:type="spellStart"/>
            <w:r w:rsidRPr="008312E1">
              <w:rPr>
                <w:rFonts w:ascii="Garamond" w:hAnsi="Garamond"/>
              </w:rPr>
              <w:t>Granta</w:t>
            </w:r>
            <w:proofErr w:type="spellEnd"/>
            <w:r w:rsidRPr="008312E1">
              <w:rPr>
                <w:rFonts w:ascii="Garamond" w:hAnsi="Garamond"/>
              </w:rPr>
              <w:t xml:space="preserve">, 2007). </w:t>
            </w:r>
          </w:p>
          <w:p w14:paraId="087D3807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Attridge</w:t>
            </w:r>
            <w:proofErr w:type="spellEnd"/>
            <w:r w:rsidRPr="008312E1">
              <w:rPr>
                <w:rFonts w:ascii="Garamond" w:hAnsi="Garamond"/>
              </w:rPr>
              <w:t xml:space="preserve">, Derek, Joyce Effects: On Language, Theory and History (Cambridge: Cambridge University Press, 2000). </w:t>
            </w:r>
          </w:p>
          <w:p w14:paraId="46DB2295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Ayers, David, Modernism: A Short Introduction (Oxford: Blackwell, 2004). </w:t>
            </w:r>
          </w:p>
          <w:p w14:paraId="5FCA9740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Beer, Gillian, Virginia Woolf: The Common Ground (Edinburgh: Edinburgh University Press, 1996). </w:t>
            </w:r>
          </w:p>
          <w:p w14:paraId="7A196C61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Berman, Marshall, All that is Solid Melts into Air: The Experience of Modernity (London: Verso, 1983). </w:t>
            </w:r>
          </w:p>
          <w:p w14:paraId="3C5FC84A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Bowlby, Rachel, ed., Virginia Woolf (London; New York: Longman, 1992).</w:t>
            </w:r>
          </w:p>
          <w:p w14:paraId="41938CE2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Bowlby, Rachel, Feminist Destinations and Further Essays on Virginia Woolf (Edinburgh: Edinburgh University Press, 1997). </w:t>
            </w:r>
          </w:p>
          <w:p w14:paraId="54909750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Bradbury, Malcolm and James McFarlane, eds., Modernism 1890-1930 (</w:t>
            </w:r>
            <w:proofErr w:type="spellStart"/>
            <w:r w:rsidRPr="008312E1">
              <w:rPr>
                <w:rFonts w:ascii="Garamond" w:hAnsi="Garamond"/>
              </w:rPr>
              <w:t>Harmondsworth</w:t>
            </w:r>
            <w:proofErr w:type="spellEnd"/>
            <w:r w:rsidRPr="008312E1">
              <w:rPr>
                <w:rFonts w:ascii="Garamond" w:hAnsi="Garamond"/>
              </w:rPr>
              <w:t xml:space="preserve">: Penguin, 1990). </w:t>
            </w:r>
          </w:p>
          <w:p w14:paraId="4A09B067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Brooker</w:t>
            </w:r>
            <w:proofErr w:type="spellEnd"/>
            <w:r w:rsidRPr="008312E1">
              <w:rPr>
                <w:rFonts w:ascii="Garamond" w:hAnsi="Garamond"/>
              </w:rPr>
              <w:t xml:space="preserve">, Peter, and Andrew Thacker, eds., Geographies of Modernism: Literatures, cultures, places (London; New York: Routledge, 2005). </w:t>
            </w:r>
          </w:p>
          <w:p w14:paraId="70C13F2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Brooker</w:t>
            </w:r>
            <w:proofErr w:type="spellEnd"/>
            <w:r w:rsidRPr="008312E1">
              <w:rPr>
                <w:rFonts w:ascii="Garamond" w:hAnsi="Garamond"/>
              </w:rPr>
              <w:t>, Peter, ed., Modernism/Postmodernism (London; New York: Longman, 1992).</w:t>
            </w:r>
          </w:p>
          <w:p w14:paraId="40A1806F" w14:textId="22F9296C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Bush, Ronald, ed., T.S. Eliot: The Modernist in History (</w:t>
            </w:r>
            <w:r w:rsidRPr="008312E1">
              <w:rPr>
                <w:rFonts w:ascii="Garamond" w:hAnsi="Garamond"/>
              </w:rPr>
              <w:t>1991</w:t>
            </w:r>
            <w:r>
              <w:rPr>
                <w:rFonts w:ascii="Garamond" w:hAnsi="Garamond"/>
              </w:rPr>
              <w:t xml:space="preserve">, </w:t>
            </w:r>
            <w:r w:rsidRPr="008312E1">
              <w:rPr>
                <w:rFonts w:ascii="Garamond" w:hAnsi="Garamond"/>
              </w:rPr>
              <w:t>Cambridge: Cambridge University Press,).</w:t>
            </w:r>
          </w:p>
          <w:p w14:paraId="0EC8E92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Butler, Christopher, Early Modernism: Literature, Music and Painting in Europe 1900-1916 (Oxford: Clarendon, 1994).</w:t>
            </w:r>
          </w:p>
          <w:p w14:paraId="28903B3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Childs, Peter, </w:t>
            </w:r>
            <w:proofErr w:type="gramStart"/>
            <w:r w:rsidRPr="008312E1">
              <w:rPr>
                <w:rFonts w:ascii="Garamond" w:hAnsi="Garamond"/>
              </w:rPr>
              <w:t>Modernism</w:t>
            </w:r>
            <w:proofErr w:type="gramEnd"/>
            <w:r w:rsidRPr="008312E1">
              <w:rPr>
                <w:rFonts w:ascii="Garamond" w:hAnsi="Garamond"/>
              </w:rPr>
              <w:t xml:space="preserve"> (London; New York: Routledge, 2000). </w:t>
            </w:r>
          </w:p>
          <w:p w14:paraId="403C51E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Conrad, J. Heart of Darkness. (</w:t>
            </w:r>
            <w:proofErr w:type="spellStart"/>
            <w:r w:rsidRPr="008312E1">
              <w:rPr>
                <w:rFonts w:ascii="Garamond" w:hAnsi="Garamond"/>
              </w:rPr>
              <w:t>Harmondsworth</w:t>
            </w:r>
            <w:proofErr w:type="spellEnd"/>
            <w:r w:rsidRPr="008312E1">
              <w:rPr>
                <w:rFonts w:ascii="Garamond" w:hAnsi="Garamond"/>
              </w:rPr>
              <w:t>: Penguin, 2000).</w:t>
            </w:r>
          </w:p>
          <w:p w14:paraId="651F934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Corngold</w:t>
            </w:r>
            <w:proofErr w:type="spellEnd"/>
            <w:r w:rsidRPr="008312E1">
              <w:rPr>
                <w:rFonts w:ascii="Garamond" w:hAnsi="Garamond"/>
              </w:rPr>
              <w:t xml:space="preserve">, Stanley, Adorno’s "Notes on Kafka": A Critical Reconstruction, </w:t>
            </w:r>
            <w:proofErr w:type="spellStart"/>
            <w:r w:rsidRPr="008312E1">
              <w:rPr>
                <w:rFonts w:ascii="Garamond" w:hAnsi="Garamond"/>
              </w:rPr>
              <w:t>Monatshefte</w:t>
            </w:r>
            <w:proofErr w:type="spellEnd"/>
            <w:r w:rsidRPr="008312E1">
              <w:rPr>
                <w:rFonts w:ascii="Garamond" w:hAnsi="Garamond"/>
              </w:rPr>
              <w:t>, Vol. 94, No. 1, Rereading Adorno (Spring, 2002), 24-42</w:t>
            </w:r>
          </w:p>
          <w:p w14:paraId="07616AF4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Cox, C.B. and Arnold P. </w:t>
            </w:r>
            <w:proofErr w:type="spellStart"/>
            <w:r w:rsidRPr="008312E1">
              <w:rPr>
                <w:rFonts w:ascii="Garamond" w:hAnsi="Garamond"/>
              </w:rPr>
              <w:t>Hinchcliffe</w:t>
            </w:r>
            <w:proofErr w:type="spellEnd"/>
            <w:r w:rsidRPr="008312E1">
              <w:rPr>
                <w:rFonts w:ascii="Garamond" w:hAnsi="Garamond"/>
              </w:rPr>
              <w:t xml:space="preserve">, eds., T.S. Eliot. The Waste Land: A Casebook (London: </w:t>
            </w:r>
            <w:r w:rsidRPr="008312E1">
              <w:rPr>
                <w:rFonts w:ascii="Garamond" w:hAnsi="Garamond"/>
              </w:rPr>
              <w:lastRenderedPageBreak/>
              <w:t xml:space="preserve">Macmillan, 1968). </w:t>
            </w:r>
          </w:p>
          <w:p w14:paraId="3F50BE8D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Crawford, Robert, The Savage and the City in the Work of T.S. Eliot (Oxford: Clarendon, 1987).</w:t>
            </w:r>
          </w:p>
          <w:p w14:paraId="17AAEBA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Cucullu</w:t>
            </w:r>
            <w:proofErr w:type="spellEnd"/>
            <w:r w:rsidRPr="008312E1">
              <w:rPr>
                <w:rFonts w:ascii="Garamond" w:hAnsi="Garamond"/>
              </w:rPr>
              <w:t>, Lois, Expert Modernists, Matricide and Modern Culture: Woolf, Forster, Joyce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>: Palgrave, 2004).</w:t>
            </w:r>
          </w:p>
          <w:p w14:paraId="131E7979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Eliot, T.S. The Waste Land and Other Poems. (</w:t>
            </w:r>
            <w:proofErr w:type="spellStart"/>
            <w:r w:rsidRPr="008312E1">
              <w:rPr>
                <w:rFonts w:ascii="Garamond" w:hAnsi="Garamond"/>
              </w:rPr>
              <w:t>Harmondsworth</w:t>
            </w:r>
            <w:proofErr w:type="spellEnd"/>
            <w:r w:rsidRPr="008312E1">
              <w:rPr>
                <w:rFonts w:ascii="Garamond" w:hAnsi="Garamond"/>
              </w:rPr>
              <w:t xml:space="preserve">: Penguin, 2003) </w:t>
            </w:r>
          </w:p>
          <w:p w14:paraId="1326E5B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Emig</w:t>
            </w:r>
            <w:proofErr w:type="spellEnd"/>
            <w:r w:rsidRPr="008312E1">
              <w:rPr>
                <w:rFonts w:ascii="Garamond" w:hAnsi="Garamond"/>
              </w:rPr>
              <w:t>, Rainer, Modernism in Poetry: Motivations, Structures and Limits (London; New York: Longman, 1995).</w:t>
            </w:r>
          </w:p>
          <w:p w14:paraId="564726EC" w14:textId="71A5C65C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Enrico </w:t>
            </w:r>
            <w:proofErr w:type="spellStart"/>
            <w:r w:rsidRPr="008312E1">
              <w:rPr>
                <w:rFonts w:ascii="Garamond" w:hAnsi="Garamond"/>
              </w:rPr>
              <w:t>Cesaretti</w:t>
            </w:r>
            <w:proofErr w:type="spellEnd"/>
            <w:r w:rsidRPr="008312E1">
              <w:rPr>
                <w:rFonts w:ascii="Garamond" w:hAnsi="Garamond"/>
              </w:rPr>
              <w:t xml:space="preserve">, Consuming Texts: Creation and Self-Effacement in Kafka and </w:t>
            </w:r>
            <w:proofErr w:type="spellStart"/>
            <w:r w:rsidRPr="008312E1">
              <w:rPr>
                <w:rFonts w:ascii="Garamond" w:hAnsi="Garamond"/>
              </w:rPr>
              <w:t>Palazzeschi</w:t>
            </w:r>
            <w:proofErr w:type="spellEnd"/>
            <w:r w:rsidRPr="008312E1">
              <w:rPr>
                <w:rFonts w:ascii="Garamond" w:hAnsi="Garamond"/>
              </w:rPr>
              <w:t>, Comparative Literature, Vol. 56,</w:t>
            </w:r>
            <w:r>
              <w:rPr>
                <w:rFonts w:ascii="Garamond" w:hAnsi="Garamond"/>
              </w:rPr>
              <w:t xml:space="preserve"> </w:t>
            </w:r>
            <w:r w:rsidRPr="008312E1">
              <w:rPr>
                <w:rFonts w:ascii="Garamond" w:hAnsi="Garamond"/>
              </w:rPr>
              <w:t>300-316</w:t>
            </w:r>
            <w:r w:rsidRPr="008312E1">
              <w:rPr>
                <w:rFonts w:ascii="Garamond" w:hAnsi="Garamond"/>
              </w:rPr>
              <w:t xml:space="preserve">  </w:t>
            </w:r>
            <w:r w:rsidRPr="008312E1">
              <w:rPr>
                <w:rFonts w:ascii="Garamond" w:hAnsi="Garamond"/>
              </w:rPr>
              <w:t>No. 4</w:t>
            </w:r>
            <w:r w:rsidRPr="008312E1">
              <w:rPr>
                <w:rFonts w:ascii="Garamond" w:hAnsi="Garamond"/>
              </w:rPr>
              <w:t xml:space="preserve"> (Autumn, 2004), </w:t>
            </w:r>
          </w:p>
          <w:p w14:paraId="02AD013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Goldman, Jane, </w:t>
            </w:r>
            <w:proofErr w:type="gramStart"/>
            <w:r w:rsidRPr="008312E1">
              <w:rPr>
                <w:rFonts w:ascii="Garamond" w:hAnsi="Garamond"/>
              </w:rPr>
              <w:t>Modernism</w:t>
            </w:r>
            <w:proofErr w:type="gramEnd"/>
            <w:r w:rsidRPr="008312E1">
              <w:rPr>
                <w:rFonts w:ascii="Garamond" w:hAnsi="Garamond"/>
              </w:rPr>
              <w:t xml:space="preserve"> 1910-1945: Image to Apocalypse (Basingstoke: Palgrave, 2004).</w:t>
            </w:r>
          </w:p>
          <w:p w14:paraId="4214F19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Greaney</w:t>
            </w:r>
            <w:proofErr w:type="spellEnd"/>
            <w:r w:rsidRPr="008312E1">
              <w:rPr>
                <w:rFonts w:ascii="Garamond" w:hAnsi="Garamond"/>
              </w:rPr>
              <w:t>, Michael, Conrad, Language and Narrative (Cambridge: Cambridge University Press, 2002).</w:t>
            </w:r>
          </w:p>
          <w:p w14:paraId="388476A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Hammer, Robert, ed., Joseph Conrad: Third World Perspectives (Washington DC: Three Continents, 1990). </w:t>
            </w:r>
          </w:p>
          <w:p w14:paraId="4CC81AB7" w14:textId="737B32DC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Hawthorn, Jeremy, Joseph Conrad: Narrative Technique and Ideological Commitment </w:t>
            </w:r>
            <w:proofErr w:type="gramStart"/>
            <w:r w:rsidRPr="008312E1">
              <w:rPr>
                <w:rFonts w:ascii="Garamond" w:hAnsi="Garamond"/>
              </w:rPr>
              <w:t xml:space="preserve">( </w:t>
            </w:r>
            <w:r w:rsidRPr="008312E1">
              <w:rPr>
                <w:rFonts w:ascii="Garamond" w:hAnsi="Garamond"/>
              </w:rPr>
              <w:t>Edward</w:t>
            </w:r>
            <w:proofErr w:type="gramEnd"/>
            <w:r w:rsidRPr="008312E1">
              <w:rPr>
                <w:rFonts w:ascii="Garamond" w:hAnsi="Garamond"/>
              </w:rPr>
              <w:t xml:space="preserve"> Arnold, </w:t>
            </w:r>
            <w:r w:rsidRPr="008312E1">
              <w:rPr>
                <w:rFonts w:ascii="Garamond" w:hAnsi="Garamond"/>
              </w:rPr>
              <w:t xml:space="preserve">London: 1990). </w:t>
            </w:r>
          </w:p>
          <w:p w14:paraId="33B5AD9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Holdeman</w:t>
            </w:r>
            <w:proofErr w:type="spellEnd"/>
            <w:r w:rsidRPr="008312E1">
              <w:rPr>
                <w:rFonts w:ascii="Garamond" w:hAnsi="Garamond"/>
              </w:rPr>
              <w:t xml:space="preserve">, David, The Cambridge Introduction to W.B. Yeats (Cambridge: Cambridge University Press, 2006). </w:t>
            </w:r>
          </w:p>
          <w:p w14:paraId="5BD1E5F4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Homans</w:t>
            </w:r>
            <w:proofErr w:type="spellEnd"/>
            <w:r w:rsidRPr="008312E1">
              <w:rPr>
                <w:rFonts w:ascii="Garamond" w:hAnsi="Garamond"/>
              </w:rPr>
              <w:t>, Margaret, ed., Virginia Woolf: A Collection of Critical Essays (New Jersey: Prentice Hall, 1993).</w:t>
            </w:r>
          </w:p>
          <w:p w14:paraId="1E6FA8E5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Howes</w:t>
            </w:r>
            <w:proofErr w:type="spellEnd"/>
            <w:r w:rsidRPr="008312E1">
              <w:rPr>
                <w:rFonts w:ascii="Garamond" w:hAnsi="Garamond"/>
              </w:rPr>
              <w:t xml:space="preserve">, Marjorie and John Kelly, eds., The Cambridge Companion to W.B. Yeats (Cambridge: Cambridge University Press, 2006). </w:t>
            </w:r>
          </w:p>
          <w:p w14:paraId="3CAF1835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Jordan, Elaine, ed., Joseph Conrad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>: Macmillan, 1996).</w:t>
            </w:r>
          </w:p>
          <w:p w14:paraId="244079E1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Joyce, J.  Dubliners, (New York: Norton, 2006)</w:t>
            </w:r>
          </w:p>
          <w:p w14:paraId="5890714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Kafka, F. The Metamorphosis, (New York: Norton, 1996)</w:t>
            </w:r>
          </w:p>
          <w:p w14:paraId="3857522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Kern, Stephen, The Culture of Time and Space 1880-1918 (Cambridge MA: Harvard University Press, 2003). </w:t>
            </w:r>
          </w:p>
          <w:p w14:paraId="08F80222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Kolocotroni</w:t>
            </w:r>
            <w:proofErr w:type="spellEnd"/>
            <w:r w:rsidRPr="008312E1">
              <w:rPr>
                <w:rFonts w:ascii="Garamond" w:hAnsi="Garamond"/>
              </w:rPr>
              <w:t xml:space="preserve">, </w:t>
            </w:r>
            <w:proofErr w:type="spellStart"/>
            <w:r w:rsidRPr="008312E1">
              <w:rPr>
                <w:rFonts w:ascii="Garamond" w:hAnsi="Garamond"/>
              </w:rPr>
              <w:t>Vassiliki</w:t>
            </w:r>
            <w:proofErr w:type="spellEnd"/>
            <w:r w:rsidRPr="008312E1">
              <w:rPr>
                <w:rFonts w:ascii="Garamond" w:hAnsi="Garamond"/>
              </w:rPr>
              <w:t xml:space="preserve"> et al eds., Modernism: An Anthology of Sources and Documents (Edinburgh: Edinburgh University Press, 1998). </w:t>
            </w:r>
          </w:p>
          <w:p w14:paraId="2D7682E8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Larrissy</w:t>
            </w:r>
            <w:proofErr w:type="spellEnd"/>
            <w:r w:rsidRPr="008312E1">
              <w:rPr>
                <w:rFonts w:ascii="Garamond" w:hAnsi="Garamond"/>
              </w:rPr>
              <w:t xml:space="preserve">, Edward, Yeats the Poet: The Measure of Difference (Hemel Hempstead: Harvester </w:t>
            </w:r>
            <w:proofErr w:type="spellStart"/>
            <w:r w:rsidRPr="008312E1">
              <w:rPr>
                <w:rFonts w:ascii="Garamond" w:hAnsi="Garamond"/>
              </w:rPr>
              <w:t>Wheatsheaf</w:t>
            </w:r>
            <w:proofErr w:type="spellEnd"/>
            <w:r w:rsidRPr="008312E1">
              <w:rPr>
                <w:rFonts w:ascii="Garamond" w:hAnsi="Garamond"/>
              </w:rPr>
              <w:t>, 1994).</w:t>
            </w:r>
          </w:p>
          <w:p w14:paraId="3688CCB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Leavis</w:t>
            </w:r>
            <w:proofErr w:type="spellEnd"/>
            <w:r w:rsidRPr="008312E1">
              <w:rPr>
                <w:rFonts w:ascii="Garamond" w:hAnsi="Garamond"/>
              </w:rPr>
              <w:t xml:space="preserve">, F.R., New Bearings in English Poetry: A Study of the Contemporary Situation (London: </w:t>
            </w:r>
            <w:proofErr w:type="spellStart"/>
            <w:r w:rsidRPr="008312E1">
              <w:rPr>
                <w:rFonts w:ascii="Garamond" w:hAnsi="Garamond"/>
              </w:rPr>
              <w:t>Chatto</w:t>
            </w:r>
            <w:proofErr w:type="spellEnd"/>
            <w:r w:rsidRPr="008312E1">
              <w:rPr>
                <w:rFonts w:ascii="Garamond" w:hAnsi="Garamond"/>
              </w:rPr>
              <w:t xml:space="preserve"> &amp; </w:t>
            </w:r>
            <w:proofErr w:type="spellStart"/>
            <w:r w:rsidRPr="008312E1">
              <w:rPr>
                <w:rFonts w:ascii="Garamond" w:hAnsi="Garamond"/>
              </w:rPr>
              <w:t>Windus</w:t>
            </w:r>
            <w:proofErr w:type="spellEnd"/>
            <w:r w:rsidRPr="008312E1">
              <w:rPr>
                <w:rFonts w:ascii="Garamond" w:hAnsi="Garamond"/>
              </w:rPr>
              <w:t xml:space="preserve">, 1961). </w:t>
            </w:r>
          </w:p>
          <w:p w14:paraId="39230298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Levenson</w:t>
            </w:r>
            <w:proofErr w:type="spellEnd"/>
            <w:r w:rsidRPr="008312E1">
              <w:rPr>
                <w:rFonts w:ascii="Garamond" w:hAnsi="Garamond"/>
              </w:rPr>
              <w:t>, Michael, ed., The Cambridge Companion to Modernism (Cambridge: Cambridge University Press, 1999).</w:t>
            </w:r>
          </w:p>
          <w:p w14:paraId="0F2740D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Lewis, Pericles, </w:t>
            </w:r>
            <w:proofErr w:type="gramStart"/>
            <w:r w:rsidRPr="008312E1">
              <w:rPr>
                <w:rFonts w:ascii="Garamond" w:hAnsi="Garamond"/>
              </w:rPr>
              <w:t>The</w:t>
            </w:r>
            <w:proofErr w:type="gramEnd"/>
            <w:r w:rsidRPr="008312E1">
              <w:rPr>
                <w:rFonts w:ascii="Garamond" w:hAnsi="Garamond"/>
              </w:rPr>
              <w:t xml:space="preserve"> Cambridge Introduction to Modernism (Cambridge: Cambridge University Press, 2007). </w:t>
            </w:r>
          </w:p>
          <w:p w14:paraId="6FEF0D62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Louis Begley, Kafka: The Axe for the Frozen Sea inside Us Proceedings of the American Philosophical Society, Vol. 141, No. 3 (Sep., 1997), 253-261</w:t>
            </w:r>
          </w:p>
          <w:p w14:paraId="40E158E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Marcus, Laura, Virginia Woolf (Plymouth: </w:t>
            </w:r>
            <w:proofErr w:type="spellStart"/>
            <w:r w:rsidRPr="008312E1">
              <w:rPr>
                <w:rFonts w:ascii="Garamond" w:hAnsi="Garamond"/>
              </w:rPr>
              <w:t>Nothcote</w:t>
            </w:r>
            <w:proofErr w:type="spellEnd"/>
            <w:r w:rsidRPr="008312E1">
              <w:rPr>
                <w:rFonts w:ascii="Garamond" w:hAnsi="Garamond"/>
              </w:rPr>
              <w:t xml:space="preserve"> House, 1995). </w:t>
            </w:r>
          </w:p>
          <w:p w14:paraId="201D1401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lastRenderedPageBreak/>
              <w:t>McCabe, Colin, James Joyce and the Revolution of the Word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 xml:space="preserve">: Palgrave, 2002). </w:t>
            </w:r>
          </w:p>
          <w:p w14:paraId="16951BAB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Miller, </w:t>
            </w:r>
            <w:proofErr w:type="spellStart"/>
            <w:r w:rsidRPr="008312E1">
              <w:rPr>
                <w:rFonts w:ascii="Garamond" w:hAnsi="Garamond"/>
              </w:rPr>
              <w:t>Tyrus</w:t>
            </w:r>
            <w:proofErr w:type="spellEnd"/>
            <w:r w:rsidRPr="008312E1">
              <w:rPr>
                <w:rFonts w:ascii="Garamond" w:hAnsi="Garamond"/>
              </w:rPr>
              <w:t>, Late Modernism: Politics, Fiction, and the Arts between the World Wars (Berkeley: University of California Press, 1999).</w:t>
            </w:r>
          </w:p>
          <w:p w14:paraId="7153368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Moody, A. David, ed., The Cambridge Companion to T.S. Eliot (Cambridge: Cambridge University Press, 1994). </w:t>
            </w:r>
          </w:p>
          <w:p w14:paraId="205FB6DB" w14:textId="41B860D1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Nicholls, Peter, Modernisms: A Literary Guide (Macmillan</w:t>
            </w:r>
            <w:proofErr w:type="gramStart"/>
            <w:r w:rsidRPr="008312E1">
              <w:rPr>
                <w:rFonts w:ascii="Garamond" w:hAnsi="Garamond"/>
              </w:rPr>
              <w:t xml:space="preserve">,  </w:t>
            </w:r>
            <w:r w:rsidRPr="008312E1">
              <w:rPr>
                <w:rFonts w:ascii="Garamond" w:hAnsi="Garamond"/>
              </w:rPr>
              <w:t>Basingstoke</w:t>
            </w:r>
            <w:proofErr w:type="gramEnd"/>
            <w:r w:rsidRPr="008312E1">
              <w:rPr>
                <w:rFonts w:ascii="Garamond" w:hAnsi="Garamond"/>
              </w:rPr>
              <w:t xml:space="preserve">: </w:t>
            </w:r>
            <w:r w:rsidRPr="008312E1">
              <w:rPr>
                <w:rFonts w:ascii="Garamond" w:hAnsi="Garamond"/>
              </w:rPr>
              <w:t xml:space="preserve">1995). </w:t>
            </w:r>
          </w:p>
          <w:p w14:paraId="12F6B2E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Nina </w:t>
            </w:r>
            <w:proofErr w:type="spellStart"/>
            <w:r w:rsidRPr="008312E1">
              <w:rPr>
                <w:rFonts w:ascii="Garamond" w:hAnsi="Garamond"/>
              </w:rPr>
              <w:t>Pelikan</w:t>
            </w:r>
            <w:proofErr w:type="spellEnd"/>
            <w:r w:rsidRPr="008312E1">
              <w:rPr>
                <w:rFonts w:ascii="Garamond" w:hAnsi="Garamond"/>
              </w:rPr>
              <w:t xml:space="preserve"> Straus, Transforming Franz </w:t>
            </w:r>
            <w:proofErr w:type="spellStart"/>
            <w:r w:rsidRPr="008312E1">
              <w:rPr>
                <w:rFonts w:ascii="Garamond" w:hAnsi="Garamond"/>
              </w:rPr>
              <w:t>Kafkas</w:t>
            </w:r>
            <w:proofErr w:type="spellEnd"/>
            <w:r w:rsidRPr="008312E1">
              <w:rPr>
                <w:rFonts w:ascii="Garamond" w:hAnsi="Garamond"/>
              </w:rPr>
              <w:t xml:space="preserve"> "Metamorphosis", Signs, Vol. 14, No. 3 (Spring, 1989), pp. 651-667</w:t>
            </w:r>
          </w:p>
          <w:p w14:paraId="1D3AC687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Nolan, </w:t>
            </w:r>
            <w:proofErr w:type="spellStart"/>
            <w:r w:rsidRPr="008312E1">
              <w:rPr>
                <w:rFonts w:ascii="Garamond" w:hAnsi="Garamond"/>
              </w:rPr>
              <w:t>Emer</w:t>
            </w:r>
            <w:proofErr w:type="spellEnd"/>
            <w:r w:rsidRPr="008312E1">
              <w:rPr>
                <w:rFonts w:ascii="Garamond" w:hAnsi="Garamond"/>
              </w:rPr>
              <w:t>, James Joyce and Nationalism (London; New York: Routledge, 1996).</w:t>
            </w:r>
          </w:p>
          <w:p w14:paraId="72DEE4C2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North, Michael, The Political Aesthetic of Yeats, Eliot and Pound (Cambridge: Cambridge University Press, 1991).</w:t>
            </w:r>
          </w:p>
          <w:p w14:paraId="6BFADDC3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ONeill</w:t>
            </w:r>
            <w:proofErr w:type="spellEnd"/>
            <w:r w:rsidRPr="008312E1">
              <w:rPr>
                <w:rFonts w:ascii="Garamond" w:hAnsi="Garamond"/>
              </w:rPr>
              <w:t xml:space="preserve">, Michael, Routledge Literary Sourcebook on the Poems of W.B. Yeats (London; New York: Routledge, 2003). </w:t>
            </w:r>
          </w:p>
          <w:p w14:paraId="121A6247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Peters, John, </w:t>
            </w:r>
            <w:proofErr w:type="gramStart"/>
            <w:r w:rsidRPr="008312E1">
              <w:rPr>
                <w:rFonts w:ascii="Garamond" w:hAnsi="Garamond"/>
              </w:rPr>
              <w:t>The</w:t>
            </w:r>
            <w:proofErr w:type="gramEnd"/>
            <w:r w:rsidRPr="008312E1">
              <w:rPr>
                <w:rFonts w:ascii="Garamond" w:hAnsi="Garamond"/>
              </w:rPr>
              <w:t xml:space="preserve"> Cambridge Introduction to Joseph Conrad (Cambridge: Cambridge University Press, 2006). </w:t>
            </w:r>
          </w:p>
          <w:p w14:paraId="1938E894" w14:textId="50B62CD0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Pound, E. Cathay, in Selected Poems, ( </w:t>
            </w:r>
            <w:r w:rsidRPr="008312E1">
              <w:rPr>
                <w:rFonts w:ascii="Garamond" w:hAnsi="Garamond"/>
              </w:rPr>
              <w:t xml:space="preserve">Faber and Faber, </w:t>
            </w:r>
            <w:r w:rsidRPr="008312E1">
              <w:rPr>
                <w:rFonts w:ascii="Garamond" w:hAnsi="Garamond"/>
              </w:rPr>
              <w:t xml:space="preserve">London: 2004) </w:t>
            </w:r>
          </w:p>
          <w:p w14:paraId="373F44BE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Rabate</w:t>
            </w:r>
            <w:proofErr w:type="spellEnd"/>
            <w:r w:rsidRPr="008312E1">
              <w:rPr>
                <w:rFonts w:ascii="Garamond" w:hAnsi="Garamond"/>
              </w:rPr>
              <w:t>, Jean-Michel, ed., Palgrave Advances in James Joyce Studies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>: Palgrave, 2004).</w:t>
            </w:r>
          </w:p>
          <w:p w14:paraId="113CF1BC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Rainey, Lawrence, </w:t>
            </w:r>
            <w:proofErr w:type="gramStart"/>
            <w:r w:rsidRPr="008312E1">
              <w:rPr>
                <w:rFonts w:ascii="Garamond" w:hAnsi="Garamond"/>
              </w:rPr>
              <w:t>ed</w:t>
            </w:r>
            <w:proofErr w:type="gramEnd"/>
            <w:r w:rsidRPr="008312E1">
              <w:rPr>
                <w:rFonts w:ascii="Garamond" w:hAnsi="Garamond"/>
              </w:rPr>
              <w:t>., Modernism: An Anthology (Oxford: Blackwell, 2005).</w:t>
            </w:r>
          </w:p>
          <w:p w14:paraId="6A12826D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>Roberts, Andrew M., ed., Joseph Conrad (London; New York: Longman, 1998).</w:t>
            </w:r>
          </w:p>
          <w:p w14:paraId="63227439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Rudolph </w:t>
            </w:r>
            <w:proofErr w:type="spellStart"/>
            <w:r w:rsidRPr="008312E1">
              <w:rPr>
                <w:rFonts w:ascii="Garamond" w:hAnsi="Garamond"/>
              </w:rPr>
              <w:t>Binion</w:t>
            </w:r>
            <w:proofErr w:type="spellEnd"/>
            <w:r w:rsidRPr="008312E1">
              <w:rPr>
                <w:rFonts w:ascii="Garamond" w:hAnsi="Garamond"/>
              </w:rPr>
              <w:t xml:space="preserve">, Fiction as Social Fantasy: </w:t>
            </w:r>
            <w:proofErr w:type="spellStart"/>
            <w:r w:rsidRPr="008312E1">
              <w:rPr>
                <w:rFonts w:ascii="Garamond" w:hAnsi="Garamond"/>
              </w:rPr>
              <w:t>Europes</w:t>
            </w:r>
            <w:proofErr w:type="spellEnd"/>
            <w:r w:rsidRPr="008312E1">
              <w:rPr>
                <w:rFonts w:ascii="Garamond" w:hAnsi="Garamond"/>
              </w:rPr>
              <w:t xml:space="preserve"> Domestic Crisis of 1879-1914, Journal of Social History, Vol. 27, No. 4 (Summer, 1994), 679-699</w:t>
            </w:r>
          </w:p>
          <w:p w14:paraId="3BD1ACBD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Said, Edward, Nationalism, Colonialism and Literature: Yeats and Decolonisation (Derry: Field Day, 1988). </w:t>
            </w:r>
          </w:p>
          <w:p w14:paraId="75DC9610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Siedel</w:t>
            </w:r>
            <w:proofErr w:type="spellEnd"/>
            <w:r w:rsidRPr="008312E1">
              <w:rPr>
                <w:rFonts w:ascii="Garamond" w:hAnsi="Garamond"/>
              </w:rPr>
              <w:t xml:space="preserve">, Michael, James Joyce: A Short Introduction (Oxford: Blackwell, 2002). </w:t>
            </w:r>
          </w:p>
          <w:p w14:paraId="2A75E7FD" w14:textId="4ED9C86B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Smith, Stan, W.B. Yeats: A Critical Introduction </w:t>
            </w:r>
            <w:proofErr w:type="gramStart"/>
            <w:r w:rsidRPr="008312E1">
              <w:rPr>
                <w:rFonts w:ascii="Garamond" w:hAnsi="Garamond"/>
              </w:rPr>
              <w:t xml:space="preserve">( </w:t>
            </w:r>
            <w:r w:rsidRPr="008312E1">
              <w:rPr>
                <w:rFonts w:ascii="Garamond" w:hAnsi="Garamond"/>
              </w:rPr>
              <w:t>Barnes</w:t>
            </w:r>
            <w:proofErr w:type="gramEnd"/>
            <w:r w:rsidRPr="008312E1">
              <w:rPr>
                <w:rFonts w:ascii="Garamond" w:hAnsi="Garamond"/>
              </w:rPr>
              <w:t xml:space="preserve"> and Noble, </w:t>
            </w:r>
            <w:r w:rsidRPr="008312E1">
              <w:rPr>
                <w:rFonts w:ascii="Garamond" w:hAnsi="Garamond"/>
              </w:rPr>
              <w:t xml:space="preserve">London: 1990). </w:t>
            </w:r>
          </w:p>
          <w:p w14:paraId="08519846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Stape</w:t>
            </w:r>
            <w:proofErr w:type="spellEnd"/>
            <w:r w:rsidRPr="008312E1">
              <w:rPr>
                <w:rFonts w:ascii="Garamond" w:hAnsi="Garamond"/>
              </w:rPr>
              <w:t>, J.H., ed., The Cambridge Companion to Joseph Conrad (Cambridge: Cambridge University Press, 1996).</w:t>
            </w:r>
          </w:p>
          <w:p w14:paraId="53EA854E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Stevenson, Randall, Modernist Fiction: An Introduction (Hemel Hempstead: Harvester </w:t>
            </w:r>
            <w:proofErr w:type="spellStart"/>
            <w:r w:rsidRPr="008312E1">
              <w:rPr>
                <w:rFonts w:ascii="Garamond" w:hAnsi="Garamond"/>
              </w:rPr>
              <w:t>Wheatsheaf</w:t>
            </w:r>
            <w:proofErr w:type="spellEnd"/>
            <w:r w:rsidRPr="008312E1">
              <w:rPr>
                <w:rFonts w:ascii="Garamond" w:hAnsi="Garamond"/>
              </w:rPr>
              <w:t xml:space="preserve">, 1992). </w:t>
            </w:r>
          </w:p>
          <w:p w14:paraId="6708D720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Stubbings</w:t>
            </w:r>
            <w:proofErr w:type="spellEnd"/>
            <w:r w:rsidRPr="008312E1">
              <w:rPr>
                <w:rFonts w:ascii="Garamond" w:hAnsi="Garamond"/>
              </w:rPr>
              <w:t>, Diane, Anglo-Irish Modernism and the Maternal: From Yeats to Joyce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>: Palgrave, 2000).</w:t>
            </w:r>
          </w:p>
          <w:p w14:paraId="5931E600" w14:textId="77777777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Sumner, Rosemary, </w:t>
            </w:r>
            <w:proofErr w:type="gramStart"/>
            <w:r w:rsidRPr="008312E1">
              <w:rPr>
                <w:rFonts w:ascii="Garamond" w:hAnsi="Garamond"/>
              </w:rPr>
              <w:t>A</w:t>
            </w:r>
            <w:proofErr w:type="gramEnd"/>
            <w:r w:rsidRPr="008312E1">
              <w:rPr>
                <w:rFonts w:ascii="Garamond" w:hAnsi="Garamond"/>
              </w:rPr>
              <w:t xml:space="preserve"> Route to Modernism: Hardy, Lawrence, Woolf (</w:t>
            </w:r>
            <w:proofErr w:type="spellStart"/>
            <w:r w:rsidRPr="008312E1">
              <w:rPr>
                <w:rFonts w:ascii="Garamond" w:hAnsi="Garamond"/>
              </w:rPr>
              <w:t>Houndmills</w:t>
            </w:r>
            <w:proofErr w:type="spellEnd"/>
            <w:r w:rsidRPr="008312E1">
              <w:rPr>
                <w:rFonts w:ascii="Garamond" w:hAnsi="Garamond"/>
              </w:rPr>
              <w:t>: Macmillan, 2000).</w:t>
            </w:r>
          </w:p>
          <w:p w14:paraId="6A51861C" w14:textId="6E1851A0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proofErr w:type="spellStart"/>
            <w:r w:rsidRPr="008312E1">
              <w:rPr>
                <w:rFonts w:ascii="Garamond" w:hAnsi="Garamond"/>
              </w:rPr>
              <w:t>Svarny</w:t>
            </w:r>
            <w:proofErr w:type="spellEnd"/>
            <w:r w:rsidRPr="008312E1">
              <w:rPr>
                <w:rFonts w:ascii="Garamond" w:hAnsi="Garamond"/>
              </w:rPr>
              <w:t>, Erik, The Men of 1914: T.S. Eliot and Early Modernism (Milton</w:t>
            </w:r>
            <w:r>
              <w:rPr>
                <w:rFonts w:ascii="Garamond" w:hAnsi="Garamond"/>
              </w:rPr>
              <w:t xml:space="preserve"> </w:t>
            </w:r>
            <w:r w:rsidRPr="008312E1">
              <w:rPr>
                <w:rFonts w:ascii="Garamond" w:hAnsi="Garamond"/>
              </w:rPr>
              <w:t>Keynes: Open University Press, 1988).</w:t>
            </w:r>
          </w:p>
          <w:p w14:paraId="1CF0EB83" w14:textId="7C9EAB23" w:rsidR="00FF6519" w:rsidRPr="008312E1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Watson, G.J., Irish Identity and the Literary Revival: Synge, Yeats, Joyce and </w:t>
            </w:r>
            <w:proofErr w:type="spellStart"/>
            <w:r w:rsidRPr="008312E1">
              <w:rPr>
                <w:rFonts w:ascii="Garamond" w:hAnsi="Garamond"/>
              </w:rPr>
              <w:t>OCasey</w:t>
            </w:r>
            <w:proofErr w:type="spellEnd"/>
            <w:r w:rsidRPr="008312E1">
              <w:rPr>
                <w:rFonts w:ascii="Garamond" w:hAnsi="Garamond"/>
              </w:rPr>
              <w:t xml:space="preserve"> (</w:t>
            </w:r>
            <w:proofErr w:type="spellStart"/>
            <w:r w:rsidRPr="008312E1">
              <w:rPr>
                <w:rFonts w:ascii="Garamond" w:hAnsi="Garamond"/>
              </w:rPr>
              <w:t>Croom</w:t>
            </w:r>
            <w:proofErr w:type="spellEnd"/>
            <w:r w:rsidRPr="008312E1">
              <w:rPr>
                <w:rFonts w:ascii="Garamond" w:hAnsi="Garamond"/>
              </w:rPr>
              <w:t xml:space="preserve"> Helm, 1979 </w:t>
            </w:r>
            <w:proofErr w:type="gramStart"/>
            <w:r w:rsidRPr="008312E1">
              <w:rPr>
                <w:rFonts w:ascii="Garamond" w:hAnsi="Garamond"/>
              </w:rPr>
              <w:t>London:</w:t>
            </w:r>
            <w:proofErr w:type="gramEnd"/>
            <w:r w:rsidRPr="008312E1">
              <w:rPr>
                <w:rFonts w:ascii="Garamond" w:hAnsi="Garamond"/>
              </w:rPr>
              <w:t>).</w:t>
            </w:r>
          </w:p>
          <w:p w14:paraId="16E1597C" w14:textId="7E5B4A69" w:rsidR="00FF6519" w:rsidRDefault="00FF6519" w:rsidP="00FF6519">
            <w:pPr>
              <w:spacing w:after="120"/>
              <w:rPr>
                <w:rFonts w:ascii="Garamond" w:hAnsi="Garamond"/>
              </w:rPr>
            </w:pPr>
            <w:r w:rsidRPr="008312E1">
              <w:rPr>
                <w:rFonts w:ascii="Garamond" w:hAnsi="Garamond"/>
              </w:rPr>
              <w:t xml:space="preserve">Williams, Raymond, </w:t>
            </w:r>
            <w:proofErr w:type="gramStart"/>
            <w:r w:rsidRPr="008312E1">
              <w:rPr>
                <w:rFonts w:ascii="Garamond" w:hAnsi="Garamond"/>
              </w:rPr>
              <w:t>The</w:t>
            </w:r>
            <w:proofErr w:type="gramEnd"/>
            <w:r w:rsidRPr="008312E1">
              <w:rPr>
                <w:rFonts w:ascii="Garamond" w:hAnsi="Garamond"/>
              </w:rPr>
              <w:t xml:space="preserve"> Politics of Modernism: Against the New Conformists (London: Verso, 1996).</w:t>
            </w:r>
          </w:p>
        </w:tc>
        <w:tc>
          <w:tcPr>
            <w:tcW w:w="815" w:type="dxa"/>
          </w:tcPr>
          <w:p w14:paraId="5E329F22" w14:textId="77777777" w:rsidR="00FF6519" w:rsidRDefault="00FF6519" w:rsidP="00FF6519">
            <w:pPr>
              <w:spacing w:after="120"/>
              <w:rPr>
                <w:rFonts w:ascii="Garamond" w:hAnsi="Garamond"/>
              </w:rPr>
            </w:pPr>
          </w:p>
        </w:tc>
      </w:tr>
    </w:tbl>
    <w:p w14:paraId="283F8E56" w14:textId="4E885F40" w:rsidR="002713AF" w:rsidRDefault="002713AF" w:rsidP="00FF6519">
      <w:pPr>
        <w:spacing w:after="120"/>
        <w:rPr>
          <w:rFonts w:ascii="Garamond" w:hAnsi="Garamond"/>
        </w:rPr>
      </w:pPr>
    </w:p>
    <w:sectPr w:rsidR="002713AF" w:rsidSect="00FF6519">
      <w:headerReference w:type="default" r:id="rId8"/>
      <w:footerReference w:type="even" r:id="rId9"/>
      <w:footerReference w:type="default" r:id="rId10"/>
      <w:pgSz w:w="11906" w:h="16838"/>
      <w:pgMar w:top="1135" w:right="1134" w:bottom="1440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FEFD3CC" w14:textId="77777777" w:rsidR="009A2E7F" w:rsidRDefault="009A2E7F">
      <w:r>
        <w:separator/>
      </w:r>
    </w:p>
  </w:endnote>
  <w:endnote w:type="continuationSeparator" w:id="0">
    <w:p w14:paraId="7A62CC27" w14:textId="77777777" w:rsidR="009A2E7F" w:rsidRDefault="009A2E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8C1722A" w14:textId="77777777" w:rsidR="00CA0E3F" w:rsidRDefault="00CA0E3F" w:rsidP="003802B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0459CD0" w14:textId="77777777" w:rsidR="00CA0E3F" w:rsidRDefault="00CA0E3F" w:rsidP="003802B4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C140E7F" w14:textId="77777777" w:rsidR="00CA0E3F" w:rsidRDefault="00CA0E3F" w:rsidP="003802B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15930">
      <w:rPr>
        <w:rStyle w:val="PageNumber"/>
        <w:noProof/>
      </w:rPr>
      <w:t>1</w:t>
    </w:r>
    <w:r>
      <w:rPr>
        <w:rStyle w:val="PageNumber"/>
      </w:rPr>
      <w:fldChar w:fldCharType="end"/>
    </w:r>
  </w:p>
  <w:p w14:paraId="45E61053" w14:textId="0627EBED" w:rsidR="00FC50BF" w:rsidRPr="00D9318F" w:rsidRDefault="00FC50BF" w:rsidP="00FC50BF">
    <w:pPr>
      <w:spacing w:after="80"/>
      <w:rPr>
        <w:rFonts w:ascii="Garamond" w:hAnsi="Garamond"/>
      </w:rPr>
    </w:pPr>
    <w:r>
      <w:rPr>
        <w:rFonts w:ascii="Garamond" w:hAnsi="Garamond"/>
      </w:rPr>
      <w:t>Name ______________________________________    Student no _____________________</w:t>
    </w:r>
  </w:p>
  <w:p w14:paraId="787CE431" w14:textId="77777777" w:rsidR="00CA0E3F" w:rsidRDefault="00CA0E3F" w:rsidP="003802B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E714459" w14:textId="77777777" w:rsidR="009A2E7F" w:rsidRDefault="009A2E7F">
      <w:r>
        <w:separator/>
      </w:r>
    </w:p>
  </w:footnote>
  <w:footnote w:type="continuationSeparator" w:id="0">
    <w:p w14:paraId="6D76A880" w14:textId="77777777" w:rsidR="009A2E7F" w:rsidRDefault="009A2E7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3191152" w14:textId="2604AB05" w:rsidR="008312E1" w:rsidRPr="008312E1" w:rsidRDefault="008312E1" w:rsidP="008312E1">
    <w:pPr>
      <w:pStyle w:val="Heading1"/>
      <w:shd w:val="clear" w:color="auto" w:fill="FFFFFF"/>
      <w:spacing w:before="0" w:beforeAutospacing="0" w:after="0" w:afterAutospacing="0"/>
      <w:jc w:val="right"/>
      <w:rPr>
        <w:sz w:val="22"/>
        <w:szCs w:val="22"/>
      </w:rPr>
    </w:pPr>
    <w:r w:rsidRPr="008312E1">
      <w:rPr>
        <w:rFonts w:ascii="Palatino Linotype" w:hAnsi="Palatino Linotype"/>
        <w:b w:val="0"/>
        <w:i/>
        <w:sz w:val="24"/>
        <w:szCs w:val="24"/>
      </w:rPr>
      <w:t xml:space="preserve">CSSK4004: Skills for Academic Study for English &amp; Creative Writing 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63309D"/>
    <w:multiLevelType w:val="hybridMultilevel"/>
    <w:tmpl w:val="698ED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C40F3A"/>
    <w:multiLevelType w:val="hybridMultilevel"/>
    <w:tmpl w:val="9356D5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72D50AE"/>
    <w:multiLevelType w:val="hybridMultilevel"/>
    <w:tmpl w:val="731EA3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2D46"/>
    <w:rsid w:val="000235AB"/>
    <w:rsid w:val="00025C8A"/>
    <w:rsid w:val="0003166D"/>
    <w:rsid w:val="00040946"/>
    <w:rsid w:val="0004490A"/>
    <w:rsid w:val="00055DB8"/>
    <w:rsid w:val="00071952"/>
    <w:rsid w:val="000759A8"/>
    <w:rsid w:val="000760A2"/>
    <w:rsid w:val="00086E3A"/>
    <w:rsid w:val="00097F74"/>
    <w:rsid w:val="000A108E"/>
    <w:rsid w:val="000B5DFF"/>
    <w:rsid w:val="000C2D87"/>
    <w:rsid w:val="000D0CAD"/>
    <w:rsid w:val="000D771C"/>
    <w:rsid w:val="000F6B8F"/>
    <w:rsid w:val="00110D5E"/>
    <w:rsid w:val="00121D7F"/>
    <w:rsid w:val="00151569"/>
    <w:rsid w:val="0021148E"/>
    <w:rsid w:val="0022363B"/>
    <w:rsid w:val="00256107"/>
    <w:rsid w:val="002713AF"/>
    <w:rsid w:val="00286F04"/>
    <w:rsid w:val="00297834"/>
    <w:rsid w:val="00297C29"/>
    <w:rsid w:val="002B05AB"/>
    <w:rsid w:val="002B7BF1"/>
    <w:rsid w:val="002C58D4"/>
    <w:rsid w:val="002D03E2"/>
    <w:rsid w:val="002D65F8"/>
    <w:rsid w:val="002E21EC"/>
    <w:rsid w:val="002E3D35"/>
    <w:rsid w:val="002F285D"/>
    <w:rsid w:val="003350D5"/>
    <w:rsid w:val="0034338A"/>
    <w:rsid w:val="00376588"/>
    <w:rsid w:val="003802B4"/>
    <w:rsid w:val="00382285"/>
    <w:rsid w:val="003B2F33"/>
    <w:rsid w:val="003D0548"/>
    <w:rsid w:val="003D43F7"/>
    <w:rsid w:val="0045022D"/>
    <w:rsid w:val="00461B73"/>
    <w:rsid w:val="00471740"/>
    <w:rsid w:val="00477F76"/>
    <w:rsid w:val="00482D46"/>
    <w:rsid w:val="00486811"/>
    <w:rsid w:val="00497BD0"/>
    <w:rsid w:val="004B221F"/>
    <w:rsid w:val="004B4442"/>
    <w:rsid w:val="004B7B6E"/>
    <w:rsid w:val="004C025A"/>
    <w:rsid w:val="004D266B"/>
    <w:rsid w:val="004D73CA"/>
    <w:rsid w:val="0050396C"/>
    <w:rsid w:val="005206D4"/>
    <w:rsid w:val="005322D7"/>
    <w:rsid w:val="00534413"/>
    <w:rsid w:val="00574C0D"/>
    <w:rsid w:val="00590DF5"/>
    <w:rsid w:val="00595822"/>
    <w:rsid w:val="005A3797"/>
    <w:rsid w:val="005A63FC"/>
    <w:rsid w:val="005B67A2"/>
    <w:rsid w:val="005D3431"/>
    <w:rsid w:val="005E0C6C"/>
    <w:rsid w:val="00613F75"/>
    <w:rsid w:val="00614662"/>
    <w:rsid w:val="006465EB"/>
    <w:rsid w:val="006563A5"/>
    <w:rsid w:val="0066114C"/>
    <w:rsid w:val="0069516E"/>
    <w:rsid w:val="006D2016"/>
    <w:rsid w:val="006F0717"/>
    <w:rsid w:val="006F6F57"/>
    <w:rsid w:val="00750932"/>
    <w:rsid w:val="00757475"/>
    <w:rsid w:val="007632A0"/>
    <w:rsid w:val="00765CA9"/>
    <w:rsid w:val="0077039D"/>
    <w:rsid w:val="0078324B"/>
    <w:rsid w:val="00784E4C"/>
    <w:rsid w:val="007918D8"/>
    <w:rsid w:val="007A665A"/>
    <w:rsid w:val="007B10FC"/>
    <w:rsid w:val="007C47C6"/>
    <w:rsid w:val="007E0138"/>
    <w:rsid w:val="007F6245"/>
    <w:rsid w:val="007F68AD"/>
    <w:rsid w:val="00825E25"/>
    <w:rsid w:val="008312E1"/>
    <w:rsid w:val="00835418"/>
    <w:rsid w:val="00842E56"/>
    <w:rsid w:val="00856184"/>
    <w:rsid w:val="00864894"/>
    <w:rsid w:val="008739D8"/>
    <w:rsid w:val="00890F31"/>
    <w:rsid w:val="008B2284"/>
    <w:rsid w:val="008B25B9"/>
    <w:rsid w:val="008D3B08"/>
    <w:rsid w:val="008D478D"/>
    <w:rsid w:val="008E281F"/>
    <w:rsid w:val="008F2D4E"/>
    <w:rsid w:val="00902EE5"/>
    <w:rsid w:val="00930D0A"/>
    <w:rsid w:val="00936386"/>
    <w:rsid w:val="009455A8"/>
    <w:rsid w:val="0096282C"/>
    <w:rsid w:val="009814E0"/>
    <w:rsid w:val="00985BB4"/>
    <w:rsid w:val="00992D4C"/>
    <w:rsid w:val="009A0801"/>
    <w:rsid w:val="009A10B1"/>
    <w:rsid w:val="009A2E7F"/>
    <w:rsid w:val="009B6384"/>
    <w:rsid w:val="009C52EA"/>
    <w:rsid w:val="009D02E9"/>
    <w:rsid w:val="009D3433"/>
    <w:rsid w:val="009F26AD"/>
    <w:rsid w:val="009F7A1E"/>
    <w:rsid w:val="00A14C1E"/>
    <w:rsid w:val="00A32D25"/>
    <w:rsid w:val="00A42CFB"/>
    <w:rsid w:val="00A92F03"/>
    <w:rsid w:val="00AC40A0"/>
    <w:rsid w:val="00AD2AB8"/>
    <w:rsid w:val="00AD7BB7"/>
    <w:rsid w:val="00AF0ED7"/>
    <w:rsid w:val="00B133D5"/>
    <w:rsid w:val="00B2061C"/>
    <w:rsid w:val="00B475AE"/>
    <w:rsid w:val="00B6555A"/>
    <w:rsid w:val="00B72318"/>
    <w:rsid w:val="00B72683"/>
    <w:rsid w:val="00B73B95"/>
    <w:rsid w:val="00BB7870"/>
    <w:rsid w:val="00BC394D"/>
    <w:rsid w:val="00BD254D"/>
    <w:rsid w:val="00BD58CD"/>
    <w:rsid w:val="00C17209"/>
    <w:rsid w:val="00C22F7C"/>
    <w:rsid w:val="00C24963"/>
    <w:rsid w:val="00C26400"/>
    <w:rsid w:val="00C3096E"/>
    <w:rsid w:val="00C35F94"/>
    <w:rsid w:val="00C42C7A"/>
    <w:rsid w:val="00C53547"/>
    <w:rsid w:val="00C930C9"/>
    <w:rsid w:val="00CA0E3F"/>
    <w:rsid w:val="00CB4FD6"/>
    <w:rsid w:val="00CC7B4D"/>
    <w:rsid w:val="00CD136B"/>
    <w:rsid w:val="00CE2EE8"/>
    <w:rsid w:val="00D06701"/>
    <w:rsid w:val="00D15930"/>
    <w:rsid w:val="00D22F74"/>
    <w:rsid w:val="00D25F62"/>
    <w:rsid w:val="00D368AF"/>
    <w:rsid w:val="00D42779"/>
    <w:rsid w:val="00D85C09"/>
    <w:rsid w:val="00D864CF"/>
    <w:rsid w:val="00D9318F"/>
    <w:rsid w:val="00DD065E"/>
    <w:rsid w:val="00DD0CCB"/>
    <w:rsid w:val="00DD512A"/>
    <w:rsid w:val="00DD601E"/>
    <w:rsid w:val="00DE42A7"/>
    <w:rsid w:val="00E04320"/>
    <w:rsid w:val="00E11C77"/>
    <w:rsid w:val="00E1690F"/>
    <w:rsid w:val="00E268D7"/>
    <w:rsid w:val="00E50685"/>
    <w:rsid w:val="00E64027"/>
    <w:rsid w:val="00E746C4"/>
    <w:rsid w:val="00E90EC7"/>
    <w:rsid w:val="00E910F2"/>
    <w:rsid w:val="00ED4A8E"/>
    <w:rsid w:val="00F07B55"/>
    <w:rsid w:val="00F25B9A"/>
    <w:rsid w:val="00F4085D"/>
    <w:rsid w:val="00F4509C"/>
    <w:rsid w:val="00F5741D"/>
    <w:rsid w:val="00F955D6"/>
    <w:rsid w:val="00FC50BF"/>
    <w:rsid w:val="00FD4358"/>
    <w:rsid w:val="00FD6173"/>
    <w:rsid w:val="00FD7E15"/>
    <w:rsid w:val="00FE5FEA"/>
    <w:rsid w:val="00FF01B0"/>
    <w:rsid w:val="00FF5683"/>
    <w:rsid w:val="00FF6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90F122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2713A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3802B4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802B4"/>
  </w:style>
  <w:style w:type="character" w:styleId="Hyperlink">
    <w:name w:val="Hyperlink"/>
    <w:rsid w:val="003802B4"/>
    <w:rPr>
      <w:rFonts w:ascii="Verdana" w:hAnsi="Verdana" w:hint="default"/>
      <w:color w:val="003399"/>
      <w:u w:val="single"/>
    </w:rPr>
  </w:style>
  <w:style w:type="character" w:styleId="Emphasis">
    <w:name w:val="Emphasis"/>
    <w:qFormat/>
    <w:rsid w:val="003802B4"/>
    <w:rPr>
      <w:i/>
      <w:iCs/>
    </w:rPr>
  </w:style>
  <w:style w:type="character" w:styleId="HTMLCite">
    <w:name w:val="HTML Cite"/>
    <w:rsid w:val="00FD7E15"/>
    <w:rPr>
      <w:i/>
      <w:iCs/>
    </w:rPr>
  </w:style>
  <w:style w:type="character" w:customStyle="1" w:styleId="apple-converted-space">
    <w:name w:val="apple-converted-space"/>
    <w:basedOn w:val="DefaultParagraphFont"/>
    <w:rsid w:val="0022363B"/>
  </w:style>
  <w:style w:type="paragraph" w:styleId="ListParagraph">
    <w:name w:val="List Paragraph"/>
    <w:basedOn w:val="Normal"/>
    <w:uiPriority w:val="34"/>
    <w:qFormat/>
    <w:rsid w:val="002236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713AF"/>
    <w:rPr>
      <w:b/>
      <w:bCs/>
      <w:kern w:val="36"/>
      <w:sz w:val="48"/>
      <w:szCs w:val="48"/>
    </w:rPr>
  </w:style>
  <w:style w:type="table" w:styleId="TableGrid">
    <w:name w:val="Table Grid"/>
    <w:basedOn w:val="TableNormal"/>
    <w:uiPriority w:val="59"/>
    <w:rsid w:val="002713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312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12E1"/>
    <w:rPr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2713A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3802B4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802B4"/>
  </w:style>
  <w:style w:type="character" w:styleId="Hyperlink">
    <w:name w:val="Hyperlink"/>
    <w:rsid w:val="003802B4"/>
    <w:rPr>
      <w:rFonts w:ascii="Verdana" w:hAnsi="Verdana" w:hint="default"/>
      <w:color w:val="003399"/>
      <w:u w:val="single"/>
    </w:rPr>
  </w:style>
  <w:style w:type="character" w:styleId="Emphasis">
    <w:name w:val="Emphasis"/>
    <w:qFormat/>
    <w:rsid w:val="003802B4"/>
    <w:rPr>
      <w:i/>
      <w:iCs/>
    </w:rPr>
  </w:style>
  <w:style w:type="character" w:styleId="HTMLCite">
    <w:name w:val="HTML Cite"/>
    <w:rsid w:val="00FD7E15"/>
    <w:rPr>
      <w:i/>
      <w:iCs/>
    </w:rPr>
  </w:style>
  <w:style w:type="character" w:customStyle="1" w:styleId="apple-converted-space">
    <w:name w:val="apple-converted-space"/>
    <w:basedOn w:val="DefaultParagraphFont"/>
    <w:rsid w:val="0022363B"/>
  </w:style>
  <w:style w:type="paragraph" w:styleId="ListParagraph">
    <w:name w:val="List Paragraph"/>
    <w:basedOn w:val="Normal"/>
    <w:uiPriority w:val="34"/>
    <w:qFormat/>
    <w:rsid w:val="002236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713AF"/>
    <w:rPr>
      <w:b/>
      <w:bCs/>
      <w:kern w:val="36"/>
      <w:sz w:val="48"/>
      <w:szCs w:val="48"/>
    </w:rPr>
  </w:style>
  <w:style w:type="table" w:styleId="TableGrid">
    <w:name w:val="Table Grid"/>
    <w:basedOn w:val="TableNormal"/>
    <w:uiPriority w:val="59"/>
    <w:rsid w:val="002713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312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12E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9391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7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1050</Words>
  <Characters>5990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CAH 666 Modernism</vt:lpstr>
    </vt:vector>
  </TitlesOfParts>
  <Company>CYD</Company>
  <LinksUpToDate>false</LinksUpToDate>
  <CharactersWithSpaces>7026</CharactersWithSpaces>
  <SharedDoc>false</SharedDoc>
  <HLinks>
    <vt:vector size="42" baseType="variant">
      <vt:variant>
        <vt:i4>1966149</vt:i4>
      </vt:variant>
      <vt:variant>
        <vt:i4>18</vt:i4>
      </vt:variant>
      <vt:variant>
        <vt:i4>0</vt:i4>
      </vt:variant>
      <vt:variant>
        <vt:i4>5</vt:i4>
      </vt:variant>
      <vt:variant>
        <vt:lpwstr>http://www.jstor.org/stable/25112084</vt:lpwstr>
      </vt:variant>
      <vt:variant>
        <vt:lpwstr/>
      </vt:variant>
      <vt:variant>
        <vt:i4>2556023</vt:i4>
      </vt:variant>
      <vt:variant>
        <vt:i4>15</vt:i4>
      </vt:variant>
      <vt:variant>
        <vt:i4>0</vt:i4>
      </vt:variant>
      <vt:variant>
        <vt:i4>5</vt:i4>
      </vt:variant>
      <vt:variant>
        <vt:lpwstr>http://www.jstor.org/stable/3789078</vt:lpwstr>
      </vt:variant>
      <vt:variant>
        <vt:lpwstr/>
      </vt:variant>
      <vt:variant>
        <vt:i4>2424946</vt:i4>
      </vt:variant>
      <vt:variant>
        <vt:i4>12</vt:i4>
      </vt:variant>
      <vt:variant>
        <vt:i4>0</vt:i4>
      </vt:variant>
      <vt:variant>
        <vt:i4>5</vt:i4>
      </vt:variant>
      <vt:variant>
        <vt:lpwstr>http://www.jstor.org/stable/987201</vt:lpwstr>
      </vt:variant>
      <vt:variant>
        <vt:lpwstr/>
      </vt:variant>
      <vt:variant>
        <vt:i4>3080318</vt:i4>
      </vt:variant>
      <vt:variant>
        <vt:i4>9</vt:i4>
      </vt:variant>
      <vt:variant>
        <vt:i4>0</vt:i4>
      </vt:variant>
      <vt:variant>
        <vt:i4>5</vt:i4>
      </vt:variant>
      <vt:variant>
        <vt:lpwstr>http://www.jstor.org/stable/4125456</vt:lpwstr>
      </vt:variant>
      <vt:variant>
        <vt:lpwstr/>
      </vt:variant>
      <vt:variant>
        <vt:i4>1704014</vt:i4>
      </vt:variant>
      <vt:variant>
        <vt:i4>6</vt:i4>
      </vt:variant>
      <vt:variant>
        <vt:i4>0</vt:i4>
      </vt:variant>
      <vt:variant>
        <vt:i4>5</vt:i4>
      </vt:variant>
      <vt:variant>
        <vt:lpwstr>http://www.jstor.org/stable/20057574</vt:lpwstr>
      </vt:variant>
      <vt:variant>
        <vt:lpwstr/>
      </vt:variant>
      <vt:variant>
        <vt:i4>2818172</vt:i4>
      </vt:variant>
      <vt:variant>
        <vt:i4>3</vt:i4>
      </vt:variant>
      <vt:variant>
        <vt:i4>0</vt:i4>
      </vt:variant>
      <vt:variant>
        <vt:i4>5</vt:i4>
      </vt:variant>
      <vt:variant>
        <vt:lpwstr>http://www.jstor.org/stable/3174406</vt:lpwstr>
      </vt:variant>
      <vt:variant>
        <vt:lpwstr/>
      </vt:variant>
      <vt:variant>
        <vt:i4>1638475</vt:i4>
      </vt:variant>
      <vt:variant>
        <vt:i4>0</vt:i4>
      </vt:variant>
      <vt:variant>
        <vt:i4>0</vt:i4>
      </vt:variant>
      <vt:variant>
        <vt:i4>5</vt:i4>
      </vt:variant>
      <vt:variant>
        <vt:lpwstr>http://www.jstor.org/stable/30161948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CAH 666 Modernism</dc:title>
  <dc:creator>IT</dc:creator>
  <cp:lastModifiedBy>Administrator</cp:lastModifiedBy>
  <cp:revision>2</cp:revision>
  <dcterms:created xsi:type="dcterms:W3CDTF">2017-11-21T18:27:00Z</dcterms:created>
  <dcterms:modified xsi:type="dcterms:W3CDTF">2017-11-21T18:27:00Z</dcterms:modified>
</cp:coreProperties>
</file>