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0A4" w:rsidRDefault="008400A4" w:rsidP="008400A4">
      <w:r>
        <w:t xml:space="preserve">Identify instances of </w:t>
      </w:r>
      <w:r w:rsidRPr="007D0B82">
        <w:t>descriptio in at least three of Marie’s lais. Demonstrate ways in which they are meaningful and memorable and how they relate to the structure of the events of the narrative in each case. [2000 words]</w:t>
      </w:r>
    </w:p>
    <w:p w:rsidR="007D5E21" w:rsidRDefault="001E7680">
      <w:r>
        <w:t>In this essay</w:t>
      </w:r>
      <w:r w:rsidR="00DE6A32">
        <w:t xml:space="preserve">, </w:t>
      </w:r>
      <w:r>
        <w:t>I will endeavour to identify various instances of descriptio within Marie de France’s Breton lais</w:t>
      </w:r>
      <w:r w:rsidR="00FD5FB1">
        <w:t>. I will</w:t>
      </w:r>
      <w:r>
        <w:t xml:space="preserve"> demonstrate how </w:t>
      </w:r>
      <w:r w:rsidR="00647430">
        <w:t xml:space="preserve">the </w:t>
      </w:r>
      <w:r>
        <w:t xml:space="preserve">use of this technique serves as both a way to make each lay more meaningful and memorable to </w:t>
      </w:r>
      <w:r w:rsidR="00CA7087">
        <w:t xml:space="preserve">the </w:t>
      </w:r>
      <w:r>
        <w:t>audience</w:t>
      </w:r>
      <w:r w:rsidR="00EB2C2E">
        <w:t xml:space="preserve"> of the time</w:t>
      </w:r>
      <w:r w:rsidR="00786D98">
        <w:t xml:space="preserve">, </w:t>
      </w:r>
      <w:r>
        <w:t>while also helping to create structure within the events of each narrative.</w:t>
      </w:r>
      <w:r w:rsidR="00786D98">
        <w:t xml:space="preserve"> Put simply, descriptio is the </w:t>
      </w:r>
      <w:r w:rsidR="000A446F">
        <w:t>use of vivid description, often in the form o</w:t>
      </w:r>
      <w:r w:rsidR="00CB467B">
        <w:t>f lively</w:t>
      </w:r>
      <w:r w:rsidR="000A446F">
        <w:t xml:space="preserve"> image</w:t>
      </w:r>
      <w:r w:rsidR="00CB467B">
        <w:t>s</w:t>
      </w:r>
      <w:r w:rsidR="000A446F">
        <w:t xml:space="preserve"> and objects, which provide </w:t>
      </w:r>
      <w:r w:rsidR="003E3B94">
        <w:t xml:space="preserve">an </w:t>
      </w:r>
      <w:r w:rsidR="000A446F">
        <w:t>escape from the relatively sparse style of the lais and help cement each story in the audience’s memory. The purpose of providing such deliberate</w:t>
      </w:r>
      <w:r w:rsidR="009E6D0B">
        <w:t>ly</w:t>
      </w:r>
      <w:r w:rsidR="000A446F">
        <w:t xml:space="preserve"> elaborate and </w:t>
      </w:r>
      <w:r w:rsidR="007D5E21">
        <w:t>comparatively in-depth</w:t>
      </w:r>
      <w:r w:rsidR="000A446F">
        <w:t xml:space="preserve"> description within the text is to introduce </w:t>
      </w:r>
      <w:r w:rsidR="007D5E21">
        <w:t xml:space="preserve">symbolic, allegorical and metaphorical meaning </w:t>
      </w:r>
      <w:r w:rsidR="00E72DDC">
        <w:t>beyond</w:t>
      </w:r>
      <w:r w:rsidR="007D5E21">
        <w:t xml:space="preserve"> </w:t>
      </w:r>
      <w:r w:rsidR="007A7A60">
        <w:t>its</w:t>
      </w:r>
      <w:r w:rsidR="007D5E21">
        <w:t xml:space="preserve"> narrative detail and functionality – this helps link episodes within the lay, creating structure. </w:t>
      </w:r>
    </w:p>
    <w:p w:rsidR="00B21331" w:rsidRDefault="007D5E21">
      <w:r>
        <w:t xml:space="preserve">One of the most easily recognisable pieces of descriptio within </w:t>
      </w:r>
      <w:r w:rsidR="00686423">
        <w:rPr>
          <w:i/>
          <w:iCs/>
        </w:rPr>
        <w:t>T</w:t>
      </w:r>
      <w:r w:rsidRPr="00686423">
        <w:rPr>
          <w:i/>
          <w:iCs/>
        </w:rPr>
        <w:t>he Lais of Marie de France</w:t>
      </w:r>
      <w:r w:rsidR="00686423">
        <w:rPr>
          <w:i/>
          <w:iCs/>
        </w:rPr>
        <w:t xml:space="preserve"> </w:t>
      </w:r>
      <w:r w:rsidR="003C721A">
        <w:rPr>
          <w:rStyle w:val="FootnoteReference"/>
          <w:i/>
          <w:iCs/>
        </w:rPr>
        <w:footnoteReference w:id="1"/>
      </w:r>
      <w:r w:rsidR="00686423">
        <w:rPr>
          <w:i/>
          <w:iCs/>
        </w:rPr>
        <w:t xml:space="preserve"> </w:t>
      </w:r>
      <w:r>
        <w:t xml:space="preserve"> is the androgynous white hind in </w:t>
      </w:r>
      <w:r w:rsidRPr="00A40CFF">
        <w:rPr>
          <w:i/>
          <w:iCs/>
        </w:rPr>
        <w:t>Guigemar</w:t>
      </w:r>
      <w:r>
        <w:t xml:space="preserve">. Indeed, </w:t>
      </w:r>
      <w:r w:rsidR="000C7B14">
        <w:t xml:space="preserve">one of Marie’s </w:t>
      </w:r>
      <w:r w:rsidR="00110DD7">
        <w:t xml:space="preserve">signature techniques as a writer </w:t>
      </w:r>
      <w:r w:rsidR="000C7B14">
        <w:t xml:space="preserve">is </w:t>
      </w:r>
      <w:r w:rsidR="00110DD7">
        <w:t>the use of a</w:t>
      </w:r>
      <w:r w:rsidR="000A446F">
        <w:t xml:space="preserve"> ‘symbolic creature or artefact around which a lai is organized for maximum intensity and suggestiveness within the least possible narrative duration’</w:t>
      </w:r>
      <w:r w:rsidR="000C7B14">
        <w:rPr>
          <w:rStyle w:val="FootnoteReference"/>
        </w:rPr>
        <w:footnoteReference w:id="2"/>
      </w:r>
      <w:r w:rsidR="00AE5F25">
        <w:t xml:space="preserve"> The hind plays an important role within </w:t>
      </w:r>
      <w:r w:rsidR="00AE5F25" w:rsidRPr="00A40CFF">
        <w:rPr>
          <w:i/>
          <w:iCs/>
        </w:rPr>
        <w:t>Guigemar</w:t>
      </w:r>
      <w:r w:rsidR="00AE5F25">
        <w:t>, cursing the knight who was previously “an ideal courtly knight, marred only by his neglect of love”</w:t>
      </w:r>
      <w:r w:rsidR="00AE5F25">
        <w:rPr>
          <w:rStyle w:val="FootnoteReference"/>
        </w:rPr>
        <w:footnoteReference w:id="3"/>
      </w:r>
      <w:r w:rsidR="00AE5F25">
        <w:t xml:space="preserve"> that the wound in his thigh will never heal until he finds </w:t>
      </w:r>
      <w:r w:rsidR="00E02F30">
        <w:t>“a woman who will suffer for your love more pain and anguish than any other woman has ever known, and you will suffer likewise for her”</w:t>
      </w:r>
      <w:r w:rsidR="00E02F30">
        <w:rPr>
          <w:rStyle w:val="FootnoteReference"/>
        </w:rPr>
        <w:footnoteReference w:id="4"/>
      </w:r>
      <w:r w:rsidR="00E46744">
        <w:t>.</w:t>
      </w:r>
      <w:r w:rsidR="00364BA3">
        <w:t xml:space="preserve"> This </w:t>
      </w:r>
      <w:r w:rsidR="00A16118">
        <w:t xml:space="preserve">instance of descriptio </w:t>
      </w:r>
      <w:r w:rsidR="00364BA3">
        <w:t>shapes the</w:t>
      </w:r>
      <w:r w:rsidR="00A16118">
        <w:t xml:space="preserve"> entire</w:t>
      </w:r>
      <w:r w:rsidR="00364BA3">
        <w:t xml:space="preserve"> narrative as the story becomes </w:t>
      </w:r>
      <w:r w:rsidR="00A16118">
        <w:t>about Guigemar’s</w:t>
      </w:r>
      <w:r w:rsidR="003D11CE">
        <w:t xml:space="preserve"> unwitting quest to</w:t>
      </w:r>
      <w:r w:rsidR="00A16118">
        <w:t xml:space="preserve"> f</w:t>
      </w:r>
      <w:r w:rsidR="003D11CE">
        <w:t>ind</w:t>
      </w:r>
      <w:r w:rsidR="00A16118">
        <w:t xml:space="preserve"> love</w:t>
      </w:r>
      <w:r w:rsidR="003D11CE">
        <w:t xml:space="preserve"> and heal himself. </w:t>
      </w:r>
      <w:r w:rsidR="00B04A5E">
        <w:t xml:space="preserve">This particular piece of descriptio </w:t>
      </w:r>
      <w:r w:rsidR="003D11CE">
        <w:t xml:space="preserve">also </w:t>
      </w:r>
      <w:r w:rsidR="00B04A5E">
        <w:t xml:space="preserve">stands out due to the supernatural element - a talking hind - which makes it all the more memorable to its audiences. </w:t>
      </w:r>
      <w:r w:rsidR="00B04A5E" w:rsidRPr="005D3AB3">
        <w:t>Another aspect of this descriptio is the fact we are never truly aware of the hind’s gender,</w:t>
      </w:r>
      <w:r w:rsidR="003D11CE" w:rsidRPr="005D3AB3">
        <w:t xml:space="preserve"> </w:t>
      </w:r>
      <w:r w:rsidR="00A7686B" w:rsidRPr="005D3AB3">
        <w:t>as it is described as having both male and female characteristics such as “the antlers of a stag on its head”</w:t>
      </w:r>
      <w:r w:rsidR="00D676B2" w:rsidRPr="005D3AB3">
        <w:rPr>
          <w:rStyle w:val="FootnoteReference"/>
        </w:rPr>
        <w:footnoteReference w:id="5"/>
      </w:r>
      <w:r w:rsidR="00A7686B" w:rsidRPr="005D3AB3">
        <w:t xml:space="preserve"> and it is seen to be guarding “its fawn”</w:t>
      </w:r>
      <w:r w:rsidR="00D676B2" w:rsidRPr="005D3AB3">
        <w:rPr>
          <w:rStyle w:val="FootnoteReference"/>
        </w:rPr>
        <w:footnoteReference w:id="6"/>
      </w:r>
      <w:r w:rsidR="00A7686B" w:rsidRPr="005D3AB3">
        <w:t>. M</w:t>
      </w:r>
      <w:r w:rsidR="00B04A5E" w:rsidRPr="005D3AB3">
        <w:t xml:space="preserve">odern audiences </w:t>
      </w:r>
      <w:r w:rsidR="00BD1AA7" w:rsidRPr="005D3AB3">
        <w:t>may not be phased by</w:t>
      </w:r>
      <w:r w:rsidR="00A7686B" w:rsidRPr="005D3AB3">
        <w:t xml:space="preserve"> this</w:t>
      </w:r>
      <w:r w:rsidR="00BD1AA7" w:rsidRPr="005D3AB3">
        <w:t>, but to the audience</w:t>
      </w:r>
      <w:r w:rsidR="00C80751" w:rsidRPr="005D3AB3">
        <w:t>s</w:t>
      </w:r>
      <w:r w:rsidR="00BD1AA7" w:rsidRPr="005D3AB3">
        <w:t xml:space="preserve"> of the time it would have</w:t>
      </w:r>
      <w:r w:rsidR="00A7686B" w:rsidRPr="005D3AB3">
        <w:t xml:space="preserve"> been</w:t>
      </w:r>
      <w:r w:rsidR="00BD1AA7" w:rsidRPr="005D3AB3">
        <w:t xml:space="preserve"> a terrifying supernatural addition</w:t>
      </w:r>
      <w:r w:rsidR="00396E48" w:rsidRPr="005D3AB3">
        <w:t xml:space="preserve">, which would help to compartmentalise this story within the collective audiences’ memory. </w:t>
      </w:r>
      <w:r w:rsidR="00B21331" w:rsidRPr="005D3AB3">
        <w:t xml:space="preserve">However, </w:t>
      </w:r>
      <w:r w:rsidR="001717D8" w:rsidRPr="005D3AB3">
        <w:t>it has also been suggested</w:t>
      </w:r>
      <w:r w:rsidR="00167162" w:rsidRPr="005D3AB3">
        <w:t xml:space="preserve"> by various critics</w:t>
      </w:r>
      <w:r w:rsidR="00E91040">
        <w:t xml:space="preserve"> to have multiple other meanings</w:t>
      </w:r>
      <w:r w:rsidR="00167162" w:rsidRPr="005D3AB3">
        <w:t>, from simply being an “element of the extraordinary”</w:t>
      </w:r>
      <w:r w:rsidR="00BB7491" w:rsidRPr="005D3AB3">
        <w:rPr>
          <w:rStyle w:val="FootnoteReference"/>
        </w:rPr>
        <w:footnoteReference w:id="7"/>
      </w:r>
      <w:r w:rsidR="00167162" w:rsidRPr="005D3AB3">
        <w:t>, or something “derived from Greek legend”</w:t>
      </w:r>
      <w:r w:rsidR="00B5557B" w:rsidRPr="005D3AB3">
        <w:rPr>
          <w:rStyle w:val="FootnoteReference"/>
        </w:rPr>
        <w:footnoteReference w:id="8"/>
      </w:r>
      <w:r w:rsidR="00167162" w:rsidRPr="005D3AB3">
        <w:t>, to a symbol of “sexual wholeness, the perfect union of man and woman”</w:t>
      </w:r>
      <w:r w:rsidR="0089439E" w:rsidRPr="005D3AB3">
        <w:rPr>
          <w:rStyle w:val="FootnoteReference"/>
        </w:rPr>
        <w:footnoteReference w:id="9"/>
      </w:r>
      <w:r w:rsidR="00167162" w:rsidRPr="005D3AB3">
        <w:t xml:space="preserve"> and as “an image of the hero’s eventual </w:t>
      </w:r>
      <w:r w:rsidR="00167162" w:rsidRPr="005D3AB3">
        <w:lastRenderedPageBreak/>
        <w:t>destiny”</w:t>
      </w:r>
      <w:r w:rsidR="005D3AB3" w:rsidRPr="005D3AB3">
        <w:rPr>
          <w:rStyle w:val="FootnoteReference"/>
        </w:rPr>
        <w:footnoteReference w:id="10"/>
      </w:r>
      <w:r w:rsidR="00167162" w:rsidRPr="005D3AB3">
        <w:t xml:space="preserve">. </w:t>
      </w:r>
      <w:r w:rsidR="00013EF7" w:rsidRPr="005D3AB3">
        <w:t>Whichever interpretation one chooses to follow, one cannot deny that this image is incredibly captivating to its readers, and certainly becom</w:t>
      </w:r>
      <w:r w:rsidR="00B5025C">
        <w:t>es</w:t>
      </w:r>
      <w:r w:rsidR="00013EF7" w:rsidRPr="005D3AB3">
        <w:t xml:space="preserve"> meaningful and memorable</w:t>
      </w:r>
      <w:r w:rsidR="00D01898" w:rsidRPr="005D3AB3">
        <w:t xml:space="preserve"> in the minds of the lay’s audience</w:t>
      </w:r>
      <w:r w:rsidR="00D01898">
        <w:t>.</w:t>
      </w:r>
      <w:r w:rsidR="005D2899">
        <w:t xml:space="preserve"> </w:t>
      </w:r>
    </w:p>
    <w:p w:rsidR="00D66BF2" w:rsidRDefault="00794E84">
      <w:r>
        <w:t>This episode, through the use of descriptio, has multiple layers of poetic symbolism</w:t>
      </w:r>
      <w:r w:rsidR="00E266D0">
        <w:t>, as seen throug</w:t>
      </w:r>
      <w:r w:rsidR="0036162E">
        <w:t xml:space="preserve">h Marie’s decision to use a white hind. At the time of the lais’ publication, multiple other works contained similar </w:t>
      </w:r>
      <w:r w:rsidR="0036162E" w:rsidRPr="00714A42">
        <w:t xml:space="preserve">symbols, such as “the white hind in </w:t>
      </w:r>
      <w:r w:rsidR="0036162E" w:rsidRPr="00A40CFF">
        <w:rPr>
          <w:i/>
          <w:iCs/>
        </w:rPr>
        <w:t>Graelent</w:t>
      </w:r>
      <w:r w:rsidR="0036162E" w:rsidRPr="00714A42">
        <w:t xml:space="preserve">, the white boar in </w:t>
      </w:r>
      <w:r w:rsidR="0036162E" w:rsidRPr="00796F17">
        <w:rPr>
          <w:i/>
          <w:iCs/>
        </w:rPr>
        <w:t>Guingamor</w:t>
      </w:r>
      <w:r w:rsidR="0036162E" w:rsidRPr="00714A42">
        <w:t xml:space="preserve"> or the white stag in </w:t>
      </w:r>
      <w:r w:rsidR="0036162E" w:rsidRPr="006A3E78">
        <w:rPr>
          <w:i/>
          <w:iCs/>
        </w:rPr>
        <w:t>Erec et Enide</w:t>
      </w:r>
      <w:r w:rsidR="0036162E" w:rsidRPr="00714A42">
        <w:t>”</w:t>
      </w:r>
      <w:r w:rsidR="005C17B7" w:rsidRPr="00714A42">
        <w:rPr>
          <w:rStyle w:val="FootnoteReference"/>
        </w:rPr>
        <w:footnoteReference w:id="11"/>
      </w:r>
      <w:r w:rsidR="0036162E" w:rsidRPr="00714A42">
        <w:t>,</w:t>
      </w:r>
      <w:r w:rsidR="0036162E">
        <w:t xml:space="preserve"> which the </w:t>
      </w:r>
      <w:r w:rsidR="00714A42">
        <w:t xml:space="preserve">original </w:t>
      </w:r>
      <w:r w:rsidR="0036162E">
        <w:t>audience would be familiar with</w:t>
      </w:r>
      <w:r w:rsidR="00EC3B45">
        <w:t xml:space="preserve"> and </w:t>
      </w:r>
      <w:r w:rsidR="00F8173B">
        <w:t>therefore would be able to create</w:t>
      </w:r>
      <w:r w:rsidR="005B34B3">
        <w:t xml:space="preserve"> an image of in their memory</w:t>
      </w:r>
      <w:r w:rsidR="008A37FC">
        <w:t xml:space="preserve">; </w:t>
      </w:r>
      <w:r w:rsidR="005B34B3">
        <w:t>it is such a memorable symbol within the plot of Guigemar that it serves to capture audiences’ interest.</w:t>
      </w:r>
      <w:r w:rsidR="00EB75CC">
        <w:t xml:space="preserve"> The colour </w:t>
      </w:r>
      <w:r w:rsidR="00714A42">
        <w:t>of the hind also has symbolic meaning, suggesting “not only an essential purity, but also beauty and uniqueness, serving to heighten the representation of femininity”</w:t>
      </w:r>
      <w:r w:rsidR="00DC3F07">
        <w:rPr>
          <w:rStyle w:val="FootnoteReference"/>
        </w:rPr>
        <w:footnoteReference w:id="12"/>
      </w:r>
      <w:r w:rsidR="004212BA">
        <w:t xml:space="preserve">, </w:t>
      </w:r>
      <w:r w:rsidR="00714A42">
        <w:t>again t</w:t>
      </w:r>
      <w:r w:rsidR="004212BA">
        <w:t>ying</w:t>
      </w:r>
      <w:r w:rsidR="00714A42">
        <w:t xml:space="preserve"> in with the supernatural theme of the uncertainty of the hind’s gender,</w:t>
      </w:r>
      <w:r w:rsidR="00067927">
        <w:t xml:space="preserve"> further securing this episode in memory.</w:t>
      </w:r>
    </w:p>
    <w:p w:rsidR="00665BFA" w:rsidRDefault="00DB55C2">
      <w:r>
        <w:t xml:space="preserve">Within the lay </w:t>
      </w:r>
      <w:r w:rsidRPr="0087423A">
        <w:rPr>
          <w:i/>
          <w:iCs/>
        </w:rPr>
        <w:t>Le Fresne</w:t>
      </w:r>
      <w:r>
        <w:t xml:space="preserve">, </w:t>
      </w:r>
      <w:r w:rsidR="008F79DD">
        <w:t>the instance of descriptio is “large ring made from an ounce of pure gold, with a ruby set in it and lettering on the band”</w:t>
      </w:r>
      <w:r w:rsidR="00EB771B">
        <w:rPr>
          <w:rStyle w:val="FootnoteReference"/>
        </w:rPr>
        <w:footnoteReference w:id="13"/>
      </w:r>
      <w:r w:rsidR="008F79DD">
        <w:t>. It serves both as a “symbolic representation of eternity”</w:t>
      </w:r>
      <w:r w:rsidR="00B95301">
        <w:rPr>
          <w:rStyle w:val="FootnoteReference"/>
        </w:rPr>
        <w:footnoteReference w:id="14"/>
      </w:r>
      <w:r w:rsidR="008F79DD">
        <w:t xml:space="preserve"> and “to connect the past to the present”</w:t>
      </w:r>
      <w:r w:rsidR="00977D9F">
        <w:rPr>
          <w:rStyle w:val="FootnoteReference"/>
        </w:rPr>
        <w:footnoteReference w:id="15"/>
      </w:r>
      <w:r w:rsidR="0033748C">
        <w:t>, and provides narrative structure through linking episodes within the lay, from her birth to the discovery of her true identity.</w:t>
      </w:r>
      <w:r w:rsidR="003368C5">
        <w:t xml:space="preserve"> </w:t>
      </w:r>
      <w:r w:rsidR="00E74362">
        <w:t>Along with the ring, she is abandoned with two other objects,</w:t>
      </w:r>
      <w:r w:rsidR="00D631F3">
        <w:t xml:space="preserve"> “a cloth of fine linen”</w:t>
      </w:r>
      <w:r w:rsidR="0004258B">
        <w:rPr>
          <w:rStyle w:val="FootnoteReference"/>
        </w:rPr>
        <w:footnoteReference w:id="16"/>
      </w:r>
      <w:r w:rsidR="00D631F3">
        <w:t xml:space="preserve"> and “the finest piece of striped brocade … from Constantinople”</w:t>
      </w:r>
      <w:r w:rsidR="003368C5">
        <w:rPr>
          <w:rStyle w:val="FootnoteReference"/>
        </w:rPr>
        <w:footnoteReference w:id="17"/>
      </w:r>
      <w:r w:rsidR="00E74362">
        <w:t>, that provide proof of</w:t>
      </w:r>
      <w:r w:rsidR="000D2267">
        <w:t xml:space="preserve"> </w:t>
      </w:r>
      <w:r w:rsidR="00E74362">
        <w:t>identity at birth as nobility and “her future identity as royalty”</w:t>
      </w:r>
      <w:r w:rsidR="00D53F3C">
        <w:rPr>
          <w:rStyle w:val="FootnoteReference"/>
        </w:rPr>
        <w:footnoteReference w:id="18"/>
      </w:r>
      <w:r w:rsidR="00B82624">
        <w:t>.</w:t>
      </w:r>
      <w:r w:rsidR="00665BFA">
        <w:t xml:space="preserve"> </w:t>
      </w:r>
      <w:r w:rsidR="00452FA2">
        <w:t>Marie uses</w:t>
      </w:r>
      <w:r w:rsidR="00665BFA">
        <w:t xml:space="preserve"> episodes of descriptio </w:t>
      </w:r>
      <w:r w:rsidR="00452FA2">
        <w:t>to provide structure</w:t>
      </w:r>
      <w:r w:rsidR="00B02BD7">
        <w:t xml:space="preserve"> within the narrative</w:t>
      </w:r>
      <w:r w:rsidR="00452FA2">
        <w:t xml:space="preserve"> by “mesh</w:t>
      </w:r>
      <w:r w:rsidR="00BA6978">
        <w:t>[</w:t>
      </w:r>
      <w:proofErr w:type="spellStart"/>
      <w:r w:rsidR="00452FA2">
        <w:t>ing</w:t>
      </w:r>
      <w:proofErr w:type="spellEnd"/>
      <w:r w:rsidR="00BA6978">
        <w:t>]</w:t>
      </w:r>
      <w:r w:rsidR="00452FA2">
        <w:t xml:space="preserve"> the segments of her tale into a congruous textual unit”</w:t>
      </w:r>
      <w:r w:rsidR="00BA6978">
        <w:rPr>
          <w:rStyle w:val="FootnoteReference"/>
        </w:rPr>
        <w:footnoteReference w:id="19"/>
      </w:r>
      <w:r w:rsidR="00B02BD7">
        <w:t>, as seen by the use of the ring to aid Le Fresne later in life in regaining her love.</w:t>
      </w:r>
    </w:p>
    <w:p w:rsidR="00783A55" w:rsidRDefault="00783A55">
      <w:r>
        <w:t xml:space="preserve">Another instance of descriptio is seen within the lay </w:t>
      </w:r>
      <w:r w:rsidRPr="00757551">
        <w:rPr>
          <w:i/>
          <w:iCs/>
        </w:rPr>
        <w:t>Laustic</w:t>
      </w:r>
      <w:r>
        <w:t xml:space="preserve">, </w:t>
      </w:r>
      <w:r w:rsidR="005457EA">
        <w:t xml:space="preserve">the nightingale. Birds often appear in the lais as instances of descriptio, </w:t>
      </w:r>
      <w:r w:rsidR="00EA00CA">
        <w:t>such as</w:t>
      </w:r>
      <w:r w:rsidR="005457EA">
        <w:t xml:space="preserve"> the swan in </w:t>
      </w:r>
      <w:r w:rsidR="00AE11BA" w:rsidRPr="00757551">
        <w:rPr>
          <w:i/>
          <w:iCs/>
        </w:rPr>
        <w:t>Milun</w:t>
      </w:r>
      <w:r w:rsidR="00AE11BA">
        <w:t xml:space="preserve">, </w:t>
      </w:r>
      <w:r w:rsidR="00EA00CA">
        <w:t xml:space="preserve">or the hawk in </w:t>
      </w:r>
      <w:r w:rsidR="00EA00CA" w:rsidRPr="00757551">
        <w:rPr>
          <w:i/>
          <w:iCs/>
        </w:rPr>
        <w:t>Yonec</w:t>
      </w:r>
      <w:r w:rsidR="00EA00CA">
        <w:t xml:space="preserve">. </w:t>
      </w:r>
      <w:r w:rsidR="004F4EDF">
        <w:t>The lady of the tale uses the dead nightingale to communicate to her lover that they may no longer see each other, taking on a symbolic quality as “a sign that their relationship, at least as they have known it, is now dead as well”</w:t>
      </w:r>
      <w:r w:rsidR="00587A41">
        <w:rPr>
          <w:rStyle w:val="FootnoteReference"/>
        </w:rPr>
        <w:footnoteReference w:id="20"/>
      </w:r>
      <w:r w:rsidR="00FE150F">
        <w:t xml:space="preserve">. </w:t>
      </w:r>
      <w:r w:rsidR="00A056EA">
        <w:t>The knight gives the corpse of the nightingale even more significance by placing it in a reliquary made “of pure gold with fine stones”</w:t>
      </w:r>
      <w:r w:rsidR="000B0523">
        <w:rPr>
          <w:rStyle w:val="FootnoteReference"/>
        </w:rPr>
        <w:footnoteReference w:id="21"/>
      </w:r>
      <w:r w:rsidR="00A056EA">
        <w:t>, and “then he had the casket sealed and carried it with him at all times”</w:t>
      </w:r>
      <w:r w:rsidR="00B07318">
        <w:rPr>
          <w:rStyle w:val="FootnoteReference"/>
        </w:rPr>
        <w:footnoteReference w:id="22"/>
      </w:r>
      <w:r w:rsidR="001E68D6">
        <w:t>. The sealing of the casket carries an ominous air of finality about it, well and truly emphasising that their love is no longer allowed, but the knight still carries around this symbol of lost love with him constantly</w:t>
      </w:r>
      <w:r w:rsidR="00D83F65">
        <w:t>. This suggests the passion and devotion he felt for the lady</w:t>
      </w:r>
      <w:r w:rsidR="00D47BD2">
        <w:t xml:space="preserve"> as well as the use of precious metals and stones for the vessel</w:t>
      </w:r>
      <w:r w:rsidR="00D83F65">
        <w:t>, despite the fact they had never truly met</w:t>
      </w:r>
      <w:r w:rsidR="00D47BD2">
        <w:t xml:space="preserve">. </w:t>
      </w:r>
      <w:r w:rsidR="00393539">
        <w:t>One could even argue</w:t>
      </w:r>
      <w:r w:rsidR="007D06B9">
        <w:t xml:space="preserve"> the use of a reliquary to store th</w:t>
      </w:r>
      <w:r w:rsidR="00692EA0">
        <w:t>e nightingale means it takes on the meaning of a personal relic for the knight, and perhaps even that he placed this love above religion.</w:t>
      </w:r>
    </w:p>
    <w:p w:rsidR="005513B2" w:rsidRDefault="00C46AC4">
      <w:r>
        <w:lastRenderedPageBreak/>
        <w:t xml:space="preserve">An interesting question was raised while I searched for instances of descriptio within the lais: can descriptions of people count as descriptio? </w:t>
      </w:r>
      <w:r w:rsidR="005D0956">
        <w:t xml:space="preserve">Within the lay </w:t>
      </w:r>
      <w:r w:rsidR="005D0956" w:rsidRPr="003627B4">
        <w:rPr>
          <w:i/>
          <w:iCs/>
        </w:rPr>
        <w:t>Lanval</w:t>
      </w:r>
      <w:r w:rsidR="005D0956">
        <w:t xml:space="preserve">, we read the </w:t>
      </w:r>
      <w:r w:rsidR="008C01E6">
        <w:t xml:space="preserve">long </w:t>
      </w:r>
      <w:r w:rsidR="005D0956">
        <w:t xml:space="preserve">description of a </w:t>
      </w:r>
      <w:r w:rsidR="008C01E6">
        <w:t xml:space="preserve">most </w:t>
      </w:r>
      <w:r w:rsidR="005D0956">
        <w:t>beautiful maiden</w:t>
      </w:r>
      <w:r w:rsidR="008C01E6">
        <w:t xml:space="preserve">, </w:t>
      </w:r>
      <w:r w:rsidR="00732237">
        <w:t>“her eyes were bright and her face white, her mouth fair and her nose well-place”</w:t>
      </w:r>
      <w:r w:rsidR="00970312">
        <w:rPr>
          <w:rStyle w:val="FootnoteReference"/>
        </w:rPr>
        <w:footnoteReference w:id="23"/>
      </w:r>
      <w:r w:rsidR="00732237">
        <w:t>. The description of her appearance continues</w:t>
      </w:r>
      <w:r w:rsidR="006C0A5A">
        <w:t xml:space="preserve"> and then moves</w:t>
      </w:r>
      <w:r w:rsidR="00732237">
        <w:t xml:space="preserve"> onto her well made cloak and her companions with her, </w:t>
      </w:r>
      <w:r w:rsidR="00947D30">
        <w:t>“a</w:t>
      </w:r>
      <w:r w:rsidR="00732237">
        <w:t xml:space="preserve"> </w:t>
      </w:r>
      <w:proofErr w:type="spellStart"/>
      <w:r w:rsidR="00732237">
        <w:t>sparrowhawk</w:t>
      </w:r>
      <w:proofErr w:type="spellEnd"/>
      <w:r w:rsidR="00732237">
        <w:t xml:space="preserve"> on her wrist and … a dog”</w:t>
      </w:r>
      <w:r w:rsidR="00970312">
        <w:rPr>
          <w:rStyle w:val="FootnoteReference"/>
        </w:rPr>
        <w:footnoteReference w:id="24"/>
      </w:r>
      <w:r w:rsidR="00732237">
        <w:t xml:space="preserve">. </w:t>
      </w:r>
      <w:r w:rsidR="006C0A5A">
        <w:t>O</w:t>
      </w:r>
      <w:r w:rsidR="008C01E6">
        <w:t xml:space="preserve">ne could, at first glance, possibly </w:t>
      </w:r>
      <w:r w:rsidR="00A233E4">
        <w:t>mistake this</w:t>
      </w:r>
      <w:r w:rsidR="004514D1">
        <w:t xml:space="preserve"> for an instance of descriptio</w:t>
      </w:r>
      <w:r w:rsidR="00A233E4">
        <w:t>, as it does fit the requirements of acting as a lively image that helps to make the text more memorable; however</w:t>
      </w:r>
      <w:r w:rsidR="006C411E">
        <w:t xml:space="preserve"> </w:t>
      </w:r>
      <w:r w:rsidR="00A233E4">
        <w:t>the maiden does</w:t>
      </w:r>
      <w:r w:rsidR="000D566C">
        <w:t xml:space="preserve"> no</w:t>
      </w:r>
      <w:r w:rsidR="00A233E4">
        <w:t>t</w:t>
      </w:r>
      <w:r w:rsidR="006C411E">
        <w:t xml:space="preserve">, </w:t>
      </w:r>
      <w:r w:rsidR="00A233E4">
        <w:t>to my knowledge</w:t>
      </w:r>
      <w:r w:rsidR="006C411E">
        <w:t xml:space="preserve">, </w:t>
      </w:r>
      <w:r w:rsidR="00A233E4">
        <w:t xml:space="preserve">provide any sort </w:t>
      </w:r>
      <w:r w:rsidR="007B32A4">
        <w:t>of implied meaning or aid narrative structure beyond</w:t>
      </w:r>
      <w:r w:rsidR="006C411E">
        <w:t xml:space="preserve"> simply acting as a character within the story. </w:t>
      </w:r>
      <w:r w:rsidR="005D0956">
        <w:t xml:space="preserve">Marie </w:t>
      </w:r>
      <w:r w:rsidR="006C411E">
        <w:t xml:space="preserve">often uses </w:t>
      </w:r>
      <w:r w:rsidR="003A4E57">
        <w:t>stock characters as was standard at the time,</w:t>
      </w:r>
      <w:r w:rsidR="00773A32">
        <w:t xml:space="preserve"> </w:t>
      </w:r>
      <w:r w:rsidR="009122D3">
        <w:t>which are all described in similar ways – the knight of the tale often being described as “wise, brave and loved by everyone”</w:t>
      </w:r>
      <w:r w:rsidR="00DC660E">
        <w:rPr>
          <w:rStyle w:val="FootnoteReference"/>
        </w:rPr>
        <w:footnoteReference w:id="25"/>
      </w:r>
      <w:r w:rsidR="009122D3">
        <w:t xml:space="preserve"> and that there was “no more handsome young man”</w:t>
      </w:r>
      <w:r w:rsidR="00DC660E">
        <w:rPr>
          <w:rStyle w:val="FootnoteReference"/>
        </w:rPr>
        <w:footnoteReference w:id="26"/>
      </w:r>
      <w:r w:rsidR="009122D3">
        <w:t xml:space="preserve"> than himself, the maiden </w:t>
      </w:r>
      <w:r w:rsidR="0058704B">
        <w:t>as being “extremely beautiful”</w:t>
      </w:r>
      <w:r w:rsidR="00057B02">
        <w:rPr>
          <w:rStyle w:val="FootnoteReference"/>
        </w:rPr>
        <w:footnoteReference w:id="27"/>
      </w:r>
      <w:r w:rsidR="0058704B">
        <w:t xml:space="preserve"> and “having no equal in the kingdom”</w:t>
      </w:r>
      <w:r w:rsidR="00057B02">
        <w:rPr>
          <w:rStyle w:val="FootnoteReference"/>
        </w:rPr>
        <w:footnoteReference w:id="28"/>
      </w:r>
      <w:r w:rsidR="00DC660E">
        <w:t>, the wise and cunning maid, the jealous old husband and so on.</w:t>
      </w:r>
      <w:r w:rsidR="005513B2">
        <w:t xml:space="preserve"> </w:t>
      </w:r>
      <w:r w:rsidR="009122D3">
        <w:t>There are often length</w:t>
      </w:r>
      <w:r w:rsidR="00403344">
        <w:t>y</w:t>
      </w:r>
      <w:r w:rsidR="009122D3">
        <w:t xml:space="preserve"> descriptions of each character’s qualities when compared with Marie’s tendency to jump quickly from event to event</w:t>
      </w:r>
      <w:r w:rsidR="00ED2AC2">
        <w:t xml:space="preserve"> with </w:t>
      </w:r>
      <w:r w:rsidR="00B75200">
        <w:t>little</w:t>
      </w:r>
      <w:r w:rsidR="00ED2AC2">
        <w:t xml:space="preserve"> description, so one could easily be forgiven for </w:t>
      </w:r>
      <w:r w:rsidR="00F26976">
        <w:t>mistaking the introduction of each character as small instances of descriptio.</w:t>
      </w:r>
      <w:r w:rsidR="005513B2">
        <w:t xml:space="preserve"> </w:t>
      </w:r>
    </w:p>
    <w:p w:rsidR="00264FCD" w:rsidRDefault="00773A32">
      <w:r>
        <w:t>We</w:t>
      </w:r>
      <w:r w:rsidR="005513B2">
        <w:t xml:space="preserve"> also</w:t>
      </w:r>
      <w:r w:rsidR="003A4E57">
        <w:t xml:space="preserve"> </w:t>
      </w:r>
      <w:r>
        <w:t xml:space="preserve">have to </w:t>
      </w:r>
      <w:r w:rsidR="003A4E57">
        <w:t xml:space="preserve">consider the </w:t>
      </w:r>
      <w:r w:rsidR="000D274B">
        <w:t>medieval idea of literary creation</w:t>
      </w:r>
      <w:r w:rsidR="001B12C4">
        <w:t xml:space="preserve"> which was to reuse material until a new source was found and there </w:t>
      </w:r>
      <w:r>
        <w:t>seemed to be</w:t>
      </w:r>
      <w:r w:rsidR="001B12C4">
        <w:t xml:space="preserve"> no sense of plagiarism </w:t>
      </w:r>
      <w:r>
        <w:t xml:space="preserve">between contemporary authors: in short, these characters would be instantly recognisable to the audiences of the time as they would have been used </w:t>
      </w:r>
      <w:r w:rsidR="00677514">
        <w:t>constantly</w:t>
      </w:r>
      <w:r w:rsidR="001B22BE">
        <w:t>, and would have made a memorable impact throughout each lay.</w:t>
      </w:r>
      <w:r w:rsidR="00DF1651">
        <w:t xml:space="preserve"> </w:t>
      </w:r>
      <w:r>
        <w:t>T</w:t>
      </w:r>
      <w:r w:rsidR="000D274B">
        <w:t>h</w:t>
      </w:r>
      <w:r w:rsidR="00DF1651">
        <w:t>is narrative tactic</w:t>
      </w:r>
      <w:r w:rsidR="000D274B">
        <w:t xml:space="preserve"> do</w:t>
      </w:r>
      <w:r w:rsidR="00DF1651">
        <w:t>es</w:t>
      </w:r>
      <w:r w:rsidR="000D274B">
        <w:t xml:space="preserve"> aid </w:t>
      </w:r>
      <w:r w:rsidR="00DF1651">
        <w:t xml:space="preserve">the lais in </w:t>
      </w:r>
      <w:r w:rsidR="000D274B">
        <w:t>making the</w:t>
      </w:r>
      <w:r w:rsidR="00DF1651">
        <w:t>m</w:t>
      </w:r>
      <w:r w:rsidR="000D274B">
        <w:t xml:space="preserve"> more meaningful and memorable, but do</w:t>
      </w:r>
      <w:r w:rsidR="00DF1651">
        <w:t>es</w:t>
      </w:r>
      <w:r w:rsidR="000D274B">
        <w:t xml:space="preserve"> not count as instances of descriptio in my opinion.</w:t>
      </w:r>
      <w:r w:rsidR="00DA257B">
        <w:t xml:space="preserve"> </w:t>
      </w:r>
    </w:p>
    <w:p w:rsidR="009D79FD" w:rsidRDefault="00264FCD">
      <w:r>
        <w:t xml:space="preserve">Therefore, we must question if it is actually descriptio that aid the lais in </w:t>
      </w:r>
      <w:r w:rsidR="009122D3">
        <w:t xml:space="preserve">being </w:t>
      </w:r>
      <w:r>
        <w:t xml:space="preserve">memorable, or if it is other </w:t>
      </w:r>
      <w:r w:rsidR="00CD4311">
        <w:t xml:space="preserve">memorable </w:t>
      </w:r>
      <w:r>
        <w:t>narrative techniques</w:t>
      </w:r>
      <w:r w:rsidR="00CD4311">
        <w:t xml:space="preserve"> used in medieval literature that capture the interest of the audience.</w:t>
      </w:r>
      <w:r w:rsidR="009B7592">
        <w:t xml:space="preserve"> </w:t>
      </w:r>
      <w:r w:rsidR="009D79FD">
        <w:t>I believe there is a possibility that the ordering of the lais in a particular fashion is to help frame each narrative episode within the larger didactic structure of the twelve poems, and to aid the audience in considerin</w:t>
      </w:r>
      <w:r w:rsidR="00723774">
        <w:t>g both the upside and the downfalls that come with falling in love</w:t>
      </w:r>
      <w:r w:rsidR="0004007D">
        <w:t xml:space="preserve">. </w:t>
      </w:r>
      <w:r w:rsidR="00CE69E6">
        <w:t>The Harley manuscript is</w:t>
      </w:r>
      <w:r w:rsidR="006800B5">
        <w:t xml:space="preserve"> the order of the twelve poems found in “most editions and several translations”</w:t>
      </w:r>
      <w:r w:rsidR="00567185">
        <w:rPr>
          <w:rStyle w:val="FootnoteReference"/>
        </w:rPr>
        <w:footnoteReference w:id="29"/>
      </w:r>
      <w:r w:rsidR="006A3F03">
        <w:t>, but it is most “certainly not composed in this order”</w:t>
      </w:r>
      <w:r w:rsidR="00754F92">
        <w:rPr>
          <w:rStyle w:val="FootnoteReference"/>
        </w:rPr>
        <w:footnoteReference w:id="30"/>
      </w:r>
      <w:r w:rsidR="006A3F03">
        <w:t>, which leads me to believe the ordering may be a deliberate narrative technique</w:t>
      </w:r>
      <w:r w:rsidR="00515B24">
        <w:t xml:space="preserve"> to make each lay more memorable and meaningful.</w:t>
      </w:r>
    </w:p>
    <w:p w:rsidR="00FF6BFA" w:rsidRDefault="002A43E9" w:rsidP="00173E80">
      <w:r>
        <w:t xml:space="preserve">Another aspect </w:t>
      </w:r>
      <w:r w:rsidR="00A803F4">
        <w:t xml:space="preserve">which should mentioned is that idea of a lay itself – that is, </w:t>
      </w:r>
      <w:r w:rsidR="0019644B">
        <w:t>“fundamental brevity”</w:t>
      </w:r>
      <w:r w:rsidR="0019644B">
        <w:rPr>
          <w:rStyle w:val="FootnoteReference"/>
        </w:rPr>
        <w:footnoteReference w:id="31"/>
      </w:r>
      <w:r w:rsidR="0019644B">
        <w:t xml:space="preserve"> wrapped up in a genre.</w:t>
      </w:r>
      <w:r w:rsidR="008734B7">
        <w:t xml:space="preserve"> It portrays </w:t>
      </w:r>
      <w:r w:rsidR="008734B7" w:rsidRPr="008734B7">
        <w:t>“decisive moments in the lives of the protagonists”</w:t>
      </w:r>
      <w:r w:rsidR="00EA45AE">
        <w:rPr>
          <w:rStyle w:val="FootnoteReference"/>
        </w:rPr>
        <w:footnoteReference w:id="32"/>
      </w:r>
      <w:r w:rsidR="006C4191">
        <w:t xml:space="preserve"> w</w:t>
      </w:r>
      <w:r w:rsidR="00A803F4">
        <w:t>hich “leaves a stronger impression that it might have done in a longer and more diffuse treatment of similar material”</w:t>
      </w:r>
      <w:r w:rsidR="00A803F4">
        <w:rPr>
          <w:rStyle w:val="FootnoteReference"/>
        </w:rPr>
        <w:footnoteReference w:id="33"/>
      </w:r>
      <w:r w:rsidR="0084417A">
        <w:t xml:space="preserve">. </w:t>
      </w:r>
    </w:p>
    <w:p w:rsidR="00CE69E6" w:rsidRDefault="00447291" w:rsidP="00173E80">
      <w:r>
        <w:lastRenderedPageBreak/>
        <w:t>One should also consider how Breton lais were structured and performe</w:t>
      </w:r>
      <w:r w:rsidR="000D31E5">
        <w:t>d; the tale was “h</w:t>
      </w:r>
      <w:r w:rsidR="00082BA0">
        <w:t>eard by Bretons who composed a lay about it – a short lyrical composition sung to the accompaniment of a harp</w:t>
      </w:r>
      <w:r w:rsidR="000D31E5">
        <w:t xml:space="preserve"> or rote”</w:t>
      </w:r>
      <w:r w:rsidR="00F43AB7">
        <w:rPr>
          <w:rStyle w:val="FootnoteReference"/>
        </w:rPr>
        <w:footnoteReference w:id="34"/>
      </w:r>
      <w:r w:rsidR="00A24B63">
        <w:t>. That sounds incredibly captivating to an audience, and I can imagine that the accompaniment of music helped to cement each episode into memory.</w:t>
      </w:r>
      <w:r w:rsidR="000961C7">
        <w:t xml:space="preserve"> </w:t>
      </w:r>
      <w:r w:rsidR="000961C7" w:rsidRPr="00CD4AE2">
        <w:rPr>
          <w:i/>
          <w:iCs/>
        </w:rPr>
        <w:t>The lai</w:t>
      </w:r>
      <w:r w:rsidR="00CD4AE2" w:rsidRPr="00CD4AE2">
        <w:rPr>
          <w:i/>
          <w:iCs/>
        </w:rPr>
        <w:t>s of Marie de France</w:t>
      </w:r>
      <w:r w:rsidR="00CD4AE2">
        <w:t xml:space="preserve"> however</w:t>
      </w:r>
      <w:r w:rsidR="00C107F1">
        <w:t xml:space="preserve"> were “not apparently intended to be sung”</w:t>
      </w:r>
      <w:r w:rsidR="00D16A05">
        <w:rPr>
          <w:rStyle w:val="FootnoteReference"/>
        </w:rPr>
        <w:footnoteReference w:id="35"/>
      </w:r>
      <w:r w:rsidR="00C107F1">
        <w:t>, but medieval audiences would have recognised the “musical history and lyric intensity of the lai”</w:t>
      </w:r>
      <w:r w:rsidR="004C2F64">
        <w:rPr>
          <w:rStyle w:val="FootnoteReference"/>
        </w:rPr>
        <w:footnoteReference w:id="36"/>
      </w:r>
      <w:r w:rsidR="00D16A05">
        <w:t xml:space="preserve"> anyway, and so would still be memorable. </w:t>
      </w:r>
      <w:r w:rsidR="00F21548">
        <w:t xml:space="preserve">Another technique Marie used to create links within the memory that is a part of the lyrical </w:t>
      </w:r>
      <w:r w:rsidR="003D28E0">
        <w:t>intensity</w:t>
      </w:r>
      <w:r w:rsidR="00F21548">
        <w:t xml:space="preserve"> of the lais is the use of </w:t>
      </w:r>
      <w:r w:rsidR="00173E80">
        <w:t>‘</w:t>
      </w:r>
      <w:r w:rsidR="00F21548">
        <w:t>e</w:t>
      </w:r>
      <w:r w:rsidR="00173E80">
        <w:t>loquence’</w:t>
      </w:r>
      <w:r w:rsidR="00A42F0E">
        <w:t xml:space="preserve"> – using elaborate and fluent descriptions to express certain thoughts and feelings, which are used to move the reader emotionally or to impress a particular point.</w:t>
      </w:r>
      <w:r w:rsidR="00E415C6">
        <w:t xml:space="preserve"> We are aware of this throughout each lay, the </w:t>
      </w:r>
      <w:r w:rsidR="00354122">
        <w:t>flowing language creating a strong meaningful presence within the mind, while also often holding</w:t>
      </w:r>
      <w:r w:rsidR="00C84085">
        <w:t xml:space="preserve"> symbolic meaning. </w:t>
      </w:r>
    </w:p>
    <w:p w:rsidR="00CE69E6" w:rsidRDefault="00243074" w:rsidP="00173E80">
      <w:r>
        <w:t>Marie de France had multiple narrative techniques at her command while writing the lais, despite it initially not seeming this way upon first glance. Therefore</w:t>
      </w:r>
      <w:r w:rsidR="00440F06">
        <w:t>,</w:t>
      </w:r>
      <w:r>
        <w:t xml:space="preserve"> I believe that while descriptio does play an important part in making each lay meaningful and memorable and providing structure to the narrative, multiple other authorial techniques are working alongside the descriptio and so it cannot be purely </w:t>
      </w:r>
      <w:r w:rsidR="00440F06">
        <w:t>be said that it is only descriptio doing this job.</w:t>
      </w:r>
    </w:p>
    <w:p w:rsidR="00243074" w:rsidRDefault="00243074" w:rsidP="00173E80"/>
    <w:p w:rsidR="00E50E7F" w:rsidRDefault="008A5E14" w:rsidP="00173E80">
      <w:r>
        <w:t>Bibliography</w:t>
      </w:r>
    </w:p>
    <w:p w:rsidR="008A5E14" w:rsidRPr="006C1576" w:rsidRDefault="008A5E14" w:rsidP="008A5E14">
      <w:pPr>
        <w:pStyle w:val="FootnoteText"/>
      </w:pPr>
      <w:r w:rsidRPr="006C1576">
        <w:rPr>
          <w:i/>
          <w:iCs/>
        </w:rPr>
        <w:t>The Lais Of Marie De France</w:t>
      </w:r>
      <w:r w:rsidRPr="006C1576">
        <w:t>, trans. with an introduction by Keith Busby and Glyn S Burgess (London: Penguin Books Ltd, 1999).</w:t>
      </w:r>
    </w:p>
    <w:p w:rsidR="008A5E14" w:rsidRDefault="008A5E14" w:rsidP="008A5E14">
      <w:pPr>
        <w:pStyle w:val="FootnoteText"/>
      </w:pPr>
    </w:p>
    <w:p w:rsidR="008A5E14" w:rsidRDefault="008A5E14" w:rsidP="00FF6BFA">
      <w:pPr>
        <w:pStyle w:val="FootnoteText"/>
      </w:pPr>
      <w:r w:rsidRPr="006C1576">
        <w:rPr>
          <w:i/>
          <w:iCs/>
        </w:rPr>
        <w:t>The Lais of Marie de France</w:t>
      </w:r>
      <w:r w:rsidRPr="006C1576">
        <w:t xml:space="preserve">, trans. with an introduction and notes by Robert </w:t>
      </w:r>
      <w:proofErr w:type="spellStart"/>
      <w:r w:rsidRPr="006C1576">
        <w:t>Hanning</w:t>
      </w:r>
      <w:proofErr w:type="spellEnd"/>
      <w:r w:rsidRPr="006C1576">
        <w:t xml:space="preserve"> and Joan Ferrante, foreword by John Fowles (New York: E. P. Dutton, 1978)</w:t>
      </w:r>
      <w:r w:rsidR="00E41C7C">
        <w:t>.</w:t>
      </w:r>
    </w:p>
    <w:p w:rsidR="000562AE" w:rsidRDefault="000562AE" w:rsidP="00FF6BFA">
      <w:pPr>
        <w:pStyle w:val="FootnoteText"/>
      </w:pPr>
    </w:p>
    <w:p w:rsidR="00DA36C6" w:rsidRDefault="000562AE" w:rsidP="000562AE">
      <w:pPr>
        <w:pStyle w:val="FootnoteText"/>
      </w:pPr>
      <w:r>
        <w:t xml:space="preserve">Brook, Leslie C., </w:t>
      </w:r>
      <w:r w:rsidR="008A5E14" w:rsidRPr="006C1576">
        <w:t>‘Guigemar and</w:t>
      </w:r>
      <w:r w:rsidR="008A5E14">
        <w:t xml:space="preserve"> the White Hind’, </w:t>
      </w:r>
      <w:r w:rsidR="008A5E14" w:rsidRPr="006C1576">
        <w:rPr>
          <w:i/>
          <w:iCs/>
        </w:rPr>
        <w:t>Medium Aevum</w:t>
      </w:r>
      <w:r w:rsidR="008A5E14">
        <w:t>, 56 (1987)</w:t>
      </w:r>
      <w:r w:rsidR="00E41C7C">
        <w:t>.</w:t>
      </w:r>
    </w:p>
    <w:p w:rsidR="004A6947" w:rsidRDefault="004A6947" w:rsidP="000562AE">
      <w:pPr>
        <w:pStyle w:val="FootnoteText"/>
      </w:pPr>
    </w:p>
    <w:p w:rsidR="004A6947" w:rsidRDefault="004A6947" w:rsidP="000562AE">
      <w:pPr>
        <w:pStyle w:val="FootnoteText"/>
      </w:pPr>
      <w:proofErr w:type="spellStart"/>
      <w:r>
        <w:t>Hoepffner</w:t>
      </w:r>
      <w:proofErr w:type="spellEnd"/>
      <w:r>
        <w:t xml:space="preserve">, E., </w:t>
      </w:r>
      <w:r w:rsidRPr="00553693">
        <w:t xml:space="preserve">Les Lais de Marie de France (Paris, 1935); Emanuel J. </w:t>
      </w:r>
      <w:proofErr w:type="spellStart"/>
      <w:r w:rsidRPr="00553693">
        <w:t>Mickel</w:t>
      </w:r>
      <w:proofErr w:type="spellEnd"/>
      <w:r w:rsidRPr="00553693">
        <w:t xml:space="preserve">, Marie de France, </w:t>
      </w:r>
      <w:proofErr w:type="spellStart"/>
      <w:r w:rsidRPr="00553693">
        <w:t>Twayne’s</w:t>
      </w:r>
      <w:proofErr w:type="spellEnd"/>
      <w:r w:rsidRPr="00553693">
        <w:t xml:space="preserve"> World Author Series, 306 (New </w:t>
      </w:r>
      <w:r w:rsidRPr="005A7E5E">
        <w:t xml:space="preserve">York, 1974); </w:t>
      </w:r>
      <w:proofErr w:type="spellStart"/>
      <w:r w:rsidRPr="005A7E5E">
        <w:t>Sienaert</w:t>
      </w:r>
      <w:proofErr w:type="spellEnd"/>
      <w:r w:rsidRPr="005A7E5E">
        <w:t xml:space="preserve">, Les Lais de Marie de France, p. 52; Phillipe </w:t>
      </w:r>
      <w:proofErr w:type="spellStart"/>
      <w:r w:rsidRPr="005A7E5E">
        <w:t>M</w:t>
      </w:r>
      <w:r w:rsidRPr="005A7E5E">
        <w:rPr>
          <w:rFonts w:cstheme="minorHAnsi"/>
        </w:rPr>
        <w:t>é</w:t>
      </w:r>
      <w:r w:rsidRPr="005A7E5E">
        <w:t>nard</w:t>
      </w:r>
      <w:proofErr w:type="spellEnd"/>
      <w:r w:rsidRPr="005A7E5E">
        <w:t xml:space="preserve">, Les Lais de Marie de France (Paris, 1979), p. 161.’ in Leslie C. Brook, ‘Guigemar and the White Hind’, </w:t>
      </w:r>
      <w:r w:rsidRPr="005A7E5E">
        <w:rPr>
          <w:i/>
          <w:iCs/>
        </w:rPr>
        <w:t>Medium Aevum</w:t>
      </w:r>
      <w:r w:rsidRPr="005A7E5E">
        <w:t>, 56 (1987)</w:t>
      </w:r>
      <w:r w:rsidR="00FB6CDB">
        <w:t>.</w:t>
      </w:r>
    </w:p>
    <w:p w:rsidR="00FB6CDB" w:rsidRDefault="00FB6CDB" w:rsidP="000562AE">
      <w:pPr>
        <w:pStyle w:val="FootnoteText"/>
      </w:pPr>
    </w:p>
    <w:p w:rsidR="004A6947" w:rsidRDefault="004A6947" w:rsidP="000562AE">
      <w:pPr>
        <w:pStyle w:val="FootnoteText"/>
      </w:pPr>
      <w:r>
        <w:t xml:space="preserve">Knapton, Antoinette, </w:t>
      </w:r>
      <w:proofErr w:type="spellStart"/>
      <w:r w:rsidRPr="005A7E5E">
        <w:t>Mythe</w:t>
      </w:r>
      <w:proofErr w:type="spellEnd"/>
      <w:r w:rsidRPr="005A7E5E">
        <w:t xml:space="preserve"> et </w:t>
      </w:r>
      <w:proofErr w:type="spellStart"/>
      <w:r w:rsidRPr="005A7E5E">
        <w:t>psychologie</w:t>
      </w:r>
      <w:proofErr w:type="spellEnd"/>
      <w:r w:rsidRPr="005A7E5E">
        <w:t xml:space="preserve"> chez Marie de France dans ‘Guigemar’, North Carolina Studies in the Romance Languages and Literatures, 142 (Chapel Hill, NC, 1975), pp. 69 – 73.</w:t>
      </w:r>
      <w:r>
        <w:t xml:space="preserve"> </w:t>
      </w:r>
      <w:r w:rsidRPr="000562AE">
        <w:t>in Leslie C. Brook, ‘Guigemar and the White Hind’, Medium Aevum, 56 (1987)</w:t>
      </w:r>
      <w:r>
        <w:t xml:space="preserve">. </w:t>
      </w:r>
    </w:p>
    <w:p w:rsidR="00FB6CDB" w:rsidRDefault="00FB6CDB" w:rsidP="000562AE">
      <w:pPr>
        <w:pStyle w:val="FootnoteText"/>
      </w:pPr>
    </w:p>
    <w:p w:rsidR="00FB6CDB" w:rsidRDefault="00FB6CDB" w:rsidP="00FB6CDB">
      <w:pPr>
        <w:pStyle w:val="FootnoteText"/>
      </w:pPr>
      <w:r>
        <w:t>Pickens, Rupert T.,</w:t>
      </w:r>
      <w:r w:rsidRPr="003C79E9">
        <w:t xml:space="preserve"> ‘Thematic Structure in Marie de France’s Guigemar’, Romania XCV (1974) 328-41, p. 335.</w:t>
      </w:r>
      <w:r>
        <w:t xml:space="preserve"> in </w:t>
      </w:r>
      <w:r w:rsidRPr="00F70089">
        <w:t xml:space="preserve">Leslie C. Brook, </w:t>
      </w:r>
      <w:r w:rsidR="00E27A3B">
        <w:t>‘</w:t>
      </w:r>
      <w:bookmarkStart w:id="0" w:name="_GoBack"/>
      <w:bookmarkEnd w:id="0"/>
      <w:r w:rsidR="00E27A3B" w:rsidRPr="000562AE">
        <w:t>Guigemar and the White Hind’, Medium Aevum, 56 (1987)</w:t>
      </w:r>
      <w:r w:rsidR="00E27A3B">
        <w:t>.</w:t>
      </w:r>
    </w:p>
    <w:p w:rsidR="000562AE" w:rsidRDefault="000562AE" w:rsidP="000562AE">
      <w:pPr>
        <w:pStyle w:val="FootnoteText"/>
      </w:pPr>
    </w:p>
    <w:p w:rsidR="008A5E14" w:rsidRDefault="000562AE" w:rsidP="000562AE">
      <w:pPr>
        <w:pStyle w:val="FootnoteText"/>
      </w:pPr>
      <w:r>
        <w:t>Whalen, Logan E.</w:t>
      </w:r>
      <w:r w:rsidR="008A5E14">
        <w:t xml:space="preserve"> </w:t>
      </w:r>
      <w:r w:rsidR="008A5E14" w:rsidRPr="00333355">
        <w:rPr>
          <w:i/>
          <w:iCs/>
        </w:rPr>
        <w:t>Marie de France and the Poetics of Memory</w:t>
      </w:r>
      <w:r w:rsidR="008A5E14">
        <w:t xml:space="preserve"> (Washington DC: Catholic University of America Press, 2008)</w:t>
      </w:r>
      <w:r w:rsidR="0075374A">
        <w:t>.</w:t>
      </w:r>
    </w:p>
    <w:p w:rsidR="004A6947" w:rsidRDefault="004A6947" w:rsidP="000562AE">
      <w:pPr>
        <w:pStyle w:val="FootnoteText"/>
      </w:pPr>
    </w:p>
    <w:sectPr w:rsidR="004A69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69D1" w:rsidRDefault="00C469D1" w:rsidP="000C7B14">
      <w:pPr>
        <w:spacing w:after="0" w:line="240" w:lineRule="auto"/>
      </w:pPr>
      <w:r>
        <w:separator/>
      </w:r>
    </w:p>
  </w:endnote>
  <w:endnote w:type="continuationSeparator" w:id="0">
    <w:p w:rsidR="00C469D1" w:rsidRDefault="00C469D1" w:rsidP="000C7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69D1" w:rsidRDefault="00C469D1" w:rsidP="000C7B14">
      <w:pPr>
        <w:spacing w:after="0" w:line="240" w:lineRule="auto"/>
      </w:pPr>
      <w:r>
        <w:separator/>
      </w:r>
    </w:p>
  </w:footnote>
  <w:footnote w:type="continuationSeparator" w:id="0">
    <w:p w:rsidR="00C469D1" w:rsidRDefault="00C469D1" w:rsidP="000C7B14">
      <w:pPr>
        <w:spacing w:after="0" w:line="240" w:lineRule="auto"/>
      </w:pPr>
      <w:r>
        <w:continuationSeparator/>
      </w:r>
    </w:p>
  </w:footnote>
  <w:footnote w:id="1">
    <w:p w:rsidR="009D79FD" w:rsidRPr="006C1576" w:rsidRDefault="009D79FD">
      <w:pPr>
        <w:pStyle w:val="FootnoteText"/>
      </w:pPr>
      <w:r>
        <w:rPr>
          <w:rStyle w:val="FootnoteReference"/>
        </w:rPr>
        <w:footnoteRef/>
      </w:r>
      <w:r>
        <w:t xml:space="preserve"> </w:t>
      </w:r>
      <w:r w:rsidRPr="006C1576">
        <w:rPr>
          <w:i/>
          <w:iCs/>
        </w:rPr>
        <w:t>The Lais Of Marie De France</w:t>
      </w:r>
      <w:r w:rsidRPr="006C1576">
        <w:t>, trans. with an introduction by Keith Busby and Glyn S Burgess (London: Penguin Books Ltd, 1999).</w:t>
      </w:r>
    </w:p>
  </w:footnote>
  <w:footnote w:id="2">
    <w:p w:rsidR="009D79FD" w:rsidRPr="006C1576" w:rsidRDefault="009D79FD">
      <w:pPr>
        <w:pStyle w:val="FootnoteText"/>
      </w:pPr>
      <w:r w:rsidRPr="006C1576">
        <w:rPr>
          <w:rStyle w:val="FootnoteReference"/>
        </w:rPr>
        <w:footnoteRef/>
      </w:r>
      <w:r w:rsidRPr="006C1576">
        <w:t xml:space="preserve"> </w:t>
      </w:r>
      <w:r w:rsidRPr="006C1576">
        <w:rPr>
          <w:i/>
          <w:iCs/>
        </w:rPr>
        <w:t>The Lais of Marie de France</w:t>
      </w:r>
      <w:r w:rsidRPr="006C1576">
        <w:t xml:space="preserve">, trans. with an introduction and notes by Robert </w:t>
      </w:r>
      <w:proofErr w:type="spellStart"/>
      <w:r w:rsidRPr="006C1576">
        <w:t>Hanning</w:t>
      </w:r>
      <w:proofErr w:type="spellEnd"/>
      <w:r w:rsidRPr="006C1576">
        <w:t xml:space="preserve"> and Joan Ferrante, foreword by John Fowles (New York: E. P. Dutton, 1978), p. 2.</w:t>
      </w:r>
    </w:p>
  </w:footnote>
  <w:footnote w:id="3">
    <w:p w:rsidR="009D79FD" w:rsidRDefault="009D79FD">
      <w:pPr>
        <w:pStyle w:val="FootnoteText"/>
      </w:pPr>
      <w:r w:rsidRPr="006C1576">
        <w:rPr>
          <w:rStyle w:val="FootnoteReference"/>
        </w:rPr>
        <w:footnoteRef/>
      </w:r>
      <w:r w:rsidRPr="006C1576">
        <w:t xml:space="preserve"> Leslie C. Brook, ‘Guigemar and</w:t>
      </w:r>
      <w:r>
        <w:t xml:space="preserve"> the White Hind’, </w:t>
      </w:r>
      <w:r w:rsidRPr="006C1576">
        <w:rPr>
          <w:i/>
          <w:iCs/>
        </w:rPr>
        <w:t>Medium Aevum</w:t>
      </w:r>
      <w:r>
        <w:t>, 56 (1987), 94.</w:t>
      </w:r>
    </w:p>
  </w:footnote>
  <w:footnote w:id="4">
    <w:p w:rsidR="009D79FD" w:rsidRPr="006C1576" w:rsidRDefault="009D79FD">
      <w:pPr>
        <w:pStyle w:val="FootnoteText"/>
      </w:pPr>
      <w:r>
        <w:rPr>
          <w:rStyle w:val="FootnoteReference"/>
        </w:rPr>
        <w:footnoteRef/>
      </w:r>
      <w:r>
        <w:t xml:space="preserve"> </w:t>
      </w:r>
      <w:r w:rsidRPr="006C1576">
        <w:rPr>
          <w:i/>
          <w:iCs/>
        </w:rPr>
        <w:t>The Lais of Marie de France</w:t>
      </w:r>
      <w:r>
        <w:rPr>
          <w:i/>
          <w:iCs/>
        </w:rPr>
        <w:t xml:space="preserve"> </w:t>
      </w:r>
      <w:r>
        <w:t>(1999), p. 44.</w:t>
      </w:r>
    </w:p>
  </w:footnote>
  <w:footnote w:id="5">
    <w:p w:rsidR="009D79FD" w:rsidRPr="006C1576" w:rsidRDefault="009D79FD">
      <w:pPr>
        <w:pStyle w:val="FootnoteText"/>
      </w:pPr>
      <w:r>
        <w:rPr>
          <w:rStyle w:val="FootnoteReference"/>
        </w:rPr>
        <w:footnoteRef/>
      </w:r>
      <w:r>
        <w:t xml:space="preserve"> </w:t>
      </w:r>
      <w:r w:rsidRPr="006C1576">
        <w:rPr>
          <w:i/>
          <w:iCs/>
        </w:rPr>
        <w:t>The Lais of Marie de France</w:t>
      </w:r>
      <w:r>
        <w:t xml:space="preserve"> (1999), p. 44.</w:t>
      </w:r>
    </w:p>
  </w:footnote>
  <w:footnote w:id="6">
    <w:p w:rsidR="009D79FD" w:rsidRPr="006C1576" w:rsidRDefault="009D79FD">
      <w:pPr>
        <w:pStyle w:val="FootnoteText"/>
      </w:pPr>
      <w:r>
        <w:rPr>
          <w:rStyle w:val="FootnoteReference"/>
        </w:rPr>
        <w:footnoteRef/>
      </w:r>
      <w:r>
        <w:t xml:space="preserve"> </w:t>
      </w:r>
      <w:r w:rsidRPr="006C1576">
        <w:rPr>
          <w:i/>
          <w:iCs/>
        </w:rPr>
        <w:t>The Lais of Marie de France</w:t>
      </w:r>
      <w:r>
        <w:t xml:space="preserve"> (1999), p. 44.</w:t>
      </w:r>
    </w:p>
  </w:footnote>
  <w:footnote w:id="7">
    <w:p w:rsidR="009D79FD" w:rsidRPr="005A7E5E" w:rsidRDefault="009D79FD">
      <w:pPr>
        <w:pStyle w:val="FootnoteText"/>
      </w:pPr>
      <w:r>
        <w:rPr>
          <w:rStyle w:val="FootnoteReference"/>
        </w:rPr>
        <w:footnoteRef/>
      </w:r>
      <w:r>
        <w:t xml:space="preserve"> </w:t>
      </w:r>
      <w:r w:rsidR="00553693">
        <w:t>‘</w:t>
      </w:r>
      <w:r w:rsidRPr="00553693">
        <w:t xml:space="preserve">E. </w:t>
      </w:r>
      <w:proofErr w:type="spellStart"/>
      <w:r w:rsidRPr="00553693">
        <w:t>Hoepffner</w:t>
      </w:r>
      <w:proofErr w:type="spellEnd"/>
      <w:r w:rsidRPr="00553693">
        <w:t xml:space="preserve">, Les Lais de Marie de France (Paris, 1935); Emanuel J. </w:t>
      </w:r>
      <w:proofErr w:type="spellStart"/>
      <w:r w:rsidRPr="00553693">
        <w:t>Mickel</w:t>
      </w:r>
      <w:proofErr w:type="spellEnd"/>
      <w:r w:rsidRPr="00553693">
        <w:t xml:space="preserve">, Marie de France, </w:t>
      </w:r>
      <w:proofErr w:type="spellStart"/>
      <w:r w:rsidRPr="00553693">
        <w:t>Twayne’s</w:t>
      </w:r>
      <w:proofErr w:type="spellEnd"/>
      <w:r w:rsidRPr="00553693">
        <w:t xml:space="preserve"> World Author Series, 306 (New </w:t>
      </w:r>
      <w:r w:rsidRPr="005A7E5E">
        <w:t xml:space="preserve">York, 1974); </w:t>
      </w:r>
      <w:proofErr w:type="spellStart"/>
      <w:r w:rsidRPr="005A7E5E">
        <w:t>Sienaert</w:t>
      </w:r>
      <w:proofErr w:type="spellEnd"/>
      <w:r w:rsidRPr="005A7E5E">
        <w:t xml:space="preserve">, Les Lais de Marie de France, p. 52; Phillipe </w:t>
      </w:r>
      <w:proofErr w:type="spellStart"/>
      <w:r w:rsidRPr="005A7E5E">
        <w:t>M</w:t>
      </w:r>
      <w:r w:rsidRPr="005A7E5E">
        <w:rPr>
          <w:rFonts w:cstheme="minorHAnsi"/>
        </w:rPr>
        <w:t>é</w:t>
      </w:r>
      <w:r w:rsidRPr="005A7E5E">
        <w:t>nard</w:t>
      </w:r>
      <w:proofErr w:type="spellEnd"/>
      <w:r w:rsidRPr="005A7E5E">
        <w:t>, Les Lais de Marie de France (Paris, 1979), p. 161.</w:t>
      </w:r>
      <w:r w:rsidR="00553693" w:rsidRPr="005A7E5E">
        <w:t xml:space="preserve">’ in </w:t>
      </w:r>
      <w:r w:rsidR="00553693" w:rsidRPr="005A7E5E">
        <w:t xml:space="preserve">Leslie C. Brook, ‘Guigemar and the White Hind’, </w:t>
      </w:r>
      <w:r w:rsidR="00553693" w:rsidRPr="005A7E5E">
        <w:rPr>
          <w:i/>
          <w:iCs/>
        </w:rPr>
        <w:t>Medium Aevum</w:t>
      </w:r>
      <w:r w:rsidR="00553693" w:rsidRPr="005A7E5E">
        <w:t>, 56 (1987), 94.</w:t>
      </w:r>
    </w:p>
  </w:footnote>
  <w:footnote w:id="8">
    <w:p w:rsidR="009D79FD" w:rsidRPr="00333355" w:rsidRDefault="009D79FD">
      <w:pPr>
        <w:pStyle w:val="FootnoteText"/>
        <w:rPr>
          <w:highlight w:val="yellow"/>
        </w:rPr>
      </w:pPr>
      <w:r w:rsidRPr="005A7E5E">
        <w:rPr>
          <w:rStyle w:val="FootnoteReference"/>
        </w:rPr>
        <w:footnoteRef/>
      </w:r>
      <w:r w:rsidRPr="005A7E5E">
        <w:t xml:space="preserve"> </w:t>
      </w:r>
      <w:r w:rsidR="005A7E5E" w:rsidRPr="005A7E5E">
        <w:t xml:space="preserve">Antoinette </w:t>
      </w:r>
      <w:r w:rsidRPr="005A7E5E">
        <w:t xml:space="preserve">Knapton, </w:t>
      </w:r>
      <w:proofErr w:type="spellStart"/>
      <w:r w:rsidRPr="000562AE">
        <w:rPr>
          <w:i/>
          <w:iCs/>
        </w:rPr>
        <w:t>Mythe</w:t>
      </w:r>
      <w:proofErr w:type="spellEnd"/>
      <w:r w:rsidRPr="000562AE">
        <w:rPr>
          <w:i/>
          <w:iCs/>
        </w:rPr>
        <w:t xml:space="preserve"> et </w:t>
      </w:r>
      <w:proofErr w:type="spellStart"/>
      <w:r w:rsidRPr="000562AE">
        <w:rPr>
          <w:i/>
          <w:iCs/>
        </w:rPr>
        <w:t>psychologie</w:t>
      </w:r>
      <w:proofErr w:type="spellEnd"/>
      <w:r w:rsidR="005A7E5E" w:rsidRPr="000562AE">
        <w:rPr>
          <w:i/>
          <w:iCs/>
        </w:rPr>
        <w:t xml:space="preserve"> chez Marie de France dans ‘Guigemar’</w:t>
      </w:r>
      <w:r w:rsidR="005A7E5E" w:rsidRPr="005A7E5E">
        <w:t xml:space="preserve">, North Carolina Studies in the Romance Languages and Literatures, 142 (Chapel Hill, NC, 1975), </w:t>
      </w:r>
      <w:r w:rsidRPr="005A7E5E">
        <w:t>pp. 69 – 73.</w:t>
      </w:r>
      <w:r w:rsidR="00500C36" w:rsidRPr="00500C36">
        <w:t xml:space="preserve"> </w:t>
      </w:r>
      <w:r w:rsidR="00500C36" w:rsidRPr="00500C36">
        <w:t>in Leslie C. Brook, ‘Guigemar and the White Hind’</w:t>
      </w:r>
      <w:r w:rsidR="00500C36">
        <w:t>.</w:t>
      </w:r>
    </w:p>
  </w:footnote>
  <w:footnote w:id="9">
    <w:p w:rsidR="009D79FD" w:rsidRPr="00333355" w:rsidRDefault="009D79FD">
      <w:pPr>
        <w:pStyle w:val="FootnoteText"/>
        <w:rPr>
          <w:highlight w:val="yellow"/>
        </w:rPr>
      </w:pPr>
      <w:r w:rsidRPr="003C79E9">
        <w:rPr>
          <w:rStyle w:val="FootnoteReference"/>
        </w:rPr>
        <w:footnoteRef/>
      </w:r>
      <w:r w:rsidRPr="003C79E9">
        <w:t xml:space="preserve"> </w:t>
      </w:r>
      <w:r w:rsidR="003C79E9" w:rsidRPr="003C79E9">
        <w:t xml:space="preserve">Rupert T. </w:t>
      </w:r>
      <w:r w:rsidRPr="003C79E9">
        <w:t>Pickens, ‘Thematic Structure</w:t>
      </w:r>
      <w:r w:rsidR="003C79E9" w:rsidRPr="003C79E9">
        <w:t xml:space="preserve"> in Marie de France’s Guigemar</w:t>
      </w:r>
      <w:r w:rsidRPr="003C79E9">
        <w:t>’,</w:t>
      </w:r>
      <w:r w:rsidR="003C79E9" w:rsidRPr="003C79E9">
        <w:t xml:space="preserve"> Romania XCV</w:t>
      </w:r>
      <w:r w:rsidRPr="003C79E9">
        <w:t xml:space="preserve"> </w:t>
      </w:r>
      <w:r w:rsidR="003C79E9" w:rsidRPr="003C79E9">
        <w:t xml:space="preserve">(1974) 328-41, </w:t>
      </w:r>
      <w:r w:rsidRPr="003C79E9">
        <w:t>p. 335</w:t>
      </w:r>
      <w:r w:rsidR="003C79E9" w:rsidRPr="003C79E9">
        <w:t>.</w:t>
      </w:r>
      <w:r w:rsidR="00F70089">
        <w:t xml:space="preserve"> in </w:t>
      </w:r>
      <w:r w:rsidR="00F70089" w:rsidRPr="00F70089">
        <w:t>Leslie C. Brook, ‘Guigemar and the White Hind’.</w:t>
      </w:r>
    </w:p>
  </w:footnote>
  <w:footnote w:id="10">
    <w:p w:rsidR="009D79FD" w:rsidRPr="00F70089" w:rsidRDefault="009D79FD">
      <w:pPr>
        <w:pStyle w:val="FootnoteText"/>
      </w:pPr>
      <w:r w:rsidRPr="00F70089">
        <w:rPr>
          <w:rStyle w:val="FootnoteReference"/>
        </w:rPr>
        <w:footnoteRef/>
      </w:r>
      <w:r w:rsidRPr="00F70089">
        <w:t xml:space="preserve"> </w:t>
      </w:r>
      <w:r w:rsidR="00F70089" w:rsidRPr="00F70089">
        <w:t>Rupert T. Pickens, ‘Thematic Structure’, in Leslie C. Brook, ‘Guigemar and the White Hind’.</w:t>
      </w:r>
    </w:p>
  </w:footnote>
  <w:footnote w:id="11">
    <w:p w:rsidR="009D79FD" w:rsidRPr="00F70089" w:rsidRDefault="009D79FD">
      <w:pPr>
        <w:pStyle w:val="FootnoteText"/>
      </w:pPr>
      <w:r w:rsidRPr="00F70089">
        <w:rPr>
          <w:rStyle w:val="FootnoteReference"/>
        </w:rPr>
        <w:footnoteRef/>
      </w:r>
      <w:r w:rsidRPr="00F70089">
        <w:t xml:space="preserve"> Leslie C. Brook, ‘Guigemar and the White Hind’. 95.</w:t>
      </w:r>
    </w:p>
  </w:footnote>
  <w:footnote w:id="12">
    <w:p w:rsidR="009D79FD" w:rsidRPr="00F70089" w:rsidRDefault="009D79FD">
      <w:pPr>
        <w:pStyle w:val="FootnoteText"/>
      </w:pPr>
      <w:r w:rsidRPr="00F70089">
        <w:rPr>
          <w:rStyle w:val="FootnoteReference"/>
        </w:rPr>
        <w:footnoteRef/>
      </w:r>
      <w:r w:rsidRPr="00F70089">
        <w:t xml:space="preserve"> Leslie C. Brook, ‘Guigemar and the White Hind’. </w:t>
      </w:r>
      <w:r w:rsidR="00060C8F" w:rsidRPr="00F70089">
        <w:t>97.</w:t>
      </w:r>
    </w:p>
  </w:footnote>
  <w:footnote w:id="13">
    <w:p w:rsidR="009D79FD" w:rsidRPr="00F70089" w:rsidRDefault="009D79FD">
      <w:pPr>
        <w:pStyle w:val="FootnoteText"/>
      </w:pPr>
      <w:r w:rsidRPr="00F70089">
        <w:rPr>
          <w:rStyle w:val="FootnoteReference"/>
        </w:rPr>
        <w:footnoteRef/>
      </w:r>
      <w:r w:rsidRPr="00F70089">
        <w:t xml:space="preserve"> </w:t>
      </w:r>
      <w:r w:rsidRPr="00F70089">
        <w:rPr>
          <w:i/>
          <w:iCs/>
        </w:rPr>
        <w:t xml:space="preserve">The Lais of Marie de France </w:t>
      </w:r>
      <w:r w:rsidRPr="00F70089">
        <w:t>(1999), p. 62.</w:t>
      </w:r>
    </w:p>
  </w:footnote>
  <w:footnote w:id="14">
    <w:p w:rsidR="009D79FD" w:rsidRPr="00F70089" w:rsidRDefault="009D79FD">
      <w:pPr>
        <w:pStyle w:val="FootnoteText"/>
      </w:pPr>
      <w:r w:rsidRPr="00F70089">
        <w:rPr>
          <w:rStyle w:val="FootnoteReference"/>
        </w:rPr>
        <w:footnoteRef/>
      </w:r>
      <w:r w:rsidRPr="00F70089">
        <w:t xml:space="preserve"> Logan E. Whalen, </w:t>
      </w:r>
      <w:r w:rsidRPr="00F70089">
        <w:rPr>
          <w:i/>
          <w:iCs/>
        </w:rPr>
        <w:t>Marie de France and the Poetics of Memory</w:t>
      </w:r>
      <w:r w:rsidRPr="00F70089">
        <w:t xml:space="preserve"> (Washington DC: Catholic University of America </w:t>
      </w:r>
      <w:r w:rsidRPr="00F70089">
        <w:tab/>
        <w:t>Press, 2008), p. 84.</w:t>
      </w:r>
    </w:p>
  </w:footnote>
  <w:footnote w:id="15">
    <w:p w:rsidR="009D79FD" w:rsidRPr="00F70089" w:rsidRDefault="009D79FD">
      <w:pPr>
        <w:pStyle w:val="FootnoteText"/>
      </w:pPr>
      <w:r w:rsidRPr="00F70089">
        <w:rPr>
          <w:rStyle w:val="FootnoteReference"/>
        </w:rPr>
        <w:footnoteRef/>
      </w:r>
      <w:r w:rsidRPr="00F70089">
        <w:t xml:space="preserve"> </w:t>
      </w:r>
      <w:r w:rsidRPr="00F70089">
        <w:rPr>
          <w:i/>
          <w:iCs/>
        </w:rPr>
        <w:t>Marie de France and the Poetics of Memory</w:t>
      </w:r>
      <w:r w:rsidRPr="00F70089">
        <w:t xml:space="preserve"> p. 84.</w:t>
      </w:r>
    </w:p>
  </w:footnote>
  <w:footnote w:id="16">
    <w:p w:rsidR="009D79FD" w:rsidRDefault="009D79FD">
      <w:pPr>
        <w:pStyle w:val="FootnoteText"/>
      </w:pPr>
      <w:r w:rsidRPr="00F70089">
        <w:rPr>
          <w:rStyle w:val="FootnoteReference"/>
        </w:rPr>
        <w:footnoteRef/>
      </w:r>
      <w:r w:rsidRPr="00F70089">
        <w:t xml:space="preserve"> </w:t>
      </w:r>
      <w:r w:rsidRPr="00F70089">
        <w:rPr>
          <w:i/>
          <w:iCs/>
        </w:rPr>
        <w:t>The Lais of Marie</w:t>
      </w:r>
      <w:r w:rsidRPr="006C1576">
        <w:rPr>
          <w:i/>
          <w:iCs/>
        </w:rPr>
        <w:t xml:space="preserve"> de France</w:t>
      </w:r>
      <w:r>
        <w:rPr>
          <w:i/>
          <w:iCs/>
        </w:rPr>
        <w:t xml:space="preserve"> </w:t>
      </w:r>
      <w:r>
        <w:t>(1999), p. 62.</w:t>
      </w:r>
    </w:p>
  </w:footnote>
  <w:footnote w:id="17">
    <w:p w:rsidR="009D79FD" w:rsidRDefault="009D79FD">
      <w:pPr>
        <w:pStyle w:val="FootnoteText"/>
      </w:pPr>
      <w:r>
        <w:rPr>
          <w:rStyle w:val="FootnoteReference"/>
        </w:rPr>
        <w:footnoteRef/>
      </w:r>
      <w:r>
        <w:rPr>
          <w:i/>
          <w:iCs/>
        </w:rPr>
        <w:t xml:space="preserve"> </w:t>
      </w:r>
      <w:r w:rsidRPr="006C1576">
        <w:rPr>
          <w:i/>
          <w:iCs/>
        </w:rPr>
        <w:t>The Lais of Marie de France</w:t>
      </w:r>
      <w:r>
        <w:rPr>
          <w:i/>
          <w:iCs/>
        </w:rPr>
        <w:t xml:space="preserve"> </w:t>
      </w:r>
      <w:r>
        <w:t>(1999), p. 62.</w:t>
      </w:r>
    </w:p>
  </w:footnote>
  <w:footnote w:id="18">
    <w:p w:rsidR="009D79FD" w:rsidRDefault="009D79FD">
      <w:pPr>
        <w:pStyle w:val="FootnoteText"/>
      </w:pPr>
      <w:r>
        <w:rPr>
          <w:rStyle w:val="FootnoteReference"/>
        </w:rPr>
        <w:footnoteRef/>
      </w:r>
      <w:r>
        <w:t xml:space="preserve"> </w:t>
      </w:r>
      <w:r w:rsidRPr="00333355">
        <w:rPr>
          <w:i/>
          <w:iCs/>
        </w:rPr>
        <w:t>Marie de France and the Poetics of Memory</w:t>
      </w:r>
      <w:r w:rsidRPr="00DA36C6">
        <w:t xml:space="preserve">, </w:t>
      </w:r>
      <w:r>
        <w:t>p. 84.</w:t>
      </w:r>
    </w:p>
  </w:footnote>
  <w:footnote w:id="19">
    <w:p w:rsidR="00BA6978" w:rsidRDefault="00BA6978" w:rsidP="00BA6978">
      <w:pPr>
        <w:pStyle w:val="FootnoteText"/>
      </w:pPr>
      <w:r>
        <w:rPr>
          <w:rStyle w:val="FootnoteReference"/>
        </w:rPr>
        <w:footnoteRef/>
      </w:r>
      <w:r>
        <w:t xml:space="preserve"> </w:t>
      </w:r>
      <w:r w:rsidRPr="00333355">
        <w:rPr>
          <w:i/>
          <w:iCs/>
        </w:rPr>
        <w:t>Marie de France and the Poetics of Memory</w:t>
      </w:r>
      <w:r w:rsidRPr="00DA36C6">
        <w:t xml:space="preserve">, </w:t>
      </w:r>
      <w:r>
        <w:t xml:space="preserve">p. </w:t>
      </w:r>
      <w:r>
        <w:t>2</w:t>
      </w:r>
      <w:r>
        <w:t>.</w:t>
      </w:r>
    </w:p>
  </w:footnote>
  <w:footnote w:id="20">
    <w:p w:rsidR="009D79FD" w:rsidRPr="00DA36C6" w:rsidRDefault="009D79FD">
      <w:pPr>
        <w:pStyle w:val="FootnoteText"/>
      </w:pPr>
      <w:r>
        <w:rPr>
          <w:rStyle w:val="FootnoteReference"/>
        </w:rPr>
        <w:footnoteRef/>
      </w:r>
      <w:r>
        <w:t xml:space="preserve"> </w:t>
      </w:r>
      <w:r w:rsidRPr="00333355">
        <w:rPr>
          <w:i/>
          <w:iCs/>
        </w:rPr>
        <w:t>Marie de France and the Poetics of Memory</w:t>
      </w:r>
      <w:r>
        <w:t xml:space="preserve">, p. 88.   </w:t>
      </w:r>
    </w:p>
  </w:footnote>
  <w:footnote w:id="21">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96.</w:t>
      </w:r>
    </w:p>
  </w:footnote>
  <w:footnote w:id="22">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96.</w:t>
      </w:r>
    </w:p>
  </w:footnote>
  <w:footnote w:id="23">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80.</w:t>
      </w:r>
    </w:p>
  </w:footnote>
  <w:footnote w:id="24">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80.</w:t>
      </w:r>
    </w:p>
  </w:footnote>
  <w:footnote w:id="25">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43.</w:t>
      </w:r>
    </w:p>
  </w:footnote>
  <w:footnote w:id="26">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43.</w:t>
      </w:r>
    </w:p>
  </w:footnote>
  <w:footnote w:id="27">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56.</w:t>
      </w:r>
    </w:p>
  </w:footnote>
  <w:footnote w:id="28">
    <w:p w:rsidR="009D79FD" w:rsidRDefault="009D79FD">
      <w:pPr>
        <w:pStyle w:val="FootnoteText"/>
      </w:pPr>
      <w:r>
        <w:rPr>
          <w:rStyle w:val="FootnoteReference"/>
        </w:rPr>
        <w:footnoteRef/>
      </w:r>
      <w:r>
        <w:t xml:space="preserve"> </w:t>
      </w:r>
      <w:r w:rsidRPr="006C1576">
        <w:rPr>
          <w:i/>
          <w:iCs/>
        </w:rPr>
        <w:t>The Lais of Marie de France</w:t>
      </w:r>
      <w:r>
        <w:rPr>
          <w:i/>
          <w:iCs/>
        </w:rPr>
        <w:t xml:space="preserve"> </w:t>
      </w:r>
      <w:r>
        <w:t>(1999), p. 56.</w:t>
      </w:r>
    </w:p>
  </w:footnote>
  <w:footnote w:id="29">
    <w:p w:rsidR="00567185" w:rsidRDefault="00567185" w:rsidP="00567185">
      <w:pPr>
        <w:pStyle w:val="FootnoteText"/>
      </w:pPr>
      <w:r>
        <w:rPr>
          <w:rStyle w:val="FootnoteReference"/>
        </w:rPr>
        <w:footnoteRef/>
      </w:r>
      <w:r>
        <w:t xml:space="preserve"> </w:t>
      </w:r>
      <w:r w:rsidRPr="00567185">
        <w:rPr>
          <w:i/>
          <w:iCs/>
        </w:rPr>
        <w:t>T</w:t>
      </w:r>
      <w:r w:rsidRPr="00567185">
        <w:rPr>
          <w:i/>
          <w:iCs/>
        </w:rPr>
        <w:t>he Lais</w:t>
      </w:r>
      <w:r w:rsidRPr="006C1576">
        <w:rPr>
          <w:i/>
          <w:iCs/>
        </w:rPr>
        <w:t xml:space="preserve"> of Marie de France</w:t>
      </w:r>
      <w:r>
        <w:rPr>
          <w:i/>
          <w:iCs/>
        </w:rPr>
        <w:t xml:space="preserve"> </w:t>
      </w:r>
      <w:r>
        <w:t xml:space="preserve">(1999), p. </w:t>
      </w:r>
      <w:r>
        <w:t>7</w:t>
      </w:r>
      <w:r>
        <w:t>.</w:t>
      </w:r>
    </w:p>
  </w:footnote>
  <w:footnote w:id="30">
    <w:p w:rsidR="00754F92" w:rsidRDefault="00754F92">
      <w:pPr>
        <w:pStyle w:val="FootnoteText"/>
      </w:pPr>
      <w:r>
        <w:rPr>
          <w:rStyle w:val="FootnoteReference"/>
        </w:rPr>
        <w:footnoteRef/>
      </w:r>
      <w:r>
        <w:t xml:space="preserve"> </w:t>
      </w:r>
      <w:r w:rsidRPr="00567185">
        <w:rPr>
          <w:i/>
          <w:iCs/>
        </w:rPr>
        <w:t>The Lais</w:t>
      </w:r>
      <w:r w:rsidRPr="006C1576">
        <w:rPr>
          <w:i/>
          <w:iCs/>
        </w:rPr>
        <w:t xml:space="preserve"> of Marie de France</w:t>
      </w:r>
      <w:r>
        <w:rPr>
          <w:i/>
          <w:iCs/>
        </w:rPr>
        <w:t xml:space="preserve"> </w:t>
      </w:r>
      <w:r>
        <w:t>(1999), p. 7.</w:t>
      </w:r>
    </w:p>
  </w:footnote>
  <w:footnote w:id="31">
    <w:p w:rsidR="0019644B" w:rsidRDefault="0019644B">
      <w:pPr>
        <w:pStyle w:val="FootnoteText"/>
      </w:pPr>
      <w:r>
        <w:rPr>
          <w:rStyle w:val="FootnoteReference"/>
        </w:rPr>
        <w:footnoteRef/>
      </w:r>
      <w:r>
        <w:t xml:space="preserve"> </w:t>
      </w:r>
      <w:r w:rsidRPr="00567185">
        <w:rPr>
          <w:i/>
          <w:iCs/>
        </w:rPr>
        <w:t>The Lais</w:t>
      </w:r>
      <w:r w:rsidRPr="006C1576">
        <w:rPr>
          <w:i/>
          <w:iCs/>
        </w:rPr>
        <w:t xml:space="preserve"> of Marie de France</w:t>
      </w:r>
      <w:r>
        <w:rPr>
          <w:i/>
          <w:iCs/>
        </w:rPr>
        <w:t xml:space="preserve"> </w:t>
      </w:r>
      <w:r>
        <w:t>(1999), p. 2</w:t>
      </w:r>
      <w:r>
        <w:t>7</w:t>
      </w:r>
      <w:r>
        <w:t>.</w:t>
      </w:r>
    </w:p>
  </w:footnote>
  <w:footnote w:id="32">
    <w:p w:rsidR="00EA45AE" w:rsidRDefault="00EA45AE">
      <w:pPr>
        <w:pStyle w:val="FootnoteText"/>
      </w:pPr>
      <w:r>
        <w:rPr>
          <w:rStyle w:val="FootnoteReference"/>
        </w:rPr>
        <w:footnoteRef/>
      </w:r>
      <w:r>
        <w:t xml:space="preserve"> </w:t>
      </w:r>
      <w:r w:rsidRPr="00567185">
        <w:rPr>
          <w:i/>
          <w:iCs/>
        </w:rPr>
        <w:t>The Lais</w:t>
      </w:r>
      <w:r w:rsidRPr="006C1576">
        <w:rPr>
          <w:i/>
          <w:iCs/>
        </w:rPr>
        <w:t xml:space="preserve"> of Marie de France</w:t>
      </w:r>
      <w:r>
        <w:rPr>
          <w:i/>
          <w:iCs/>
        </w:rPr>
        <w:t xml:space="preserve"> </w:t>
      </w:r>
      <w:r>
        <w:t>(1999), p. 2</w:t>
      </w:r>
      <w:r>
        <w:t>7</w:t>
      </w:r>
      <w:r>
        <w:t>.</w:t>
      </w:r>
    </w:p>
  </w:footnote>
  <w:footnote w:id="33">
    <w:p w:rsidR="00A803F4" w:rsidRDefault="00A803F4">
      <w:pPr>
        <w:pStyle w:val="FootnoteText"/>
      </w:pPr>
      <w:r>
        <w:rPr>
          <w:rStyle w:val="FootnoteReference"/>
        </w:rPr>
        <w:footnoteRef/>
      </w:r>
      <w:r>
        <w:t xml:space="preserve"> </w:t>
      </w:r>
      <w:r w:rsidRPr="00567185">
        <w:rPr>
          <w:i/>
          <w:iCs/>
        </w:rPr>
        <w:t>The Lais</w:t>
      </w:r>
      <w:r w:rsidRPr="006C1576">
        <w:rPr>
          <w:i/>
          <w:iCs/>
        </w:rPr>
        <w:t xml:space="preserve"> of Marie de France</w:t>
      </w:r>
      <w:r>
        <w:rPr>
          <w:i/>
          <w:iCs/>
        </w:rPr>
        <w:t xml:space="preserve"> </w:t>
      </w:r>
      <w:r>
        <w:t>(1999</w:t>
      </w:r>
      <w:r>
        <w:t>), p. 28.</w:t>
      </w:r>
    </w:p>
  </w:footnote>
  <w:footnote w:id="34">
    <w:p w:rsidR="00F43AB7" w:rsidRPr="00F43AB7" w:rsidRDefault="00F43AB7">
      <w:pPr>
        <w:pStyle w:val="FootnoteText"/>
      </w:pPr>
      <w:r>
        <w:rPr>
          <w:rStyle w:val="FootnoteReference"/>
        </w:rPr>
        <w:footnoteRef/>
      </w:r>
      <w:r>
        <w:t xml:space="preserve"> </w:t>
      </w:r>
      <w:r w:rsidRPr="00333355">
        <w:rPr>
          <w:i/>
          <w:iCs/>
        </w:rPr>
        <w:t>Marie de France and the Poetics of Memory</w:t>
      </w:r>
      <w:r>
        <w:t>, p. 8.</w:t>
      </w:r>
    </w:p>
  </w:footnote>
  <w:footnote w:id="35">
    <w:p w:rsidR="00D16A05" w:rsidRDefault="00D16A05">
      <w:pPr>
        <w:pStyle w:val="FootnoteText"/>
      </w:pPr>
      <w:r>
        <w:rPr>
          <w:rStyle w:val="FootnoteReference"/>
        </w:rPr>
        <w:footnoteRef/>
      </w:r>
      <w:r>
        <w:t xml:space="preserve"> </w:t>
      </w:r>
      <w:r w:rsidRPr="006C1576">
        <w:rPr>
          <w:i/>
          <w:iCs/>
        </w:rPr>
        <w:t>The Lais of Marie de France</w:t>
      </w:r>
      <w:r>
        <w:rPr>
          <w:i/>
          <w:iCs/>
        </w:rPr>
        <w:t xml:space="preserve"> </w:t>
      </w:r>
      <w:r>
        <w:t xml:space="preserve">(1999), p. </w:t>
      </w:r>
      <w:r>
        <w:t>25</w:t>
      </w:r>
      <w:r>
        <w:t>.</w:t>
      </w:r>
    </w:p>
  </w:footnote>
  <w:footnote w:id="36">
    <w:p w:rsidR="004C2F64" w:rsidRDefault="004C2F64">
      <w:pPr>
        <w:pStyle w:val="FootnoteText"/>
      </w:pPr>
      <w:r>
        <w:rPr>
          <w:rStyle w:val="FootnoteReference"/>
        </w:rPr>
        <w:footnoteRef/>
      </w:r>
      <w:r>
        <w:t xml:space="preserve"> </w:t>
      </w:r>
      <w:r w:rsidRPr="006C1576">
        <w:rPr>
          <w:i/>
          <w:iCs/>
        </w:rPr>
        <w:t>The Lais of Marie de France</w:t>
      </w:r>
      <w:r>
        <w:rPr>
          <w:i/>
          <w:iCs/>
        </w:rPr>
        <w:t xml:space="preserve"> </w:t>
      </w:r>
      <w:r>
        <w:t>(1999), p. 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0A4"/>
    <w:rsid w:val="00012584"/>
    <w:rsid w:val="00012806"/>
    <w:rsid w:val="00013EF7"/>
    <w:rsid w:val="00032BF8"/>
    <w:rsid w:val="000342A1"/>
    <w:rsid w:val="0004007D"/>
    <w:rsid w:val="0004258B"/>
    <w:rsid w:val="000562AE"/>
    <w:rsid w:val="00057B02"/>
    <w:rsid w:val="00060C8F"/>
    <w:rsid w:val="00060E2F"/>
    <w:rsid w:val="00067927"/>
    <w:rsid w:val="00082BA0"/>
    <w:rsid w:val="000850B3"/>
    <w:rsid w:val="000961C7"/>
    <w:rsid w:val="000A446F"/>
    <w:rsid w:val="000B0523"/>
    <w:rsid w:val="000B5DE5"/>
    <w:rsid w:val="000C322B"/>
    <w:rsid w:val="000C7B14"/>
    <w:rsid w:val="000D2267"/>
    <w:rsid w:val="000D274B"/>
    <w:rsid w:val="000D31E5"/>
    <w:rsid w:val="000D566C"/>
    <w:rsid w:val="001061E9"/>
    <w:rsid w:val="00110DD7"/>
    <w:rsid w:val="00140E24"/>
    <w:rsid w:val="001457AF"/>
    <w:rsid w:val="00167162"/>
    <w:rsid w:val="001717D8"/>
    <w:rsid w:val="00172644"/>
    <w:rsid w:val="00173E80"/>
    <w:rsid w:val="0019644B"/>
    <w:rsid w:val="001B12C4"/>
    <w:rsid w:val="001B22BE"/>
    <w:rsid w:val="001E68D6"/>
    <w:rsid w:val="001E7680"/>
    <w:rsid w:val="00200891"/>
    <w:rsid w:val="00203972"/>
    <w:rsid w:val="00221903"/>
    <w:rsid w:val="00241CF1"/>
    <w:rsid w:val="00243074"/>
    <w:rsid w:val="00243637"/>
    <w:rsid w:val="00245B70"/>
    <w:rsid w:val="00250B7C"/>
    <w:rsid w:val="0025134B"/>
    <w:rsid w:val="00264FCD"/>
    <w:rsid w:val="00292AD6"/>
    <w:rsid w:val="002A3422"/>
    <w:rsid w:val="002A43E9"/>
    <w:rsid w:val="002C3793"/>
    <w:rsid w:val="00333355"/>
    <w:rsid w:val="003368C5"/>
    <w:rsid w:val="00336FD8"/>
    <w:rsid w:val="0033748C"/>
    <w:rsid w:val="00354122"/>
    <w:rsid w:val="0036162E"/>
    <w:rsid w:val="003627B4"/>
    <w:rsid w:val="00364BA3"/>
    <w:rsid w:val="00393539"/>
    <w:rsid w:val="00396E48"/>
    <w:rsid w:val="003A4E57"/>
    <w:rsid w:val="003B17FC"/>
    <w:rsid w:val="003B4875"/>
    <w:rsid w:val="003C721A"/>
    <w:rsid w:val="003C79E9"/>
    <w:rsid w:val="003D11CE"/>
    <w:rsid w:val="003D28E0"/>
    <w:rsid w:val="003D6027"/>
    <w:rsid w:val="003D6C81"/>
    <w:rsid w:val="003E02BA"/>
    <w:rsid w:val="003E3B94"/>
    <w:rsid w:val="00403344"/>
    <w:rsid w:val="00404438"/>
    <w:rsid w:val="00411399"/>
    <w:rsid w:val="004212BA"/>
    <w:rsid w:val="00432B2C"/>
    <w:rsid w:val="00440F06"/>
    <w:rsid w:val="00447291"/>
    <w:rsid w:val="004514D1"/>
    <w:rsid w:val="00452EED"/>
    <w:rsid w:val="00452FA2"/>
    <w:rsid w:val="00474C9A"/>
    <w:rsid w:val="00487742"/>
    <w:rsid w:val="00497A28"/>
    <w:rsid w:val="004A6947"/>
    <w:rsid w:val="004C2F64"/>
    <w:rsid w:val="004D295B"/>
    <w:rsid w:val="004D738F"/>
    <w:rsid w:val="004F4EDF"/>
    <w:rsid w:val="00500C36"/>
    <w:rsid w:val="005013F7"/>
    <w:rsid w:val="005040B7"/>
    <w:rsid w:val="00511BC1"/>
    <w:rsid w:val="00515B24"/>
    <w:rsid w:val="00520546"/>
    <w:rsid w:val="005222B7"/>
    <w:rsid w:val="005457EA"/>
    <w:rsid w:val="005513B2"/>
    <w:rsid w:val="00553693"/>
    <w:rsid w:val="00567185"/>
    <w:rsid w:val="00567E25"/>
    <w:rsid w:val="0058491A"/>
    <w:rsid w:val="0058704B"/>
    <w:rsid w:val="00587A41"/>
    <w:rsid w:val="005965E8"/>
    <w:rsid w:val="005A6E8B"/>
    <w:rsid w:val="005A7E5E"/>
    <w:rsid w:val="005B34B3"/>
    <w:rsid w:val="005B56CA"/>
    <w:rsid w:val="005C17B7"/>
    <w:rsid w:val="005D0956"/>
    <w:rsid w:val="005D2899"/>
    <w:rsid w:val="005D3AB3"/>
    <w:rsid w:val="005F2539"/>
    <w:rsid w:val="006046F1"/>
    <w:rsid w:val="00613FC2"/>
    <w:rsid w:val="0063746E"/>
    <w:rsid w:val="00647430"/>
    <w:rsid w:val="00652452"/>
    <w:rsid w:val="00665BFA"/>
    <w:rsid w:val="00675E11"/>
    <w:rsid w:val="00677514"/>
    <w:rsid w:val="006800B5"/>
    <w:rsid w:val="00686423"/>
    <w:rsid w:val="00692EA0"/>
    <w:rsid w:val="006A3E78"/>
    <w:rsid w:val="006A3F03"/>
    <w:rsid w:val="006C0A5A"/>
    <w:rsid w:val="006C1576"/>
    <w:rsid w:val="006C411E"/>
    <w:rsid w:val="006C4191"/>
    <w:rsid w:val="006F2431"/>
    <w:rsid w:val="00705E37"/>
    <w:rsid w:val="00707C95"/>
    <w:rsid w:val="00714A42"/>
    <w:rsid w:val="00723774"/>
    <w:rsid w:val="007243DA"/>
    <w:rsid w:val="00732237"/>
    <w:rsid w:val="0075014D"/>
    <w:rsid w:val="0075374A"/>
    <w:rsid w:val="00754F88"/>
    <w:rsid w:val="00754F92"/>
    <w:rsid w:val="00757551"/>
    <w:rsid w:val="00760344"/>
    <w:rsid w:val="00773A32"/>
    <w:rsid w:val="00774FE8"/>
    <w:rsid w:val="00783A55"/>
    <w:rsid w:val="00786D98"/>
    <w:rsid w:val="00794E84"/>
    <w:rsid w:val="00796F17"/>
    <w:rsid w:val="00797C54"/>
    <w:rsid w:val="007A7A60"/>
    <w:rsid w:val="007B32A4"/>
    <w:rsid w:val="007D06B9"/>
    <w:rsid w:val="007D0B82"/>
    <w:rsid w:val="007D5E21"/>
    <w:rsid w:val="007F7EF9"/>
    <w:rsid w:val="00827D8E"/>
    <w:rsid w:val="008400A4"/>
    <w:rsid w:val="0084417A"/>
    <w:rsid w:val="00863C07"/>
    <w:rsid w:val="008734B7"/>
    <w:rsid w:val="0087423A"/>
    <w:rsid w:val="00874FB9"/>
    <w:rsid w:val="0089439E"/>
    <w:rsid w:val="008A37FC"/>
    <w:rsid w:val="008A5E14"/>
    <w:rsid w:val="008C01E6"/>
    <w:rsid w:val="008C4DD0"/>
    <w:rsid w:val="008D3BEE"/>
    <w:rsid w:val="008F79DD"/>
    <w:rsid w:val="009122D3"/>
    <w:rsid w:val="0094365B"/>
    <w:rsid w:val="00947D30"/>
    <w:rsid w:val="00965211"/>
    <w:rsid w:val="00970312"/>
    <w:rsid w:val="0097069D"/>
    <w:rsid w:val="00973849"/>
    <w:rsid w:val="00977D9F"/>
    <w:rsid w:val="009B7592"/>
    <w:rsid w:val="009D4889"/>
    <w:rsid w:val="009D79FD"/>
    <w:rsid w:val="009E6D0B"/>
    <w:rsid w:val="00A056EA"/>
    <w:rsid w:val="00A133EA"/>
    <w:rsid w:val="00A16118"/>
    <w:rsid w:val="00A16F57"/>
    <w:rsid w:val="00A233E4"/>
    <w:rsid w:val="00A24B63"/>
    <w:rsid w:val="00A40CFF"/>
    <w:rsid w:val="00A42F0E"/>
    <w:rsid w:val="00A55694"/>
    <w:rsid w:val="00A7686B"/>
    <w:rsid w:val="00A803F4"/>
    <w:rsid w:val="00A83E51"/>
    <w:rsid w:val="00A84BB1"/>
    <w:rsid w:val="00A92661"/>
    <w:rsid w:val="00AA197D"/>
    <w:rsid w:val="00AA503D"/>
    <w:rsid w:val="00AB71AE"/>
    <w:rsid w:val="00AC1DAF"/>
    <w:rsid w:val="00AC5B8A"/>
    <w:rsid w:val="00AE11BA"/>
    <w:rsid w:val="00AE518B"/>
    <w:rsid w:val="00AE5F25"/>
    <w:rsid w:val="00AF7D78"/>
    <w:rsid w:val="00B02BD7"/>
    <w:rsid w:val="00B04A5E"/>
    <w:rsid w:val="00B07318"/>
    <w:rsid w:val="00B21331"/>
    <w:rsid w:val="00B42D32"/>
    <w:rsid w:val="00B43F0A"/>
    <w:rsid w:val="00B5025C"/>
    <w:rsid w:val="00B548DA"/>
    <w:rsid w:val="00B5557B"/>
    <w:rsid w:val="00B75200"/>
    <w:rsid w:val="00B82624"/>
    <w:rsid w:val="00B84058"/>
    <w:rsid w:val="00B8665C"/>
    <w:rsid w:val="00B95301"/>
    <w:rsid w:val="00BA6978"/>
    <w:rsid w:val="00BB1A09"/>
    <w:rsid w:val="00BB2258"/>
    <w:rsid w:val="00BB7491"/>
    <w:rsid w:val="00BD1AA7"/>
    <w:rsid w:val="00C0230D"/>
    <w:rsid w:val="00C06E05"/>
    <w:rsid w:val="00C107F1"/>
    <w:rsid w:val="00C33889"/>
    <w:rsid w:val="00C42F7E"/>
    <w:rsid w:val="00C469D1"/>
    <w:rsid w:val="00C46AC4"/>
    <w:rsid w:val="00C56305"/>
    <w:rsid w:val="00C57025"/>
    <w:rsid w:val="00C6680B"/>
    <w:rsid w:val="00C7779B"/>
    <w:rsid w:val="00C80751"/>
    <w:rsid w:val="00C84085"/>
    <w:rsid w:val="00CA7087"/>
    <w:rsid w:val="00CB4063"/>
    <w:rsid w:val="00CB467B"/>
    <w:rsid w:val="00CC34C8"/>
    <w:rsid w:val="00CC5344"/>
    <w:rsid w:val="00CD4311"/>
    <w:rsid w:val="00CD4AE2"/>
    <w:rsid w:val="00CE398D"/>
    <w:rsid w:val="00CE69E6"/>
    <w:rsid w:val="00D01898"/>
    <w:rsid w:val="00D16A05"/>
    <w:rsid w:val="00D35A05"/>
    <w:rsid w:val="00D40162"/>
    <w:rsid w:val="00D47BD2"/>
    <w:rsid w:val="00D53F3C"/>
    <w:rsid w:val="00D541AC"/>
    <w:rsid w:val="00D631F3"/>
    <w:rsid w:val="00D66BF2"/>
    <w:rsid w:val="00D676B2"/>
    <w:rsid w:val="00D7561D"/>
    <w:rsid w:val="00D83F65"/>
    <w:rsid w:val="00DA0101"/>
    <w:rsid w:val="00DA257B"/>
    <w:rsid w:val="00DA36C6"/>
    <w:rsid w:val="00DA52AA"/>
    <w:rsid w:val="00DA6695"/>
    <w:rsid w:val="00DB55C2"/>
    <w:rsid w:val="00DC3F07"/>
    <w:rsid w:val="00DC660A"/>
    <w:rsid w:val="00DC660E"/>
    <w:rsid w:val="00DE6A32"/>
    <w:rsid w:val="00DF1651"/>
    <w:rsid w:val="00E02F30"/>
    <w:rsid w:val="00E17BDD"/>
    <w:rsid w:val="00E266D0"/>
    <w:rsid w:val="00E27A3B"/>
    <w:rsid w:val="00E3065C"/>
    <w:rsid w:val="00E415C6"/>
    <w:rsid w:val="00E41C7C"/>
    <w:rsid w:val="00E46744"/>
    <w:rsid w:val="00E50E7F"/>
    <w:rsid w:val="00E52649"/>
    <w:rsid w:val="00E66D78"/>
    <w:rsid w:val="00E72DDC"/>
    <w:rsid w:val="00E74362"/>
    <w:rsid w:val="00E80D16"/>
    <w:rsid w:val="00E91040"/>
    <w:rsid w:val="00EA00CA"/>
    <w:rsid w:val="00EA45AE"/>
    <w:rsid w:val="00EA59D7"/>
    <w:rsid w:val="00EB2C2E"/>
    <w:rsid w:val="00EB3F34"/>
    <w:rsid w:val="00EB75CC"/>
    <w:rsid w:val="00EB771B"/>
    <w:rsid w:val="00EC3B45"/>
    <w:rsid w:val="00ED1157"/>
    <w:rsid w:val="00ED2AC2"/>
    <w:rsid w:val="00EE2569"/>
    <w:rsid w:val="00F15CE5"/>
    <w:rsid w:val="00F21548"/>
    <w:rsid w:val="00F26976"/>
    <w:rsid w:val="00F36A89"/>
    <w:rsid w:val="00F40D34"/>
    <w:rsid w:val="00F42EDF"/>
    <w:rsid w:val="00F43AB7"/>
    <w:rsid w:val="00F6042B"/>
    <w:rsid w:val="00F60C70"/>
    <w:rsid w:val="00F663C3"/>
    <w:rsid w:val="00F70089"/>
    <w:rsid w:val="00F8173B"/>
    <w:rsid w:val="00FB0460"/>
    <w:rsid w:val="00FB6CDB"/>
    <w:rsid w:val="00FD56C5"/>
    <w:rsid w:val="00FD5FB1"/>
    <w:rsid w:val="00FE046B"/>
    <w:rsid w:val="00FE150F"/>
    <w:rsid w:val="00FF6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D5A97"/>
  <w15:chartTrackingRefBased/>
  <w15:docId w15:val="{15A7B1DA-005E-4302-8714-34616222D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400A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C7B14"/>
    <w:pPr>
      <w:spacing w:after="0" w:line="240" w:lineRule="auto"/>
    </w:pPr>
    <w:rPr>
      <w:sz w:val="20"/>
      <w:szCs w:val="20"/>
    </w:rPr>
  </w:style>
  <w:style w:type="character" w:customStyle="1" w:styleId="FootnoteTextChar">
    <w:name w:val="Footnote Text Char"/>
    <w:basedOn w:val="DefaultParagraphFont"/>
    <w:link w:val="FootnoteText"/>
    <w:uiPriority w:val="99"/>
    <w:rsid w:val="000C7B14"/>
    <w:rPr>
      <w:sz w:val="20"/>
      <w:szCs w:val="20"/>
    </w:rPr>
  </w:style>
  <w:style w:type="character" w:styleId="FootnoteReference">
    <w:name w:val="footnote reference"/>
    <w:basedOn w:val="DefaultParagraphFont"/>
    <w:uiPriority w:val="99"/>
    <w:semiHidden/>
    <w:unhideWhenUsed/>
    <w:rsid w:val="000C7B1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64A84-93BC-497D-80AB-22D069EB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1776</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dc:creator>
  <cp:keywords/>
  <dc:description/>
  <cp:lastModifiedBy>Saskia Klopper</cp:lastModifiedBy>
  <cp:revision>2</cp:revision>
  <dcterms:created xsi:type="dcterms:W3CDTF">2019-10-04T22:15:00Z</dcterms:created>
  <dcterms:modified xsi:type="dcterms:W3CDTF">2019-10-04T22:15:00Z</dcterms:modified>
</cp:coreProperties>
</file>