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E47F38" w14:textId="77777777" w:rsidR="00B50E94" w:rsidRPr="003C51F2" w:rsidRDefault="00B50E94" w:rsidP="006511EC">
      <w:pPr>
        <w:spacing w:line="480" w:lineRule="auto"/>
        <w:rPr>
          <w:rFonts w:ascii="Times New Roman" w:hAnsi="Times New Roman" w:cs="Times New Roman"/>
          <w:sz w:val="24"/>
          <w:szCs w:val="24"/>
        </w:rPr>
      </w:pPr>
    </w:p>
    <w:p w14:paraId="33F14A68" w14:textId="77777777" w:rsidR="006511EC" w:rsidRPr="003C51F2" w:rsidRDefault="006511EC" w:rsidP="006511EC">
      <w:pPr>
        <w:spacing w:line="480" w:lineRule="auto"/>
        <w:rPr>
          <w:rFonts w:ascii="Times New Roman" w:hAnsi="Times New Roman" w:cs="Times New Roman"/>
          <w:sz w:val="24"/>
          <w:szCs w:val="24"/>
        </w:rPr>
      </w:pPr>
    </w:p>
    <w:p w14:paraId="4AC04110" w14:textId="77777777" w:rsidR="006511EC" w:rsidRPr="00AA0546" w:rsidRDefault="006511EC" w:rsidP="00AA0546">
      <w:pPr>
        <w:spacing w:line="360" w:lineRule="auto"/>
        <w:jc w:val="both"/>
        <w:rPr>
          <w:rFonts w:ascii="Arial" w:hAnsi="Arial" w:cs="Arial"/>
          <w:sz w:val="24"/>
          <w:szCs w:val="24"/>
        </w:rPr>
      </w:pPr>
    </w:p>
    <w:p w14:paraId="4C8CCF04" w14:textId="77777777" w:rsidR="006511EC"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HOTEL HANDBOOK</w:t>
      </w:r>
    </w:p>
    <w:p w14:paraId="50EE9BE0" w14:textId="77777777" w:rsidR="006511EC" w:rsidRPr="00F519EF" w:rsidRDefault="006511EC" w:rsidP="00F519EF">
      <w:pPr>
        <w:spacing w:line="360" w:lineRule="auto"/>
        <w:jc w:val="both"/>
        <w:rPr>
          <w:rFonts w:ascii="Arial" w:hAnsi="Arial" w:cs="Arial"/>
          <w:sz w:val="24"/>
          <w:szCs w:val="24"/>
        </w:rPr>
      </w:pPr>
    </w:p>
    <w:p w14:paraId="6BDF6181" w14:textId="4B319258" w:rsidR="006511EC" w:rsidRPr="00F519EF" w:rsidRDefault="006511EC" w:rsidP="00F519EF">
      <w:pPr>
        <w:spacing w:line="360" w:lineRule="auto"/>
        <w:jc w:val="both"/>
        <w:rPr>
          <w:rFonts w:ascii="Arial" w:hAnsi="Arial" w:cs="Arial"/>
          <w:sz w:val="24"/>
          <w:szCs w:val="24"/>
        </w:rPr>
      </w:pPr>
    </w:p>
    <w:p w14:paraId="73AC8985" w14:textId="1614554C" w:rsidR="006511EC" w:rsidRPr="00F519EF" w:rsidRDefault="00CA49B6" w:rsidP="00F519EF">
      <w:pPr>
        <w:spacing w:line="360" w:lineRule="auto"/>
        <w:jc w:val="both"/>
        <w:rPr>
          <w:rFonts w:ascii="Arial" w:hAnsi="Arial" w:cs="Arial"/>
          <w:sz w:val="24"/>
          <w:szCs w:val="24"/>
        </w:rPr>
      </w:pPr>
      <w:r w:rsidRPr="00F519EF">
        <w:rPr>
          <w:rFonts w:ascii="Arial" w:hAnsi="Arial" w:cs="Arial"/>
          <w:sz w:val="24"/>
          <w:szCs w:val="24"/>
        </w:rPr>
        <w:t>Student name: Iulia – Denis Cristea</w:t>
      </w:r>
    </w:p>
    <w:p w14:paraId="2518F3F7" w14:textId="68D98ABC" w:rsidR="00CA49B6" w:rsidRPr="00F519EF" w:rsidRDefault="00CA49B6" w:rsidP="00F519EF">
      <w:pPr>
        <w:spacing w:line="360" w:lineRule="auto"/>
        <w:jc w:val="both"/>
        <w:rPr>
          <w:rFonts w:ascii="Arial" w:hAnsi="Arial" w:cs="Arial"/>
          <w:sz w:val="24"/>
          <w:szCs w:val="24"/>
        </w:rPr>
      </w:pPr>
      <w:r w:rsidRPr="00F519EF">
        <w:rPr>
          <w:rFonts w:ascii="Arial" w:hAnsi="Arial" w:cs="Arial"/>
          <w:sz w:val="24"/>
          <w:szCs w:val="24"/>
        </w:rPr>
        <w:t>Student ID: 2119917</w:t>
      </w:r>
    </w:p>
    <w:p w14:paraId="7CAC3F49" w14:textId="6B1FCC79" w:rsidR="00CA49B6" w:rsidRPr="00F519EF" w:rsidRDefault="00CA49B6" w:rsidP="00F519EF">
      <w:pPr>
        <w:spacing w:line="360" w:lineRule="auto"/>
        <w:jc w:val="both"/>
        <w:rPr>
          <w:rFonts w:ascii="Arial" w:hAnsi="Arial" w:cs="Arial"/>
          <w:sz w:val="24"/>
          <w:szCs w:val="24"/>
        </w:rPr>
      </w:pPr>
      <w:r w:rsidRPr="00F519EF">
        <w:rPr>
          <w:rFonts w:ascii="Arial" w:hAnsi="Arial" w:cs="Arial"/>
          <w:sz w:val="24"/>
          <w:szCs w:val="24"/>
        </w:rPr>
        <w:t>Module: BMIH5003</w:t>
      </w:r>
    </w:p>
    <w:p w14:paraId="3DF42283" w14:textId="2630BFB6" w:rsidR="00CA49B6" w:rsidRPr="00F519EF" w:rsidRDefault="00CA49B6" w:rsidP="00F519EF">
      <w:pPr>
        <w:spacing w:line="360" w:lineRule="auto"/>
        <w:jc w:val="both"/>
        <w:rPr>
          <w:rFonts w:ascii="Arial" w:hAnsi="Arial" w:cs="Arial"/>
          <w:sz w:val="24"/>
          <w:szCs w:val="24"/>
        </w:rPr>
      </w:pPr>
      <w:r w:rsidRPr="00F519EF">
        <w:rPr>
          <w:rFonts w:ascii="Arial" w:hAnsi="Arial" w:cs="Arial"/>
          <w:sz w:val="24"/>
          <w:szCs w:val="24"/>
        </w:rPr>
        <w:t>Module Tutor: Rodrigo Fernandes Aguilera</w:t>
      </w:r>
    </w:p>
    <w:p w14:paraId="3D24B6AB" w14:textId="77777777" w:rsidR="006511EC" w:rsidRPr="00F519EF" w:rsidRDefault="006511EC" w:rsidP="00F519EF">
      <w:pPr>
        <w:spacing w:line="360" w:lineRule="auto"/>
        <w:jc w:val="both"/>
        <w:rPr>
          <w:rFonts w:ascii="Arial" w:hAnsi="Arial" w:cs="Arial"/>
          <w:sz w:val="24"/>
          <w:szCs w:val="24"/>
        </w:rPr>
      </w:pPr>
    </w:p>
    <w:p w14:paraId="448081A2" w14:textId="47C80F63" w:rsidR="006511EC" w:rsidRPr="00F519EF" w:rsidRDefault="006511EC" w:rsidP="00F519EF">
      <w:pPr>
        <w:spacing w:line="360" w:lineRule="auto"/>
        <w:jc w:val="both"/>
        <w:rPr>
          <w:rFonts w:ascii="Arial" w:hAnsi="Arial" w:cs="Arial"/>
          <w:sz w:val="24"/>
          <w:szCs w:val="24"/>
        </w:rPr>
      </w:pPr>
    </w:p>
    <w:p w14:paraId="61032580" w14:textId="50C285DA" w:rsidR="00C552BC" w:rsidRPr="00F519EF" w:rsidRDefault="00C552BC" w:rsidP="00F519EF">
      <w:pPr>
        <w:spacing w:line="360" w:lineRule="auto"/>
        <w:jc w:val="both"/>
        <w:rPr>
          <w:rFonts w:ascii="Arial" w:hAnsi="Arial" w:cs="Arial"/>
          <w:sz w:val="24"/>
          <w:szCs w:val="24"/>
        </w:rPr>
      </w:pPr>
    </w:p>
    <w:p w14:paraId="5195DAAE" w14:textId="7CF320EB" w:rsidR="00C552BC" w:rsidRPr="00F519EF" w:rsidRDefault="00C552BC" w:rsidP="00F519EF">
      <w:pPr>
        <w:spacing w:line="360" w:lineRule="auto"/>
        <w:jc w:val="both"/>
        <w:rPr>
          <w:rFonts w:ascii="Arial" w:hAnsi="Arial" w:cs="Arial"/>
          <w:sz w:val="24"/>
          <w:szCs w:val="24"/>
        </w:rPr>
      </w:pPr>
    </w:p>
    <w:p w14:paraId="1642E42A" w14:textId="1F37DE6D" w:rsidR="00C552BC" w:rsidRPr="00F519EF" w:rsidRDefault="00C552BC" w:rsidP="00F519EF">
      <w:pPr>
        <w:spacing w:line="360" w:lineRule="auto"/>
        <w:jc w:val="both"/>
        <w:rPr>
          <w:rFonts w:ascii="Arial" w:hAnsi="Arial" w:cs="Arial"/>
          <w:sz w:val="24"/>
          <w:szCs w:val="24"/>
        </w:rPr>
      </w:pPr>
    </w:p>
    <w:p w14:paraId="3D5CB3CB" w14:textId="286A556E" w:rsidR="00C552BC" w:rsidRPr="00F519EF" w:rsidRDefault="00C552BC" w:rsidP="00F519EF">
      <w:pPr>
        <w:spacing w:line="360" w:lineRule="auto"/>
        <w:jc w:val="both"/>
        <w:rPr>
          <w:rFonts w:ascii="Arial" w:hAnsi="Arial" w:cs="Arial"/>
          <w:sz w:val="24"/>
          <w:szCs w:val="24"/>
        </w:rPr>
      </w:pPr>
    </w:p>
    <w:p w14:paraId="125C18E8" w14:textId="72343BBE" w:rsidR="00C552BC" w:rsidRPr="00F519EF" w:rsidRDefault="00C552BC" w:rsidP="00F519EF">
      <w:pPr>
        <w:spacing w:line="360" w:lineRule="auto"/>
        <w:jc w:val="both"/>
        <w:rPr>
          <w:rFonts w:ascii="Arial" w:hAnsi="Arial" w:cs="Arial"/>
          <w:sz w:val="24"/>
          <w:szCs w:val="24"/>
        </w:rPr>
      </w:pPr>
    </w:p>
    <w:p w14:paraId="58E4E275" w14:textId="5FD074D9" w:rsidR="00C552BC" w:rsidRPr="00F519EF" w:rsidRDefault="00C552BC" w:rsidP="00F519EF">
      <w:pPr>
        <w:spacing w:line="360" w:lineRule="auto"/>
        <w:jc w:val="both"/>
        <w:rPr>
          <w:rFonts w:ascii="Arial" w:hAnsi="Arial" w:cs="Arial"/>
          <w:sz w:val="24"/>
          <w:szCs w:val="24"/>
        </w:rPr>
      </w:pPr>
    </w:p>
    <w:p w14:paraId="3A7230F0" w14:textId="77777777" w:rsidR="00C552BC" w:rsidRPr="00F519EF" w:rsidRDefault="00C552BC" w:rsidP="00F519EF">
      <w:pPr>
        <w:spacing w:line="360" w:lineRule="auto"/>
        <w:jc w:val="both"/>
        <w:rPr>
          <w:rFonts w:ascii="Arial" w:hAnsi="Arial" w:cs="Arial"/>
          <w:sz w:val="24"/>
          <w:szCs w:val="24"/>
        </w:rPr>
      </w:pPr>
    </w:p>
    <w:p w14:paraId="3A972A59" w14:textId="65E6B920" w:rsidR="00C552BC" w:rsidRPr="00F519EF" w:rsidRDefault="00C552BC" w:rsidP="00F519EF">
      <w:pPr>
        <w:spacing w:line="360" w:lineRule="auto"/>
        <w:jc w:val="both"/>
        <w:rPr>
          <w:rFonts w:ascii="Arial" w:hAnsi="Arial" w:cs="Arial"/>
          <w:sz w:val="24"/>
          <w:szCs w:val="24"/>
        </w:rPr>
      </w:pPr>
    </w:p>
    <w:p w14:paraId="5F58DF7C" w14:textId="77777777" w:rsidR="00AA0546" w:rsidRPr="00F519EF" w:rsidRDefault="00AA0546" w:rsidP="00F519EF">
      <w:pPr>
        <w:spacing w:line="360" w:lineRule="auto"/>
        <w:jc w:val="both"/>
        <w:rPr>
          <w:rFonts w:ascii="Arial" w:hAnsi="Arial" w:cs="Arial"/>
          <w:sz w:val="24"/>
          <w:szCs w:val="24"/>
        </w:rPr>
      </w:pPr>
    </w:p>
    <w:p w14:paraId="5F8F379A" w14:textId="49CC3842" w:rsidR="006511EC"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lastRenderedPageBreak/>
        <w:t xml:space="preserve">Executive Summary </w:t>
      </w:r>
    </w:p>
    <w:p w14:paraId="145506FC" w14:textId="0B89B60F" w:rsidR="00524DE0"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The imperativeness of culture cannot be ignored in the hospitality sector due to the critical services that customers seek. People from different cultural groups use their cultures to construct meanings and judge the actions of others. The handbook presents some of the </w:t>
      </w:r>
      <w:r w:rsidR="00FD5F44" w:rsidRPr="00F519EF">
        <w:rPr>
          <w:rFonts w:ascii="Arial" w:hAnsi="Arial" w:cs="Arial"/>
          <w:sz w:val="24"/>
          <w:szCs w:val="24"/>
        </w:rPr>
        <w:t xml:space="preserve">practices that hotel staff should adopt. At the same time, it shares some practices they should avoid when delivering services. The two selected cultural groups are the English and Chinese. </w:t>
      </w:r>
      <w:r w:rsidR="001B04C7" w:rsidRPr="00F519EF">
        <w:rPr>
          <w:rFonts w:ascii="Arial" w:hAnsi="Arial" w:cs="Arial"/>
          <w:sz w:val="24"/>
          <w:szCs w:val="24"/>
        </w:rPr>
        <w:t xml:space="preserve">Chinese and English have different cultures, making them </w:t>
      </w:r>
      <w:r w:rsidR="000D2C77" w:rsidRPr="00F519EF">
        <w:rPr>
          <w:rFonts w:ascii="Arial" w:hAnsi="Arial" w:cs="Arial"/>
          <w:sz w:val="24"/>
          <w:szCs w:val="24"/>
        </w:rPr>
        <w:t xml:space="preserve">suitable for the handbook. </w:t>
      </w:r>
      <w:r w:rsidR="00E65F05" w:rsidRPr="00F519EF">
        <w:rPr>
          <w:rFonts w:ascii="Arial" w:hAnsi="Arial" w:cs="Arial"/>
          <w:sz w:val="24"/>
          <w:szCs w:val="24"/>
        </w:rPr>
        <w:t>Hofstede’s cultural dimensions have been used to analyse the two cultures</w:t>
      </w:r>
      <w:r w:rsidR="00324AAB" w:rsidRPr="00F519EF">
        <w:rPr>
          <w:rFonts w:ascii="Arial" w:hAnsi="Arial" w:cs="Arial"/>
          <w:sz w:val="24"/>
          <w:szCs w:val="24"/>
        </w:rPr>
        <w:t xml:space="preserve">. </w:t>
      </w:r>
      <w:r w:rsidR="004B52B7" w:rsidRPr="00F519EF">
        <w:rPr>
          <w:rFonts w:ascii="Arial" w:hAnsi="Arial" w:cs="Arial"/>
          <w:sz w:val="24"/>
          <w:szCs w:val="24"/>
        </w:rPr>
        <w:t xml:space="preserve">Based on the analysis, some of the cultures that UK customers embrace are disregarded by the Chinese. </w:t>
      </w:r>
      <w:r w:rsidR="00C93A3F" w:rsidRPr="00F519EF">
        <w:rPr>
          <w:rFonts w:ascii="Arial" w:hAnsi="Arial" w:cs="Arial"/>
          <w:sz w:val="24"/>
          <w:szCs w:val="24"/>
        </w:rPr>
        <w:t>Maintaining a direct eye contact and body contact are embraced by UK customers but disregarded by Chinese customers. Chinese customers value their personal space but UK customers can be comfortable when service providers get close for a handshake or conversation.</w:t>
      </w:r>
      <w:r w:rsidR="00324AAB" w:rsidRPr="00F519EF">
        <w:rPr>
          <w:rFonts w:ascii="Arial" w:hAnsi="Arial" w:cs="Arial"/>
          <w:sz w:val="24"/>
          <w:szCs w:val="24"/>
        </w:rPr>
        <w:t xml:space="preserve"> Staff members are advised to differentiate between cultural groups and learn how to treat people from each </w:t>
      </w:r>
      <w:r w:rsidR="002448A0" w:rsidRPr="00F519EF">
        <w:rPr>
          <w:rFonts w:ascii="Arial" w:hAnsi="Arial" w:cs="Arial"/>
          <w:sz w:val="24"/>
          <w:szCs w:val="24"/>
        </w:rPr>
        <w:t>group</w:t>
      </w:r>
      <w:r w:rsidR="00324AAB" w:rsidRPr="00F519EF">
        <w:rPr>
          <w:rFonts w:ascii="Arial" w:hAnsi="Arial" w:cs="Arial"/>
          <w:sz w:val="24"/>
          <w:szCs w:val="24"/>
        </w:rPr>
        <w:t xml:space="preserve">. </w:t>
      </w:r>
    </w:p>
    <w:p w14:paraId="1CF9A493" w14:textId="77777777" w:rsidR="00EA0FDC" w:rsidRPr="00F519EF" w:rsidRDefault="00EA0FDC" w:rsidP="00F519EF">
      <w:pPr>
        <w:spacing w:line="360" w:lineRule="auto"/>
        <w:jc w:val="both"/>
        <w:rPr>
          <w:rFonts w:ascii="Arial" w:hAnsi="Arial" w:cs="Arial"/>
          <w:sz w:val="24"/>
          <w:szCs w:val="24"/>
        </w:rPr>
      </w:pPr>
    </w:p>
    <w:p w14:paraId="302B69A1" w14:textId="77777777" w:rsidR="00EA0FDC" w:rsidRPr="00F519EF" w:rsidRDefault="00EA0FDC" w:rsidP="00F519EF">
      <w:pPr>
        <w:spacing w:line="360" w:lineRule="auto"/>
        <w:jc w:val="both"/>
        <w:rPr>
          <w:rFonts w:ascii="Arial" w:hAnsi="Arial" w:cs="Arial"/>
          <w:sz w:val="24"/>
          <w:szCs w:val="24"/>
        </w:rPr>
      </w:pPr>
    </w:p>
    <w:p w14:paraId="0C80113F" w14:textId="77777777" w:rsidR="00EA0FDC" w:rsidRPr="00F519EF" w:rsidRDefault="00EA0FDC" w:rsidP="00F519EF">
      <w:pPr>
        <w:spacing w:line="360" w:lineRule="auto"/>
        <w:jc w:val="both"/>
        <w:rPr>
          <w:rFonts w:ascii="Arial" w:hAnsi="Arial" w:cs="Arial"/>
          <w:sz w:val="24"/>
          <w:szCs w:val="24"/>
        </w:rPr>
      </w:pPr>
    </w:p>
    <w:p w14:paraId="28224381" w14:textId="77777777" w:rsidR="00EA0FDC" w:rsidRPr="00F519EF" w:rsidRDefault="00EA0FDC" w:rsidP="00F519EF">
      <w:pPr>
        <w:spacing w:line="360" w:lineRule="auto"/>
        <w:jc w:val="both"/>
        <w:rPr>
          <w:rFonts w:ascii="Arial" w:hAnsi="Arial" w:cs="Arial"/>
          <w:sz w:val="24"/>
          <w:szCs w:val="24"/>
        </w:rPr>
      </w:pPr>
    </w:p>
    <w:p w14:paraId="45846662" w14:textId="77777777" w:rsidR="00EA0FDC" w:rsidRPr="00F519EF" w:rsidRDefault="00EA0FDC" w:rsidP="00F519EF">
      <w:pPr>
        <w:spacing w:line="360" w:lineRule="auto"/>
        <w:jc w:val="both"/>
        <w:rPr>
          <w:rFonts w:ascii="Arial" w:hAnsi="Arial" w:cs="Arial"/>
          <w:sz w:val="24"/>
          <w:szCs w:val="24"/>
        </w:rPr>
      </w:pPr>
    </w:p>
    <w:p w14:paraId="6D132191" w14:textId="77777777" w:rsidR="00CE6902" w:rsidRPr="00F519EF" w:rsidRDefault="00CE6902" w:rsidP="00F519EF">
      <w:pPr>
        <w:spacing w:line="360" w:lineRule="auto"/>
        <w:jc w:val="both"/>
        <w:rPr>
          <w:rFonts w:ascii="Arial" w:hAnsi="Arial" w:cs="Arial"/>
          <w:sz w:val="24"/>
          <w:szCs w:val="24"/>
        </w:rPr>
      </w:pPr>
    </w:p>
    <w:p w14:paraId="11FBAE71" w14:textId="77777777" w:rsidR="00CE6902" w:rsidRPr="00F519EF" w:rsidRDefault="00CE6902" w:rsidP="00F519EF">
      <w:pPr>
        <w:spacing w:line="360" w:lineRule="auto"/>
        <w:jc w:val="both"/>
        <w:rPr>
          <w:rFonts w:ascii="Arial" w:hAnsi="Arial" w:cs="Arial"/>
          <w:sz w:val="24"/>
          <w:szCs w:val="24"/>
        </w:rPr>
      </w:pPr>
    </w:p>
    <w:p w14:paraId="7F5FD4C7" w14:textId="77777777" w:rsidR="00CE6902" w:rsidRPr="00F519EF" w:rsidRDefault="00CE6902" w:rsidP="00F519EF">
      <w:pPr>
        <w:spacing w:line="360" w:lineRule="auto"/>
        <w:jc w:val="both"/>
        <w:rPr>
          <w:rFonts w:ascii="Arial" w:hAnsi="Arial" w:cs="Arial"/>
          <w:sz w:val="24"/>
          <w:szCs w:val="24"/>
        </w:rPr>
      </w:pPr>
    </w:p>
    <w:p w14:paraId="3991A958" w14:textId="241A57E2" w:rsidR="00C552BC" w:rsidRPr="00F519EF" w:rsidRDefault="00C552BC" w:rsidP="00F519EF">
      <w:pPr>
        <w:spacing w:line="360" w:lineRule="auto"/>
        <w:jc w:val="both"/>
        <w:rPr>
          <w:rFonts w:ascii="Arial" w:hAnsi="Arial" w:cs="Arial"/>
          <w:sz w:val="24"/>
          <w:szCs w:val="24"/>
        </w:rPr>
      </w:pPr>
    </w:p>
    <w:p w14:paraId="21AA42D5" w14:textId="77777777" w:rsidR="00C552BC" w:rsidRPr="00F519EF" w:rsidRDefault="00C552BC" w:rsidP="00F519EF">
      <w:pPr>
        <w:spacing w:line="360" w:lineRule="auto"/>
        <w:jc w:val="both"/>
        <w:rPr>
          <w:rFonts w:ascii="Arial" w:hAnsi="Arial" w:cs="Arial"/>
          <w:sz w:val="24"/>
          <w:szCs w:val="24"/>
        </w:rPr>
      </w:pPr>
    </w:p>
    <w:p w14:paraId="51313A8F" w14:textId="77777777" w:rsidR="006511EC"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Content List </w:t>
      </w:r>
    </w:p>
    <w:p w14:paraId="68A06D91" w14:textId="77777777" w:rsidR="0041464A" w:rsidRPr="00F519EF" w:rsidRDefault="0041464A" w:rsidP="00F519EF">
      <w:pPr>
        <w:pStyle w:val="TOC1"/>
        <w:tabs>
          <w:tab w:val="right" w:leader="dot" w:pos="9350"/>
        </w:tabs>
        <w:spacing w:line="360" w:lineRule="auto"/>
        <w:jc w:val="both"/>
        <w:rPr>
          <w:rFonts w:ascii="Arial" w:hAnsi="Arial" w:cs="Arial"/>
          <w:noProof/>
          <w:sz w:val="24"/>
          <w:szCs w:val="24"/>
        </w:rPr>
      </w:pPr>
      <w:r w:rsidRPr="00F519EF">
        <w:rPr>
          <w:rFonts w:ascii="Arial" w:hAnsi="Arial" w:cs="Arial"/>
          <w:sz w:val="24"/>
          <w:szCs w:val="24"/>
        </w:rPr>
        <w:lastRenderedPageBreak/>
        <w:fldChar w:fldCharType="begin"/>
      </w:r>
      <w:r w:rsidRPr="00F519EF">
        <w:rPr>
          <w:rFonts w:ascii="Arial" w:hAnsi="Arial" w:cs="Arial"/>
          <w:sz w:val="24"/>
          <w:szCs w:val="24"/>
        </w:rPr>
        <w:instrText xml:space="preserve"> TOC \o "1-3" \h \z \u </w:instrText>
      </w:r>
      <w:r w:rsidRPr="00F519EF">
        <w:rPr>
          <w:rFonts w:ascii="Arial" w:hAnsi="Arial" w:cs="Arial"/>
          <w:sz w:val="24"/>
          <w:szCs w:val="24"/>
        </w:rPr>
        <w:fldChar w:fldCharType="separate"/>
      </w:r>
      <w:hyperlink w:anchor="_Toc128509662" w:history="1">
        <w:r w:rsidRPr="00F519EF">
          <w:rPr>
            <w:rStyle w:val="Hyperlink"/>
            <w:rFonts w:ascii="Arial" w:hAnsi="Arial" w:cs="Arial"/>
            <w:noProof/>
            <w:sz w:val="24"/>
            <w:szCs w:val="24"/>
          </w:rPr>
          <w:t>Introduction</w:t>
        </w:r>
        <w:r w:rsidRPr="00F519EF">
          <w:rPr>
            <w:rFonts w:ascii="Arial" w:hAnsi="Arial" w:cs="Arial"/>
            <w:noProof/>
            <w:webHidden/>
            <w:sz w:val="24"/>
            <w:szCs w:val="24"/>
          </w:rPr>
          <w:tab/>
        </w:r>
        <w:r w:rsidRPr="00F519EF">
          <w:rPr>
            <w:rFonts w:ascii="Arial" w:hAnsi="Arial" w:cs="Arial"/>
            <w:noProof/>
            <w:webHidden/>
            <w:sz w:val="24"/>
            <w:szCs w:val="24"/>
          </w:rPr>
          <w:fldChar w:fldCharType="begin"/>
        </w:r>
        <w:r w:rsidRPr="00F519EF">
          <w:rPr>
            <w:rFonts w:ascii="Arial" w:hAnsi="Arial" w:cs="Arial"/>
            <w:noProof/>
            <w:webHidden/>
            <w:sz w:val="24"/>
            <w:szCs w:val="24"/>
          </w:rPr>
          <w:instrText xml:space="preserve"> PAGEREF _Toc128509662 \h </w:instrText>
        </w:r>
        <w:r w:rsidRPr="00F519EF">
          <w:rPr>
            <w:rFonts w:ascii="Arial" w:hAnsi="Arial" w:cs="Arial"/>
            <w:noProof/>
            <w:webHidden/>
            <w:sz w:val="24"/>
            <w:szCs w:val="24"/>
          </w:rPr>
        </w:r>
        <w:r w:rsidRPr="00F519EF">
          <w:rPr>
            <w:rFonts w:ascii="Arial" w:hAnsi="Arial" w:cs="Arial"/>
            <w:noProof/>
            <w:webHidden/>
            <w:sz w:val="24"/>
            <w:szCs w:val="24"/>
          </w:rPr>
          <w:fldChar w:fldCharType="separate"/>
        </w:r>
        <w:r w:rsidRPr="00F519EF">
          <w:rPr>
            <w:rFonts w:ascii="Arial" w:hAnsi="Arial" w:cs="Arial"/>
            <w:noProof/>
            <w:webHidden/>
            <w:sz w:val="24"/>
            <w:szCs w:val="24"/>
          </w:rPr>
          <w:t>4</w:t>
        </w:r>
        <w:r w:rsidRPr="00F519EF">
          <w:rPr>
            <w:rFonts w:ascii="Arial" w:hAnsi="Arial" w:cs="Arial"/>
            <w:noProof/>
            <w:webHidden/>
            <w:sz w:val="24"/>
            <w:szCs w:val="24"/>
          </w:rPr>
          <w:fldChar w:fldCharType="end"/>
        </w:r>
      </w:hyperlink>
    </w:p>
    <w:p w14:paraId="6D9849E9" w14:textId="77777777" w:rsidR="0041464A" w:rsidRPr="00F519EF" w:rsidRDefault="00000000" w:rsidP="00F519EF">
      <w:pPr>
        <w:pStyle w:val="TOC1"/>
        <w:tabs>
          <w:tab w:val="right" w:leader="dot" w:pos="9350"/>
        </w:tabs>
        <w:spacing w:line="360" w:lineRule="auto"/>
        <w:jc w:val="both"/>
        <w:rPr>
          <w:rFonts w:ascii="Arial" w:hAnsi="Arial" w:cs="Arial"/>
          <w:noProof/>
          <w:sz w:val="24"/>
          <w:szCs w:val="24"/>
        </w:rPr>
      </w:pPr>
      <w:hyperlink w:anchor="_Toc128509663" w:history="1">
        <w:r w:rsidR="0041464A" w:rsidRPr="00F519EF">
          <w:rPr>
            <w:rStyle w:val="Hyperlink"/>
            <w:rFonts w:ascii="Arial" w:hAnsi="Arial" w:cs="Arial"/>
            <w:noProof/>
            <w:sz w:val="24"/>
            <w:szCs w:val="24"/>
          </w:rPr>
          <w:t>Cultural differences, customers, and behaviours</w:t>
        </w:r>
        <w:r w:rsidR="0041464A" w:rsidRPr="00F519EF">
          <w:rPr>
            <w:rFonts w:ascii="Arial" w:hAnsi="Arial" w:cs="Arial"/>
            <w:noProof/>
            <w:webHidden/>
            <w:sz w:val="24"/>
            <w:szCs w:val="24"/>
          </w:rPr>
          <w:tab/>
        </w:r>
        <w:r w:rsidR="0041464A" w:rsidRPr="00F519EF">
          <w:rPr>
            <w:rFonts w:ascii="Arial" w:hAnsi="Arial" w:cs="Arial"/>
            <w:noProof/>
            <w:webHidden/>
            <w:sz w:val="24"/>
            <w:szCs w:val="24"/>
          </w:rPr>
          <w:fldChar w:fldCharType="begin"/>
        </w:r>
        <w:r w:rsidR="0041464A" w:rsidRPr="00F519EF">
          <w:rPr>
            <w:rFonts w:ascii="Arial" w:hAnsi="Arial" w:cs="Arial"/>
            <w:noProof/>
            <w:webHidden/>
            <w:sz w:val="24"/>
            <w:szCs w:val="24"/>
          </w:rPr>
          <w:instrText xml:space="preserve"> PAGEREF _Toc128509663 \h </w:instrText>
        </w:r>
        <w:r w:rsidR="0041464A" w:rsidRPr="00F519EF">
          <w:rPr>
            <w:rFonts w:ascii="Arial" w:hAnsi="Arial" w:cs="Arial"/>
            <w:noProof/>
            <w:webHidden/>
            <w:sz w:val="24"/>
            <w:szCs w:val="24"/>
          </w:rPr>
        </w:r>
        <w:r w:rsidR="0041464A" w:rsidRPr="00F519EF">
          <w:rPr>
            <w:rFonts w:ascii="Arial" w:hAnsi="Arial" w:cs="Arial"/>
            <w:noProof/>
            <w:webHidden/>
            <w:sz w:val="24"/>
            <w:szCs w:val="24"/>
          </w:rPr>
          <w:fldChar w:fldCharType="separate"/>
        </w:r>
        <w:r w:rsidR="0041464A" w:rsidRPr="00F519EF">
          <w:rPr>
            <w:rFonts w:ascii="Arial" w:hAnsi="Arial" w:cs="Arial"/>
            <w:noProof/>
            <w:webHidden/>
            <w:sz w:val="24"/>
            <w:szCs w:val="24"/>
          </w:rPr>
          <w:t>4</w:t>
        </w:r>
        <w:r w:rsidR="0041464A" w:rsidRPr="00F519EF">
          <w:rPr>
            <w:rFonts w:ascii="Arial" w:hAnsi="Arial" w:cs="Arial"/>
            <w:noProof/>
            <w:webHidden/>
            <w:sz w:val="24"/>
            <w:szCs w:val="24"/>
          </w:rPr>
          <w:fldChar w:fldCharType="end"/>
        </w:r>
      </w:hyperlink>
    </w:p>
    <w:p w14:paraId="0658619D" w14:textId="77777777" w:rsidR="0041464A" w:rsidRPr="00F519EF" w:rsidRDefault="00000000" w:rsidP="00F519EF">
      <w:pPr>
        <w:pStyle w:val="TOC2"/>
        <w:tabs>
          <w:tab w:val="right" w:leader="dot" w:pos="9350"/>
        </w:tabs>
        <w:spacing w:line="360" w:lineRule="auto"/>
        <w:jc w:val="both"/>
        <w:rPr>
          <w:rFonts w:ascii="Arial" w:hAnsi="Arial" w:cs="Arial"/>
          <w:noProof/>
          <w:sz w:val="24"/>
          <w:szCs w:val="24"/>
        </w:rPr>
      </w:pPr>
      <w:hyperlink w:anchor="_Toc128509664" w:history="1">
        <w:r w:rsidR="0041464A" w:rsidRPr="00F519EF">
          <w:rPr>
            <w:rStyle w:val="Hyperlink"/>
            <w:rFonts w:ascii="Arial" w:hAnsi="Arial" w:cs="Arial"/>
            <w:i/>
            <w:noProof/>
            <w:sz w:val="24"/>
            <w:szCs w:val="24"/>
          </w:rPr>
          <w:t>Table 1: Guidelines for staff members in a hotel serving Chinese clients</w:t>
        </w:r>
        <w:r w:rsidR="0041464A" w:rsidRPr="00F519EF">
          <w:rPr>
            <w:rFonts w:ascii="Arial" w:hAnsi="Arial" w:cs="Arial"/>
            <w:noProof/>
            <w:webHidden/>
            <w:sz w:val="24"/>
            <w:szCs w:val="24"/>
          </w:rPr>
          <w:tab/>
        </w:r>
        <w:r w:rsidR="0041464A" w:rsidRPr="00F519EF">
          <w:rPr>
            <w:rFonts w:ascii="Arial" w:hAnsi="Arial" w:cs="Arial"/>
            <w:noProof/>
            <w:webHidden/>
            <w:sz w:val="24"/>
            <w:szCs w:val="24"/>
          </w:rPr>
          <w:fldChar w:fldCharType="begin"/>
        </w:r>
        <w:r w:rsidR="0041464A" w:rsidRPr="00F519EF">
          <w:rPr>
            <w:rFonts w:ascii="Arial" w:hAnsi="Arial" w:cs="Arial"/>
            <w:noProof/>
            <w:webHidden/>
            <w:sz w:val="24"/>
            <w:szCs w:val="24"/>
          </w:rPr>
          <w:instrText xml:space="preserve"> PAGEREF _Toc128509664 \h </w:instrText>
        </w:r>
        <w:r w:rsidR="0041464A" w:rsidRPr="00F519EF">
          <w:rPr>
            <w:rFonts w:ascii="Arial" w:hAnsi="Arial" w:cs="Arial"/>
            <w:noProof/>
            <w:webHidden/>
            <w:sz w:val="24"/>
            <w:szCs w:val="24"/>
          </w:rPr>
        </w:r>
        <w:r w:rsidR="0041464A" w:rsidRPr="00F519EF">
          <w:rPr>
            <w:rFonts w:ascii="Arial" w:hAnsi="Arial" w:cs="Arial"/>
            <w:noProof/>
            <w:webHidden/>
            <w:sz w:val="24"/>
            <w:szCs w:val="24"/>
          </w:rPr>
          <w:fldChar w:fldCharType="separate"/>
        </w:r>
        <w:r w:rsidR="0041464A" w:rsidRPr="00F519EF">
          <w:rPr>
            <w:rFonts w:ascii="Arial" w:hAnsi="Arial" w:cs="Arial"/>
            <w:noProof/>
            <w:webHidden/>
            <w:sz w:val="24"/>
            <w:szCs w:val="24"/>
          </w:rPr>
          <w:t>4</w:t>
        </w:r>
        <w:r w:rsidR="0041464A" w:rsidRPr="00F519EF">
          <w:rPr>
            <w:rFonts w:ascii="Arial" w:hAnsi="Arial" w:cs="Arial"/>
            <w:noProof/>
            <w:webHidden/>
            <w:sz w:val="24"/>
            <w:szCs w:val="24"/>
          </w:rPr>
          <w:fldChar w:fldCharType="end"/>
        </w:r>
      </w:hyperlink>
    </w:p>
    <w:p w14:paraId="07A58228" w14:textId="77777777" w:rsidR="0041464A" w:rsidRPr="00F519EF" w:rsidRDefault="00000000" w:rsidP="00F519EF">
      <w:pPr>
        <w:pStyle w:val="TOC2"/>
        <w:tabs>
          <w:tab w:val="right" w:leader="dot" w:pos="9350"/>
        </w:tabs>
        <w:spacing w:line="360" w:lineRule="auto"/>
        <w:jc w:val="both"/>
        <w:rPr>
          <w:rFonts w:ascii="Arial" w:hAnsi="Arial" w:cs="Arial"/>
          <w:noProof/>
          <w:sz w:val="24"/>
          <w:szCs w:val="24"/>
        </w:rPr>
      </w:pPr>
      <w:hyperlink w:anchor="_Toc128509665" w:history="1">
        <w:r w:rsidR="0041464A" w:rsidRPr="00F519EF">
          <w:rPr>
            <w:rStyle w:val="Hyperlink"/>
            <w:rFonts w:ascii="Arial" w:hAnsi="Arial" w:cs="Arial"/>
            <w:i/>
            <w:noProof/>
            <w:sz w:val="24"/>
            <w:szCs w:val="24"/>
          </w:rPr>
          <w:t>Table 2: Guidelines for staff members in a hotel serving British clients</w:t>
        </w:r>
        <w:r w:rsidR="0041464A" w:rsidRPr="00F519EF">
          <w:rPr>
            <w:rFonts w:ascii="Arial" w:hAnsi="Arial" w:cs="Arial"/>
            <w:noProof/>
            <w:webHidden/>
            <w:sz w:val="24"/>
            <w:szCs w:val="24"/>
          </w:rPr>
          <w:tab/>
        </w:r>
        <w:r w:rsidR="0041464A" w:rsidRPr="00F519EF">
          <w:rPr>
            <w:rFonts w:ascii="Arial" w:hAnsi="Arial" w:cs="Arial"/>
            <w:noProof/>
            <w:webHidden/>
            <w:sz w:val="24"/>
            <w:szCs w:val="24"/>
          </w:rPr>
          <w:fldChar w:fldCharType="begin"/>
        </w:r>
        <w:r w:rsidR="0041464A" w:rsidRPr="00F519EF">
          <w:rPr>
            <w:rFonts w:ascii="Arial" w:hAnsi="Arial" w:cs="Arial"/>
            <w:noProof/>
            <w:webHidden/>
            <w:sz w:val="24"/>
            <w:szCs w:val="24"/>
          </w:rPr>
          <w:instrText xml:space="preserve"> PAGEREF _Toc128509665 \h </w:instrText>
        </w:r>
        <w:r w:rsidR="0041464A" w:rsidRPr="00F519EF">
          <w:rPr>
            <w:rFonts w:ascii="Arial" w:hAnsi="Arial" w:cs="Arial"/>
            <w:noProof/>
            <w:webHidden/>
            <w:sz w:val="24"/>
            <w:szCs w:val="24"/>
          </w:rPr>
        </w:r>
        <w:r w:rsidR="0041464A" w:rsidRPr="00F519EF">
          <w:rPr>
            <w:rFonts w:ascii="Arial" w:hAnsi="Arial" w:cs="Arial"/>
            <w:noProof/>
            <w:webHidden/>
            <w:sz w:val="24"/>
            <w:szCs w:val="24"/>
          </w:rPr>
          <w:fldChar w:fldCharType="separate"/>
        </w:r>
        <w:r w:rsidR="0041464A" w:rsidRPr="00F519EF">
          <w:rPr>
            <w:rFonts w:ascii="Arial" w:hAnsi="Arial" w:cs="Arial"/>
            <w:noProof/>
            <w:webHidden/>
            <w:sz w:val="24"/>
            <w:szCs w:val="24"/>
          </w:rPr>
          <w:t>5</w:t>
        </w:r>
        <w:r w:rsidR="0041464A" w:rsidRPr="00F519EF">
          <w:rPr>
            <w:rFonts w:ascii="Arial" w:hAnsi="Arial" w:cs="Arial"/>
            <w:noProof/>
            <w:webHidden/>
            <w:sz w:val="24"/>
            <w:szCs w:val="24"/>
          </w:rPr>
          <w:fldChar w:fldCharType="end"/>
        </w:r>
      </w:hyperlink>
    </w:p>
    <w:p w14:paraId="737EDBE5" w14:textId="77777777" w:rsidR="0041464A" w:rsidRPr="00F519EF" w:rsidRDefault="00000000" w:rsidP="00F519EF">
      <w:pPr>
        <w:pStyle w:val="TOC1"/>
        <w:tabs>
          <w:tab w:val="right" w:leader="dot" w:pos="9350"/>
        </w:tabs>
        <w:spacing w:line="360" w:lineRule="auto"/>
        <w:jc w:val="both"/>
        <w:rPr>
          <w:rFonts w:ascii="Arial" w:hAnsi="Arial" w:cs="Arial"/>
          <w:noProof/>
          <w:sz w:val="24"/>
          <w:szCs w:val="24"/>
        </w:rPr>
      </w:pPr>
      <w:hyperlink w:anchor="_Toc128509666" w:history="1">
        <w:r w:rsidR="0041464A" w:rsidRPr="00F519EF">
          <w:rPr>
            <w:rStyle w:val="Hyperlink"/>
            <w:rFonts w:ascii="Arial" w:hAnsi="Arial" w:cs="Arial"/>
            <w:noProof/>
            <w:sz w:val="24"/>
            <w:szCs w:val="24"/>
          </w:rPr>
          <w:t>Summary</w:t>
        </w:r>
        <w:r w:rsidR="0041464A" w:rsidRPr="00F519EF">
          <w:rPr>
            <w:rFonts w:ascii="Arial" w:hAnsi="Arial" w:cs="Arial"/>
            <w:noProof/>
            <w:webHidden/>
            <w:sz w:val="24"/>
            <w:szCs w:val="24"/>
          </w:rPr>
          <w:tab/>
        </w:r>
        <w:r w:rsidR="0041464A" w:rsidRPr="00F519EF">
          <w:rPr>
            <w:rFonts w:ascii="Arial" w:hAnsi="Arial" w:cs="Arial"/>
            <w:noProof/>
            <w:webHidden/>
            <w:sz w:val="24"/>
            <w:szCs w:val="24"/>
          </w:rPr>
          <w:fldChar w:fldCharType="begin"/>
        </w:r>
        <w:r w:rsidR="0041464A" w:rsidRPr="00F519EF">
          <w:rPr>
            <w:rFonts w:ascii="Arial" w:hAnsi="Arial" w:cs="Arial"/>
            <w:noProof/>
            <w:webHidden/>
            <w:sz w:val="24"/>
            <w:szCs w:val="24"/>
          </w:rPr>
          <w:instrText xml:space="preserve"> PAGEREF _Toc128509666 \h </w:instrText>
        </w:r>
        <w:r w:rsidR="0041464A" w:rsidRPr="00F519EF">
          <w:rPr>
            <w:rFonts w:ascii="Arial" w:hAnsi="Arial" w:cs="Arial"/>
            <w:noProof/>
            <w:webHidden/>
            <w:sz w:val="24"/>
            <w:szCs w:val="24"/>
          </w:rPr>
        </w:r>
        <w:r w:rsidR="0041464A" w:rsidRPr="00F519EF">
          <w:rPr>
            <w:rFonts w:ascii="Arial" w:hAnsi="Arial" w:cs="Arial"/>
            <w:noProof/>
            <w:webHidden/>
            <w:sz w:val="24"/>
            <w:szCs w:val="24"/>
          </w:rPr>
          <w:fldChar w:fldCharType="separate"/>
        </w:r>
        <w:r w:rsidR="0041464A" w:rsidRPr="00F519EF">
          <w:rPr>
            <w:rFonts w:ascii="Arial" w:hAnsi="Arial" w:cs="Arial"/>
            <w:noProof/>
            <w:webHidden/>
            <w:sz w:val="24"/>
            <w:szCs w:val="24"/>
          </w:rPr>
          <w:t>6</w:t>
        </w:r>
        <w:r w:rsidR="0041464A" w:rsidRPr="00F519EF">
          <w:rPr>
            <w:rFonts w:ascii="Arial" w:hAnsi="Arial" w:cs="Arial"/>
            <w:noProof/>
            <w:webHidden/>
            <w:sz w:val="24"/>
            <w:szCs w:val="24"/>
          </w:rPr>
          <w:fldChar w:fldCharType="end"/>
        </w:r>
      </w:hyperlink>
    </w:p>
    <w:p w14:paraId="64C6D634" w14:textId="77777777" w:rsidR="0041464A" w:rsidRPr="00F519EF" w:rsidRDefault="00000000" w:rsidP="00F519EF">
      <w:pPr>
        <w:pStyle w:val="TOC1"/>
        <w:tabs>
          <w:tab w:val="right" w:leader="dot" w:pos="9350"/>
        </w:tabs>
        <w:spacing w:line="360" w:lineRule="auto"/>
        <w:jc w:val="both"/>
        <w:rPr>
          <w:rFonts w:ascii="Arial" w:hAnsi="Arial" w:cs="Arial"/>
          <w:noProof/>
          <w:sz w:val="24"/>
          <w:szCs w:val="24"/>
        </w:rPr>
      </w:pPr>
      <w:hyperlink w:anchor="_Toc128509667" w:history="1">
        <w:r w:rsidR="0041464A" w:rsidRPr="00F519EF">
          <w:rPr>
            <w:rStyle w:val="Hyperlink"/>
            <w:rFonts w:ascii="Arial" w:hAnsi="Arial" w:cs="Arial"/>
            <w:noProof/>
            <w:sz w:val="24"/>
            <w:szCs w:val="24"/>
          </w:rPr>
          <w:t>Recommendations</w:t>
        </w:r>
        <w:r w:rsidR="0041464A" w:rsidRPr="00F519EF">
          <w:rPr>
            <w:rFonts w:ascii="Arial" w:hAnsi="Arial" w:cs="Arial"/>
            <w:noProof/>
            <w:webHidden/>
            <w:sz w:val="24"/>
            <w:szCs w:val="24"/>
          </w:rPr>
          <w:tab/>
        </w:r>
        <w:r w:rsidR="0041464A" w:rsidRPr="00F519EF">
          <w:rPr>
            <w:rFonts w:ascii="Arial" w:hAnsi="Arial" w:cs="Arial"/>
            <w:noProof/>
            <w:webHidden/>
            <w:sz w:val="24"/>
            <w:szCs w:val="24"/>
          </w:rPr>
          <w:fldChar w:fldCharType="begin"/>
        </w:r>
        <w:r w:rsidR="0041464A" w:rsidRPr="00F519EF">
          <w:rPr>
            <w:rFonts w:ascii="Arial" w:hAnsi="Arial" w:cs="Arial"/>
            <w:noProof/>
            <w:webHidden/>
            <w:sz w:val="24"/>
            <w:szCs w:val="24"/>
          </w:rPr>
          <w:instrText xml:space="preserve"> PAGEREF _Toc128509667 \h </w:instrText>
        </w:r>
        <w:r w:rsidR="0041464A" w:rsidRPr="00F519EF">
          <w:rPr>
            <w:rFonts w:ascii="Arial" w:hAnsi="Arial" w:cs="Arial"/>
            <w:noProof/>
            <w:webHidden/>
            <w:sz w:val="24"/>
            <w:szCs w:val="24"/>
          </w:rPr>
        </w:r>
        <w:r w:rsidR="0041464A" w:rsidRPr="00F519EF">
          <w:rPr>
            <w:rFonts w:ascii="Arial" w:hAnsi="Arial" w:cs="Arial"/>
            <w:noProof/>
            <w:webHidden/>
            <w:sz w:val="24"/>
            <w:szCs w:val="24"/>
          </w:rPr>
          <w:fldChar w:fldCharType="separate"/>
        </w:r>
        <w:r w:rsidR="0041464A" w:rsidRPr="00F519EF">
          <w:rPr>
            <w:rFonts w:ascii="Arial" w:hAnsi="Arial" w:cs="Arial"/>
            <w:noProof/>
            <w:webHidden/>
            <w:sz w:val="24"/>
            <w:szCs w:val="24"/>
          </w:rPr>
          <w:t>6</w:t>
        </w:r>
        <w:r w:rsidR="0041464A" w:rsidRPr="00F519EF">
          <w:rPr>
            <w:rFonts w:ascii="Arial" w:hAnsi="Arial" w:cs="Arial"/>
            <w:noProof/>
            <w:webHidden/>
            <w:sz w:val="24"/>
            <w:szCs w:val="24"/>
          </w:rPr>
          <w:fldChar w:fldCharType="end"/>
        </w:r>
      </w:hyperlink>
    </w:p>
    <w:p w14:paraId="3B146607" w14:textId="77777777" w:rsidR="0041464A" w:rsidRPr="00F519EF" w:rsidRDefault="00000000" w:rsidP="00F519EF">
      <w:pPr>
        <w:pStyle w:val="TOC1"/>
        <w:tabs>
          <w:tab w:val="right" w:leader="dot" w:pos="9350"/>
        </w:tabs>
        <w:spacing w:line="360" w:lineRule="auto"/>
        <w:jc w:val="both"/>
        <w:rPr>
          <w:rFonts w:ascii="Arial" w:hAnsi="Arial" w:cs="Arial"/>
          <w:noProof/>
          <w:sz w:val="24"/>
          <w:szCs w:val="24"/>
        </w:rPr>
      </w:pPr>
      <w:hyperlink w:anchor="_Toc128509668" w:history="1">
        <w:r w:rsidR="0041464A" w:rsidRPr="00F519EF">
          <w:rPr>
            <w:rStyle w:val="Hyperlink"/>
            <w:rFonts w:ascii="Arial" w:hAnsi="Arial" w:cs="Arial"/>
            <w:noProof/>
            <w:sz w:val="24"/>
            <w:szCs w:val="24"/>
          </w:rPr>
          <w:t>References</w:t>
        </w:r>
        <w:r w:rsidR="0041464A" w:rsidRPr="00F519EF">
          <w:rPr>
            <w:rFonts w:ascii="Arial" w:hAnsi="Arial" w:cs="Arial"/>
            <w:noProof/>
            <w:webHidden/>
            <w:sz w:val="24"/>
            <w:szCs w:val="24"/>
          </w:rPr>
          <w:tab/>
        </w:r>
        <w:r w:rsidR="0041464A" w:rsidRPr="00F519EF">
          <w:rPr>
            <w:rFonts w:ascii="Arial" w:hAnsi="Arial" w:cs="Arial"/>
            <w:noProof/>
            <w:webHidden/>
            <w:sz w:val="24"/>
            <w:szCs w:val="24"/>
          </w:rPr>
          <w:fldChar w:fldCharType="begin"/>
        </w:r>
        <w:r w:rsidR="0041464A" w:rsidRPr="00F519EF">
          <w:rPr>
            <w:rFonts w:ascii="Arial" w:hAnsi="Arial" w:cs="Arial"/>
            <w:noProof/>
            <w:webHidden/>
            <w:sz w:val="24"/>
            <w:szCs w:val="24"/>
          </w:rPr>
          <w:instrText xml:space="preserve"> PAGEREF _Toc128509668 \h </w:instrText>
        </w:r>
        <w:r w:rsidR="0041464A" w:rsidRPr="00F519EF">
          <w:rPr>
            <w:rFonts w:ascii="Arial" w:hAnsi="Arial" w:cs="Arial"/>
            <w:noProof/>
            <w:webHidden/>
            <w:sz w:val="24"/>
            <w:szCs w:val="24"/>
          </w:rPr>
        </w:r>
        <w:r w:rsidR="0041464A" w:rsidRPr="00F519EF">
          <w:rPr>
            <w:rFonts w:ascii="Arial" w:hAnsi="Arial" w:cs="Arial"/>
            <w:noProof/>
            <w:webHidden/>
            <w:sz w:val="24"/>
            <w:szCs w:val="24"/>
          </w:rPr>
          <w:fldChar w:fldCharType="separate"/>
        </w:r>
        <w:r w:rsidR="0041464A" w:rsidRPr="00F519EF">
          <w:rPr>
            <w:rFonts w:ascii="Arial" w:hAnsi="Arial" w:cs="Arial"/>
            <w:noProof/>
            <w:webHidden/>
            <w:sz w:val="24"/>
            <w:szCs w:val="24"/>
          </w:rPr>
          <w:t>7</w:t>
        </w:r>
        <w:r w:rsidR="0041464A" w:rsidRPr="00F519EF">
          <w:rPr>
            <w:rFonts w:ascii="Arial" w:hAnsi="Arial" w:cs="Arial"/>
            <w:noProof/>
            <w:webHidden/>
            <w:sz w:val="24"/>
            <w:szCs w:val="24"/>
          </w:rPr>
          <w:fldChar w:fldCharType="end"/>
        </w:r>
      </w:hyperlink>
    </w:p>
    <w:p w14:paraId="189AEBEB" w14:textId="77777777" w:rsidR="0041464A" w:rsidRPr="00F519EF" w:rsidRDefault="0041464A" w:rsidP="00F519EF">
      <w:pPr>
        <w:spacing w:line="360" w:lineRule="auto"/>
        <w:jc w:val="both"/>
        <w:rPr>
          <w:rFonts w:ascii="Arial" w:hAnsi="Arial" w:cs="Arial"/>
          <w:sz w:val="24"/>
          <w:szCs w:val="24"/>
        </w:rPr>
      </w:pPr>
      <w:r w:rsidRPr="00F519EF">
        <w:rPr>
          <w:rFonts w:ascii="Arial" w:hAnsi="Arial" w:cs="Arial"/>
          <w:sz w:val="24"/>
          <w:szCs w:val="24"/>
        </w:rPr>
        <w:fldChar w:fldCharType="end"/>
      </w:r>
    </w:p>
    <w:p w14:paraId="0A5953E4" w14:textId="77777777" w:rsidR="00EA0FDC" w:rsidRPr="00F519EF" w:rsidRDefault="00EA0FDC" w:rsidP="00F519EF">
      <w:pPr>
        <w:spacing w:line="360" w:lineRule="auto"/>
        <w:jc w:val="both"/>
        <w:rPr>
          <w:rFonts w:ascii="Arial" w:hAnsi="Arial" w:cs="Arial"/>
          <w:sz w:val="24"/>
          <w:szCs w:val="24"/>
        </w:rPr>
      </w:pPr>
    </w:p>
    <w:p w14:paraId="1FF40A2D" w14:textId="77777777" w:rsidR="00EA0FDC" w:rsidRPr="00F519EF" w:rsidRDefault="00EA0FDC" w:rsidP="00F519EF">
      <w:pPr>
        <w:spacing w:line="360" w:lineRule="auto"/>
        <w:jc w:val="both"/>
        <w:rPr>
          <w:rFonts w:ascii="Arial" w:hAnsi="Arial" w:cs="Arial"/>
          <w:sz w:val="24"/>
          <w:szCs w:val="24"/>
        </w:rPr>
      </w:pPr>
    </w:p>
    <w:p w14:paraId="70372A99" w14:textId="77777777" w:rsidR="00EA0FDC" w:rsidRPr="00F519EF" w:rsidRDefault="00EA0FDC" w:rsidP="00F519EF">
      <w:pPr>
        <w:spacing w:line="360" w:lineRule="auto"/>
        <w:jc w:val="both"/>
        <w:rPr>
          <w:rFonts w:ascii="Arial" w:hAnsi="Arial" w:cs="Arial"/>
          <w:sz w:val="24"/>
          <w:szCs w:val="24"/>
        </w:rPr>
      </w:pPr>
    </w:p>
    <w:p w14:paraId="0F6A3003" w14:textId="77777777" w:rsidR="00EA0FDC" w:rsidRPr="00F519EF" w:rsidRDefault="00EA0FDC" w:rsidP="00F519EF">
      <w:pPr>
        <w:spacing w:line="360" w:lineRule="auto"/>
        <w:jc w:val="both"/>
        <w:rPr>
          <w:rFonts w:ascii="Arial" w:hAnsi="Arial" w:cs="Arial"/>
          <w:sz w:val="24"/>
          <w:szCs w:val="24"/>
        </w:rPr>
      </w:pPr>
    </w:p>
    <w:p w14:paraId="77C0A373" w14:textId="77777777" w:rsidR="00EA0FDC" w:rsidRPr="00F519EF" w:rsidRDefault="00EA0FDC" w:rsidP="00F519EF">
      <w:pPr>
        <w:spacing w:line="360" w:lineRule="auto"/>
        <w:jc w:val="both"/>
        <w:rPr>
          <w:rFonts w:ascii="Arial" w:hAnsi="Arial" w:cs="Arial"/>
          <w:sz w:val="24"/>
          <w:szCs w:val="24"/>
        </w:rPr>
      </w:pPr>
    </w:p>
    <w:p w14:paraId="344B741B" w14:textId="77777777" w:rsidR="00EA0FDC" w:rsidRPr="00F519EF" w:rsidRDefault="00EA0FDC" w:rsidP="00F519EF">
      <w:pPr>
        <w:spacing w:line="360" w:lineRule="auto"/>
        <w:jc w:val="both"/>
        <w:rPr>
          <w:rFonts w:ascii="Arial" w:hAnsi="Arial" w:cs="Arial"/>
          <w:sz w:val="24"/>
          <w:szCs w:val="24"/>
        </w:rPr>
      </w:pPr>
    </w:p>
    <w:p w14:paraId="4DB1F711" w14:textId="77777777" w:rsidR="00EA0FDC" w:rsidRPr="00F519EF" w:rsidRDefault="00EA0FDC" w:rsidP="00F519EF">
      <w:pPr>
        <w:spacing w:line="360" w:lineRule="auto"/>
        <w:jc w:val="both"/>
        <w:rPr>
          <w:rFonts w:ascii="Arial" w:hAnsi="Arial" w:cs="Arial"/>
          <w:sz w:val="24"/>
          <w:szCs w:val="24"/>
        </w:rPr>
      </w:pPr>
    </w:p>
    <w:p w14:paraId="3F60170D" w14:textId="77777777" w:rsidR="00EA0FDC" w:rsidRPr="00F519EF" w:rsidRDefault="00EA0FDC" w:rsidP="00F519EF">
      <w:pPr>
        <w:spacing w:line="360" w:lineRule="auto"/>
        <w:jc w:val="both"/>
        <w:rPr>
          <w:rFonts w:ascii="Arial" w:hAnsi="Arial" w:cs="Arial"/>
          <w:sz w:val="24"/>
          <w:szCs w:val="24"/>
        </w:rPr>
      </w:pPr>
    </w:p>
    <w:p w14:paraId="64611953" w14:textId="77777777" w:rsidR="00EA0FDC" w:rsidRPr="00F519EF" w:rsidRDefault="00EA0FDC" w:rsidP="00F519EF">
      <w:pPr>
        <w:spacing w:line="360" w:lineRule="auto"/>
        <w:jc w:val="both"/>
        <w:rPr>
          <w:rFonts w:ascii="Arial" w:hAnsi="Arial" w:cs="Arial"/>
          <w:sz w:val="24"/>
          <w:szCs w:val="24"/>
        </w:rPr>
      </w:pPr>
    </w:p>
    <w:p w14:paraId="7C15698E" w14:textId="77777777" w:rsidR="00EA0FDC" w:rsidRPr="00F519EF" w:rsidRDefault="00EA0FDC" w:rsidP="00F519EF">
      <w:pPr>
        <w:spacing w:line="360" w:lineRule="auto"/>
        <w:jc w:val="both"/>
        <w:rPr>
          <w:rFonts w:ascii="Arial" w:hAnsi="Arial" w:cs="Arial"/>
          <w:sz w:val="24"/>
          <w:szCs w:val="24"/>
        </w:rPr>
      </w:pPr>
    </w:p>
    <w:p w14:paraId="5C7F55B5" w14:textId="77777777" w:rsidR="00EA0FDC" w:rsidRPr="00F519EF" w:rsidRDefault="00EA0FDC" w:rsidP="00F519EF">
      <w:pPr>
        <w:spacing w:line="360" w:lineRule="auto"/>
        <w:jc w:val="both"/>
        <w:rPr>
          <w:rFonts w:ascii="Arial" w:hAnsi="Arial" w:cs="Arial"/>
          <w:sz w:val="24"/>
          <w:szCs w:val="24"/>
        </w:rPr>
      </w:pPr>
    </w:p>
    <w:p w14:paraId="1C07FAF7" w14:textId="77777777" w:rsidR="00EA0FDC" w:rsidRPr="00F519EF" w:rsidRDefault="00EA0FDC" w:rsidP="00F519EF">
      <w:pPr>
        <w:spacing w:line="360" w:lineRule="auto"/>
        <w:jc w:val="both"/>
        <w:rPr>
          <w:rFonts w:ascii="Arial" w:hAnsi="Arial" w:cs="Arial"/>
          <w:sz w:val="24"/>
          <w:szCs w:val="24"/>
        </w:rPr>
      </w:pPr>
    </w:p>
    <w:p w14:paraId="79339305" w14:textId="77777777" w:rsidR="006511EC" w:rsidRPr="00F519EF" w:rsidRDefault="00163CFE" w:rsidP="00F519EF">
      <w:pPr>
        <w:pStyle w:val="Heading1"/>
        <w:spacing w:before="120" w:after="120" w:line="360" w:lineRule="auto"/>
        <w:jc w:val="both"/>
        <w:rPr>
          <w:rFonts w:ascii="Arial" w:hAnsi="Arial" w:cs="Arial"/>
          <w:b w:val="0"/>
          <w:color w:val="000000" w:themeColor="text1"/>
          <w:sz w:val="24"/>
          <w:szCs w:val="24"/>
        </w:rPr>
      </w:pPr>
      <w:bookmarkStart w:id="0" w:name="_Toc128509662"/>
      <w:r w:rsidRPr="00F519EF">
        <w:rPr>
          <w:rFonts w:ascii="Arial" w:hAnsi="Arial" w:cs="Arial"/>
          <w:b w:val="0"/>
          <w:color w:val="000000" w:themeColor="text1"/>
          <w:sz w:val="24"/>
          <w:szCs w:val="24"/>
        </w:rPr>
        <w:t>Introduction</w:t>
      </w:r>
      <w:bookmarkEnd w:id="0"/>
    </w:p>
    <w:p w14:paraId="4A9C16FC" w14:textId="3DFA8343" w:rsidR="007F574B" w:rsidRPr="00F519EF" w:rsidRDefault="00163CFE" w:rsidP="00F519EF">
      <w:pPr>
        <w:spacing w:line="360" w:lineRule="auto"/>
        <w:ind w:firstLine="720"/>
        <w:jc w:val="both"/>
        <w:rPr>
          <w:rFonts w:ascii="Arial" w:hAnsi="Arial" w:cs="Arial"/>
          <w:sz w:val="24"/>
          <w:szCs w:val="24"/>
        </w:rPr>
      </w:pPr>
      <w:r w:rsidRPr="00F519EF">
        <w:rPr>
          <w:rFonts w:ascii="Arial" w:hAnsi="Arial" w:cs="Arial"/>
          <w:sz w:val="24"/>
          <w:szCs w:val="24"/>
        </w:rPr>
        <w:t xml:space="preserve">The hotel industry serves a global clientele which demands cultural competence from service providers. Understanding the cultural values of different customers is </w:t>
      </w:r>
      <w:r w:rsidRPr="00F519EF">
        <w:rPr>
          <w:rFonts w:ascii="Arial" w:hAnsi="Arial" w:cs="Arial"/>
          <w:sz w:val="24"/>
          <w:szCs w:val="24"/>
        </w:rPr>
        <w:lastRenderedPageBreak/>
        <w:t>fundamental because culture affects people's perceptions and interactions. Similarly, it enhances customer satisfaction and avoids conflicts between service pro</w:t>
      </w:r>
      <w:r w:rsidR="00AF1AB6" w:rsidRPr="00F519EF">
        <w:rPr>
          <w:rFonts w:ascii="Arial" w:hAnsi="Arial" w:cs="Arial"/>
          <w:sz w:val="24"/>
          <w:szCs w:val="24"/>
        </w:rPr>
        <w:t xml:space="preserve">viders and customers. </w:t>
      </w:r>
      <w:r w:rsidR="00BF02D1" w:rsidRPr="00F519EF">
        <w:rPr>
          <w:rFonts w:ascii="Arial" w:hAnsi="Arial" w:cs="Arial"/>
          <w:sz w:val="24"/>
          <w:szCs w:val="24"/>
        </w:rPr>
        <w:t>The chosen international country for the handbook is China, and the country of comparison will be the United Kingdom.</w:t>
      </w:r>
      <w:r w:rsidR="0022623C" w:rsidRPr="00F519EF">
        <w:rPr>
          <w:rFonts w:ascii="Arial" w:hAnsi="Arial" w:cs="Arial"/>
          <w:sz w:val="24"/>
          <w:szCs w:val="24"/>
        </w:rPr>
        <w:t xml:space="preserve"> Hofstede’s cultural dimensions will be used to critically analyse the cultures of customers from the two nations.</w:t>
      </w:r>
      <w:r w:rsidR="00E65F05" w:rsidRPr="00F519EF">
        <w:rPr>
          <w:rFonts w:ascii="Arial" w:hAnsi="Arial" w:cs="Arial"/>
          <w:sz w:val="24"/>
          <w:szCs w:val="24"/>
        </w:rPr>
        <w:t xml:space="preserve"> </w:t>
      </w:r>
      <w:r w:rsidR="007D56AE" w:rsidRPr="00F519EF">
        <w:rPr>
          <w:rFonts w:ascii="Arial" w:hAnsi="Arial" w:cs="Arial"/>
          <w:sz w:val="24"/>
          <w:szCs w:val="24"/>
        </w:rPr>
        <w:t xml:space="preserve">The handbook will provide essential considerations for hotel staff members when serving the United Kingdom and Chinese customers. </w:t>
      </w:r>
    </w:p>
    <w:p w14:paraId="612A983D" w14:textId="77777777" w:rsidR="00552F10" w:rsidRPr="00F519EF" w:rsidRDefault="00163CFE" w:rsidP="00F519EF">
      <w:pPr>
        <w:pStyle w:val="Heading1"/>
        <w:spacing w:before="120" w:after="120" w:line="360" w:lineRule="auto"/>
        <w:jc w:val="both"/>
        <w:rPr>
          <w:rFonts w:ascii="Arial" w:hAnsi="Arial" w:cs="Arial"/>
          <w:b w:val="0"/>
          <w:color w:val="000000" w:themeColor="text1"/>
          <w:sz w:val="24"/>
          <w:szCs w:val="24"/>
        </w:rPr>
      </w:pPr>
      <w:bookmarkStart w:id="1" w:name="_Toc128509663"/>
      <w:r w:rsidRPr="00F519EF">
        <w:rPr>
          <w:rFonts w:ascii="Arial" w:hAnsi="Arial" w:cs="Arial"/>
          <w:b w:val="0"/>
          <w:color w:val="000000" w:themeColor="text1"/>
          <w:sz w:val="24"/>
          <w:szCs w:val="24"/>
        </w:rPr>
        <w:t>Cultural differences, customers, and behaviours</w:t>
      </w:r>
      <w:bookmarkEnd w:id="1"/>
    </w:p>
    <w:p w14:paraId="3A1F3C12" w14:textId="77777777" w:rsidR="00B17B51" w:rsidRPr="00F519EF" w:rsidRDefault="00163CFE" w:rsidP="00F519EF">
      <w:pPr>
        <w:pStyle w:val="Heading2"/>
        <w:spacing w:before="120" w:after="120" w:line="360" w:lineRule="auto"/>
        <w:jc w:val="both"/>
        <w:rPr>
          <w:rFonts w:ascii="Arial" w:hAnsi="Arial" w:cs="Arial"/>
          <w:b w:val="0"/>
          <w:i/>
          <w:color w:val="000000" w:themeColor="text1"/>
          <w:sz w:val="24"/>
          <w:szCs w:val="24"/>
        </w:rPr>
      </w:pPr>
      <w:bookmarkStart w:id="2" w:name="_Toc128509664"/>
      <w:r w:rsidRPr="00F519EF">
        <w:rPr>
          <w:rFonts w:ascii="Arial" w:hAnsi="Arial" w:cs="Arial"/>
          <w:b w:val="0"/>
          <w:i/>
          <w:color w:val="000000" w:themeColor="text1"/>
          <w:sz w:val="24"/>
          <w:szCs w:val="24"/>
        </w:rPr>
        <w:t>Table 1: Guidelines for staff members in a hotel serving Chinese clients</w:t>
      </w:r>
      <w:bookmarkEnd w:id="2"/>
      <w:r w:rsidRPr="00F519EF">
        <w:rPr>
          <w:rFonts w:ascii="Arial" w:hAnsi="Arial" w:cs="Arial"/>
          <w:b w:val="0"/>
          <w:i/>
          <w:color w:val="000000" w:themeColor="text1"/>
          <w:sz w:val="24"/>
          <w:szCs w:val="24"/>
        </w:rPr>
        <w:t xml:space="preserve"> </w:t>
      </w:r>
    </w:p>
    <w:tbl>
      <w:tblPr>
        <w:tblStyle w:val="TableGrid"/>
        <w:tblW w:w="0" w:type="auto"/>
        <w:tblLook w:val="04A0" w:firstRow="1" w:lastRow="0" w:firstColumn="1" w:lastColumn="0" w:noHBand="0" w:noVBand="1"/>
      </w:tblPr>
      <w:tblGrid>
        <w:gridCol w:w="4674"/>
        <w:gridCol w:w="4676"/>
      </w:tblGrid>
      <w:tr w:rsidR="00813963" w:rsidRPr="00F519EF" w14:paraId="317B7405" w14:textId="77777777" w:rsidTr="00602058">
        <w:trPr>
          <w:trHeight w:val="656"/>
        </w:trPr>
        <w:tc>
          <w:tcPr>
            <w:tcW w:w="9576" w:type="dxa"/>
            <w:gridSpan w:val="2"/>
          </w:tcPr>
          <w:p w14:paraId="5B504532"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What to do and what not to do when serving Chinese clients</w:t>
            </w:r>
          </w:p>
        </w:tc>
      </w:tr>
      <w:tr w:rsidR="00813963" w:rsidRPr="00F519EF" w14:paraId="34441E6D" w14:textId="77777777" w:rsidTr="00602058">
        <w:tc>
          <w:tcPr>
            <w:tcW w:w="4788" w:type="dxa"/>
          </w:tcPr>
          <w:p w14:paraId="681EAA06"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Do’s</w:t>
            </w:r>
          </w:p>
        </w:tc>
        <w:tc>
          <w:tcPr>
            <w:tcW w:w="4788" w:type="dxa"/>
          </w:tcPr>
          <w:p w14:paraId="7B6D8995"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Don’ts</w:t>
            </w:r>
          </w:p>
        </w:tc>
      </w:tr>
      <w:tr w:rsidR="00813963" w:rsidRPr="00F519EF" w14:paraId="3AE6D9F1" w14:textId="77777777" w:rsidTr="00602058">
        <w:tc>
          <w:tcPr>
            <w:tcW w:w="4788" w:type="dxa"/>
          </w:tcPr>
          <w:p w14:paraId="34501AD5"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Give the client time to decide </w:t>
            </w:r>
          </w:p>
        </w:tc>
        <w:tc>
          <w:tcPr>
            <w:tcW w:w="4788" w:type="dxa"/>
          </w:tcPr>
          <w:p w14:paraId="0022320D"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Do not rush a client </w:t>
            </w:r>
          </w:p>
        </w:tc>
      </w:tr>
      <w:tr w:rsidR="00813963" w:rsidRPr="00F519EF" w14:paraId="7C48C61F" w14:textId="77777777" w:rsidTr="00602058">
        <w:tc>
          <w:tcPr>
            <w:tcW w:w="4788" w:type="dxa"/>
          </w:tcPr>
          <w:p w14:paraId="4543B563"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Greet from a distance and with respect </w:t>
            </w:r>
          </w:p>
        </w:tc>
        <w:tc>
          <w:tcPr>
            <w:tcW w:w="4788" w:type="dxa"/>
          </w:tcPr>
          <w:p w14:paraId="51928017"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Do not make contact unless the client makes the first move </w:t>
            </w:r>
          </w:p>
        </w:tc>
      </w:tr>
      <w:tr w:rsidR="00813963" w:rsidRPr="00F519EF" w14:paraId="3D33C806" w14:textId="77777777" w:rsidTr="00602058">
        <w:tc>
          <w:tcPr>
            <w:tcW w:w="4788" w:type="dxa"/>
          </w:tcPr>
          <w:p w14:paraId="0EE59651"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Observe your tone when talking to your client </w:t>
            </w:r>
          </w:p>
        </w:tc>
        <w:tc>
          <w:tcPr>
            <w:tcW w:w="4788" w:type="dxa"/>
          </w:tcPr>
          <w:p w14:paraId="18C44911"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Do not raise your voice when engaging a client </w:t>
            </w:r>
          </w:p>
        </w:tc>
      </w:tr>
      <w:tr w:rsidR="00813963" w:rsidRPr="00F519EF" w14:paraId="77E1A3FC" w14:textId="77777777" w:rsidTr="00602058">
        <w:tc>
          <w:tcPr>
            <w:tcW w:w="4788" w:type="dxa"/>
          </w:tcPr>
          <w:p w14:paraId="068D6686"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Maintain indirect eye contact  </w:t>
            </w:r>
          </w:p>
        </w:tc>
        <w:tc>
          <w:tcPr>
            <w:tcW w:w="4788" w:type="dxa"/>
          </w:tcPr>
          <w:p w14:paraId="79A2DC12"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Do not maintain a direct eye contact </w:t>
            </w:r>
          </w:p>
        </w:tc>
      </w:tr>
      <w:tr w:rsidR="00813963" w:rsidRPr="00F519EF" w14:paraId="055AFD45" w14:textId="77777777" w:rsidTr="00602058">
        <w:tc>
          <w:tcPr>
            <w:tcW w:w="4788" w:type="dxa"/>
          </w:tcPr>
          <w:p w14:paraId="265CE7B8"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Always ask before doing </w:t>
            </w:r>
          </w:p>
        </w:tc>
        <w:tc>
          <w:tcPr>
            <w:tcW w:w="4788" w:type="dxa"/>
          </w:tcPr>
          <w:p w14:paraId="55324A58"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Do not clear the table or take anything away before asking. </w:t>
            </w:r>
          </w:p>
        </w:tc>
      </w:tr>
    </w:tbl>
    <w:p w14:paraId="0EB2F7BE" w14:textId="77777777" w:rsidR="00552F10" w:rsidRPr="00F519EF" w:rsidRDefault="00552F10" w:rsidP="00F519EF">
      <w:pPr>
        <w:spacing w:line="360" w:lineRule="auto"/>
        <w:jc w:val="both"/>
        <w:rPr>
          <w:rFonts w:ascii="Arial" w:hAnsi="Arial" w:cs="Arial"/>
          <w:sz w:val="24"/>
          <w:szCs w:val="24"/>
        </w:rPr>
      </w:pPr>
    </w:p>
    <w:p w14:paraId="02D6E5EE" w14:textId="77777777" w:rsidR="00143B50" w:rsidRPr="00F519EF" w:rsidRDefault="00163CFE" w:rsidP="00F519EF">
      <w:pPr>
        <w:spacing w:line="360" w:lineRule="auto"/>
        <w:ind w:firstLine="720"/>
        <w:jc w:val="both"/>
        <w:rPr>
          <w:rFonts w:ascii="Arial" w:hAnsi="Arial" w:cs="Arial"/>
          <w:sz w:val="24"/>
          <w:szCs w:val="24"/>
        </w:rPr>
      </w:pPr>
      <w:r w:rsidRPr="00F519EF">
        <w:rPr>
          <w:rFonts w:ascii="Arial" w:hAnsi="Arial" w:cs="Arial"/>
          <w:sz w:val="24"/>
          <w:szCs w:val="24"/>
        </w:rPr>
        <w:t xml:space="preserve">The first table presents considerations that </w:t>
      </w:r>
      <w:r w:rsidR="00333A24" w:rsidRPr="00F519EF">
        <w:rPr>
          <w:rFonts w:ascii="Arial" w:hAnsi="Arial" w:cs="Arial"/>
          <w:sz w:val="24"/>
          <w:szCs w:val="24"/>
        </w:rPr>
        <w:t xml:space="preserve">staff members should consider when serving Chinese clients. </w:t>
      </w:r>
      <w:r w:rsidR="00615F53" w:rsidRPr="00F519EF">
        <w:rPr>
          <w:rFonts w:ascii="Arial" w:hAnsi="Arial" w:cs="Arial"/>
          <w:sz w:val="24"/>
          <w:szCs w:val="24"/>
        </w:rPr>
        <w:t>Patience is an essential virtue in Chinese culture (Whelan, 2019). Service providers should give clients time to make decisions without rushing them. Making body contact with strangers is considered rude and disrespectful among the Chinese</w:t>
      </w:r>
      <w:r w:rsidR="004D2950" w:rsidRPr="00F519EF">
        <w:rPr>
          <w:rFonts w:ascii="Arial" w:hAnsi="Arial" w:cs="Arial"/>
          <w:sz w:val="24"/>
          <w:szCs w:val="24"/>
        </w:rPr>
        <w:t xml:space="preserve"> (</w:t>
      </w:r>
      <w:proofErr w:type="spellStart"/>
      <w:r w:rsidR="004D2950" w:rsidRPr="00F519EF">
        <w:rPr>
          <w:rFonts w:ascii="Arial" w:hAnsi="Arial" w:cs="Arial"/>
          <w:sz w:val="24"/>
          <w:szCs w:val="24"/>
        </w:rPr>
        <w:t>Jhaiyanuntana</w:t>
      </w:r>
      <w:proofErr w:type="spellEnd"/>
      <w:r w:rsidR="004D2950" w:rsidRPr="00F519EF">
        <w:rPr>
          <w:rFonts w:ascii="Arial" w:hAnsi="Arial" w:cs="Arial"/>
          <w:sz w:val="24"/>
          <w:szCs w:val="24"/>
        </w:rPr>
        <w:t xml:space="preserve"> and </w:t>
      </w:r>
      <w:proofErr w:type="spellStart"/>
      <w:r w:rsidR="004D2950" w:rsidRPr="00F519EF">
        <w:rPr>
          <w:rFonts w:ascii="Arial" w:hAnsi="Arial" w:cs="Arial"/>
          <w:sz w:val="24"/>
          <w:szCs w:val="24"/>
        </w:rPr>
        <w:t>Nomnian</w:t>
      </w:r>
      <w:proofErr w:type="spellEnd"/>
      <w:r w:rsidR="004D2950" w:rsidRPr="00F519EF">
        <w:rPr>
          <w:rFonts w:ascii="Arial" w:hAnsi="Arial" w:cs="Arial"/>
          <w:sz w:val="24"/>
          <w:szCs w:val="24"/>
        </w:rPr>
        <w:t>, 2020)</w:t>
      </w:r>
      <w:r w:rsidR="00615F53" w:rsidRPr="00F519EF">
        <w:rPr>
          <w:rFonts w:ascii="Arial" w:hAnsi="Arial" w:cs="Arial"/>
          <w:sz w:val="24"/>
          <w:szCs w:val="24"/>
        </w:rPr>
        <w:t xml:space="preserve">. </w:t>
      </w:r>
      <w:r w:rsidR="005A67BD" w:rsidRPr="00F519EF">
        <w:rPr>
          <w:rFonts w:ascii="Arial" w:hAnsi="Arial" w:cs="Arial"/>
          <w:sz w:val="24"/>
          <w:szCs w:val="24"/>
        </w:rPr>
        <w:t xml:space="preserve">Maintaining a respectful distance and using body gestures when communicating rather than touching are essential. </w:t>
      </w:r>
      <w:r w:rsidR="00505C5E" w:rsidRPr="00F519EF">
        <w:rPr>
          <w:rFonts w:ascii="Arial" w:hAnsi="Arial" w:cs="Arial"/>
          <w:sz w:val="24"/>
          <w:szCs w:val="24"/>
        </w:rPr>
        <w:t>Maintaining a respectful and polite tone impacts the attitude and perception of a Chinese client. An informal, disrespectful tone can upset and repel clients</w:t>
      </w:r>
      <w:r w:rsidR="00C2345F" w:rsidRPr="00F519EF">
        <w:rPr>
          <w:rFonts w:ascii="Arial" w:hAnsi="Arial" w:cs="Arial"/>
          <w:sz w:val="24"/>
          <w:szCs w:val="24"/>
        </w:rPr>
        <w:t xml:space="preserve"> (Kawaguchi-Suzuki et al., 2019)</w:t>
      </w:r>
      <w:r w:rsidR="00505C5E" w:rsidRPr="00F519EF">
        <w:rPr>
          <w:rFonts w:ascii="Arial" w:hAnsi="Arial" w:cs="Arial"/>
          <w:sz w:val="24"/>
          <w:szCs w:val="24"/>
        </w:rPr>
        <w:t xml:space="preserve">. </w:t>
      </w:r>
      <w:r w:rsidR="004F74A3" w:rsidRPr="00F519EF">
        <w:rPr>
          <w:rFonts w:ascii="Arial" w:hAnsi="Arial" w:cs="Arial"/>
          <w:sz w:val="24"/>
          <w:szCs w:val="24"/>
        </w:rPr>
        <w:t xml:space="preserve">When talking to a Chinese client, a service provider should avoid direct eye contact </w:t>
      </w:r>
      <w:r w:rsidR="004F74A3" w:rsidRPr="00F519EF">
        <w:rPr>
          <w:rFonts w:ascii="Arial" w:hAnsi="Arial" w:cs="Arial"/>
          <w:sz w:val="24"/>
          <w:szCs w:val="24"/>
        </w:rPr>
        <w:lastRenderedPageBreak/>
        <w:t>because it is considered rude</w:t>
      </w:r>
      <w:r w:rsidR="00C377BC" w:rsidRPr="00F519EF">
        <w:rPr>
          <w:rFonts w:ascii="Arial" w:hAnsi="Arial" w:cs="Arial"/>
          <w:sz w:val="24"/>
          <w:szCs w:val="24"/>
        </w:rPr>
        <w:t xml:space="preserve"> (</w:t>
      </w:r>
      <w:proofErr w:type="spellStart"/>
      <w:r w:rsidR="00C377BC" w:rsidRPr="00F519EF">
        <w:rPr>
          <w:rFonts w:ascii="Arial" w:hAnsi="Arial" w:cs="Arial"/>
          <w:sz w:val="24"/>
          <w:szCs w:val="24"/>
        </w:rPr>
        <w:t>Banik</w:t>
      </w:r>
      <w:proofErr w:type="spellEnd"/>
      <w:r w:rsidR="00C377BC" w:rsidRPr="00F519EF">
        <w:rPr>
          <w:rFonts w:ascii="Arial" w:hAnsi="Arial" w:cs="Arial"/>
          <w:sz w:val="24"/>
          <w:szCs w:val="24"/>
        </w:rPr>
        <w:t xml:space="preserve"> et al., 2019)</w:t>
      </w:r>
      <w:r w:rsidR="004F74A3" w:rsidRPr="00F519EF">
        <w:rPr>
          <w:rFonts w:ascii="Arial" w:hAnsi="Arial" w:cs="Arial"/>
          <w:sz w:val="24"/>
          <w:szCs w:val="24"/>
        </w:rPr>
        <w:t>. However, the body posture should demonstrate that the service provider focuses on the client. When serving Chinese client</w:t>
      </w:r>
      <w:r w:rsidR="00280DE3" w:rsidRPr="00F519EF">
        <w:rPr>
          <w:rFonts w:ascii="Arial" w:hAnsi="Arial" w:cs="Arial"/>
          <w:sz w:val="24"/>
          <w:szCs w:val="24"/>
        </w:rPr>
        <w:t xml:space="preserve">s, seeking consent before deciding or taking action is highly advised. </w:t>
      </w:r>
      <w:r w:rsidR="00851A1E" w:rsidRPr="00F519EF">
        <w:rPr>
          <w:rFonts w:ascii="Arial" w:hAnsi="Arial" w:cs="Arial"/>
          <w:sz w:val="24"/>
          <w:szCs w:val="24"/>
        </w:rPr>
        <w:t xml:space="preserve">Before clearing the table, it is imperative to seek permission. According to Pang (2021), touching or taking something away from a Chinese without asking for permission is rude. </w:t>
      </w:r>
    </w:p>
    <w:p w14:paraId="093F8DE4" w14:textId="77777777" w:rsidR="00B17B51" w:rsidRPr="00F519EF" w:rsidRDefault="00163CFE" w:rsidP="00F519EF">
      <w:pPr>
        <w:pStyle w:val="Heading2"/>
        <w:spacing w:before="120" w:after="120" w:line="360" w:lineRule="auto"/>
        <w:jc w:val="both"/>
        <w:rPr>
          <w:rFonts w:ascii="Arial" w:hAnsi="Arial" w:cs="Arial"/>
          <w:b w:val="0"/>
          <w:i/>
          <w:color w:val="000000" w:themeColor="text1"/>
          <w:sz w:val="24"/>
          <w:szCs w:val="24"/>
        </w:rPr>
      </w:pPr>
      <w:bookmarkStart w:id="3" w:name="_Toc128509665"/>
      <w:r w:rsidRPr="00F519EF">
        <w:rPr>
          <w:rFonts w:ascii="Arial" w:hAnsi="Arial" w:cs="Arial"/>
          <w:b w:val="0"/>
          <w:i/>
          <w:color w:val="000000" w:themeColor="text1"/>
          <w:sz w:val="24"/>
          <w:szCs w:val="24"/>
        </w:rPr>
        <w:t>Table 2: Guidelines for staff members in a hotel serving British clients</w:t>
      </w:r>
      <w:bookmarkEnd w:id="3"/>
    </w:p>
    <w:tbl>
      <w:tblPr>
        <w:tblStyle w:val="TableGrid"/>
        <w:tblW w:w="0" w:type="auto"/>
        <w:tblLook w:val="04A0" w:firstRow="1" w:lastRow="0" w:firstColumn="1" w:lastColumn="0" w:noHBand="0" w:noVBand="1"/>
      </w:tblPr>
      <w:tblGrid>
        <w:gridCol w:w="4675"/>
        <w:gridCol w:w="4675"/>
      </w:tblGrid>
      <w:tr w:rsidR="00813963" w:rsidRPr="00F519EF" w14:paraId="527943D6" w14:textId="77777777" w:rsidTr="00AE511B">
        <w:tc>
          <w:tcPr>
            <w:tcW w:w="9576" w:type="dxa"/>
            <w:gridSpan w:val="2"/>
          </w:tcPr>
          <w:p w14:paraId="663320AC"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What to do and what not to do when serving English clients</w:t>
            </w:r>
          </w:p>
        </w:tc>
      </w:tr>
      <w:tr w:rsidR="00813963" w:rsidRPr="00F519EF" w14:paraId="36741D05" w14:textId="77777777" w:rsidTr="00602058">
        <w:tc>
          <w:tcPr>
            <w:tcW w:w="4788" w:type="dxa"/>
          </w:tcPr>
          <w:p w14:paraId="112C3FBD"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Do’s</w:t>
            </w:r>
          </w:p>
        </w:tc>
        <w:tc>
          <w:tcPr>
            <w:tcW w:w="4788" w:type="dxa"/>
          </w:tcPr>
          <w:p w14:paraId="6995E4B7"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Don’ts</w:t>
            </w:r>
          </w:p>
        </w:tc>
      </w:tr>
      <w:tr w:rsidR="00813963" w:rsidRPr="00F519EF" w14:paraId="1B531681" w14:textId="77777777" w:rsidTr="00602058">
        <w:tc>
          <w:tcPr>
            <w:tcW w:w="4788" w:type="dxa"/>
          </w:tcPr>
          <w:p w14:paraId="1F8A08CF"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Make a firm handshake </w:t>
            </w:r>
          </w:p>
        </w:tc>
        <w:tc>
          <w:tcPr>
            <w:tcW w:w="4788" w:type="dxa"/>
          </w:tcPr>
          <w:p w14:paraId="0D80A553"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Do not avoid a handshake </w:t>
            </w:r>
          </w:p>
        </w:tc>
      </w:tr>
      <w:tr w:rsidR="00813963" w:rsidRPr="00F519EF" w14:paraId="26113FD1" w14:textId="77777777" w:rsidTr="00602058">
        <w:tc>
          <w:tcPr>
            <w:tcW w:w="4788" w:type="dxa"/>
          </w:tcPr>
          <w:p w14:paraId="5D9312ED"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Make eye contact when talking </w:t>
            </w:r>
          </w:p>
        </w:tc>
        <w:tc>
          <w:tcPr>
            <w:tcW w:w="4788" w:type="dxa"/>
          </w:tcPr>
          <w:p w14:paraId="6E49F38C"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Do not talk when facing away </w:t>
            </w:r>
          </w:p>
        </w:tc>
      </w:tr>
      <w:tr w:rsidR="00813963" w:rsidRPr="00F519EF" w14:paraId="4EA509B8" w14:textId="77777777" w:rsidTr="00602058">
        <w:tc>
          <w:tcPr>
            <w:tcW w:w="4788" w:type="dxa"/>
          </w:tcPr>
          <w:p w14:paraId="7EC9F56F"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Always walk towards the client </w:t>
            </w:r>
          </w:p>
        </w:tc>
        <w:tc>
          <w:tcPr>
            <w:tcW w:w="4788" w:type="dxa"/>
          </w:tcPr>
          <w:p w14:paraId="24D9B297"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Do not wave or yell when calling a person </w:t>
            </w:r>
          </w:p>
        </w:tc>
      </w:tr>
      <w:tr w:rsidR="00813963" w:rsidRPr="00F519EF" w14:paraId="57773A14" w14:textId="77777777" w:rsidTr="00602058">
        <w:tc>
          <w:tcPr>
            <w:tcW w:w="4788" w:type="dxa"/>
          </w:tcPr>
          <w:p w14:paraId="2C72C0E5"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Always wait for the client to complete talking </w:t>
            </w:r>
          </w:p>
        </w:tc>
        <w:tc>
          <w:tcPr>
            <w:tcW w:w="4788" w:type="dxa"/>
          </w:tcPr>
          <w:p w14:paraId="495EDDFE"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Never interrupt a client </w:t>
            </w:r>
          </w:p>
        </w:tc>
      </w:tr>
      <w:tr w:rsidR="00813963" w:rsidRPr="00F519EF" w14:paraId="5B100606" w14:textId="77777777" w:rsidTr="00602058">
        <w:tc>
          <w:tcPr>
            <w:tcW w:w="4788" w:type="dxa"/>
          </w:tcPr>
          <w:p w14:paraId="13FC052F"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Observe basic politeness; excuse me, thank you, please, kindly, and my apologies. </w:t>
            </w:r>
          </w:p>
        </w:tc>
        <w:tc>
          <w:tcPr>
            <w:tcW w:w="4788" w:type="dxa"/>
          </w:tcPr>
          <w:p w14:paraId="465F8F7A" w14:textId="77777777" w:rsidR="00602058" w:rsidRPr="00F519EF" w:rsidRDefault="00163CFE" w:rsidP="00F519EF">
            <w:pPr>
              <w:spacing w:line="360" w:lineRule="auto"/>
              <w:jc w:val="both"/>
              <w:rPr>
                <w:rFonts w:ascii="Arial" w:hAnsi="Arial" w:cs="Arial"/>
                <w:sz w:val="24"/>
                <w:szCs w:val="24"/>
              </w:rPr>
            </w:pPr>
            <w:r w:rsidRPr="00F519EF">
              <w:rPr>
                <w:rFonts w:ascii="Arial" w:hAnsi="Arial" w:cs="Arial"/>
                <w:sz w:val="24"/>
                <w:szCs w:val="24"/>
              </w:rPr>
              <w:t xml:space="preserve">Do not use plain language when addressing a customer. </w:t>
            </w:r>
          </w:p>
        </w:tc>
      </w:tr>
    </w:tbl>
    <w:p w14:paraId="10C3F1B2" w14:textId="77777777" w:rsidR="00602058" w:rsidRPr="00F519EF" w:rsidRDefault="00602058" w:rsidP="00F519EF">
      <w:pPr>
        <w:spacing w:line="360" w:lineRule="auto"/>
        <w:jc w:val="both"/>
        <w:rPr>
          <w:rFonts w:ascii="Arial" w:hAnsi="Arial" w:cs="Arial"/>
          <w:sz w:val="24"/>
          <w:szCs w:val="24"/>
        </w:rPr>
      </w:pPr>
    </w:p>
    <w:p w14:paraId="481BE127" w14:textId="77777777" w:rsidR="00D874E2" w:rsidRPr="00F519EF" w:rsidRDefault="00163CFE" w:rsidP="00F519EF">
      <w:pPr>
        <w:spacing w:line="360" w:lineRule="auto"/>
        <w:ind w:firstLine="720"/>
        <w:jc w:val="both"/>
        <w:rPr>
          <w:rFonts w:ascii="Arial" w:hAnsi="Arial" w:cs="Arial"/>
          <w:sz w:val="24"/>
          <w:szCs w:val="24"/>
        </w:rPr>
      </w:pPr>
      <w:r w:rsidRPr="00F519EF">
        <w:rPr>
          <w:rFonts w:ascii="Arial" w:hAnsi="Arial" w:cs="Arial"/>
          <w:sz w:val="24"/>
          <w:szCs w:val="24"/>
        </w:rPr>
        <w:t xml:space="preserve">The second table presents what service providers should consider when offering services to British clients. </w:t>
      </w:r>
      <w:r w:rsidR="00570C7D" w:rsidRPr="00F519EF">
        <w:rPr>
          <w:rFonts w:ascii="Arial" w:hAnsi="Arial" w:cs="Arial"/>
          <w:sz w:val="24"/>
          <w:szCs w:val="24"/>
        </w:rPr>
        <w:t xml:space="preserve">According to Aristocracy (2019), extending a hand for a handshake is etiquette in the United Kingdom. It is a gesture of goodwill and readiness to interact and serve. </w:t>
      </w:r>
      <w:r w:rsidR="00DD70D8" w:rsidRPr="00F519EF">
        <w:rPr>
          <w:rFonts w:ascii="Arial" w:hAnsi="Arial" w:cs="Arial"/>
          <w:sz w:val="24"/>
          <w:szCs w:val="24"/>
        </w:rPr>
        <w:t>Direct eye contact is imperative when serving English customers</w:t>
      </w:r>
      <w:r w:rsidR="00A70834" w:rsidRPr="00F519EF">
        <w:rPr>
          <w:rFonts w:ascii="Arial" w:hAnsi="Arial" w:cs="Arial"/>
          <w:sz w:val="24"/>
          <w:szCs w:val="24"/>
        </w:rPr>
        <w:t xml:space="preserve"> (Payne et al., 2020)</w:t>
      </w:r>
      <w:r w:rsidR="00DD70D8" w:rsidRPr="00F519EF">
        <w:rPr>
          <w:rFonts w:ascii="Arial" w:hAnsi="Arial" w:cs="Arial"/>
          <w:sz w:val="24"/>
          <w:szCs w:val="24"/>
        </w:rPr>
        <w:t xml:space="preserve">. However, a service provider should not stare at the client since it is considered rude. </w:t>
      </w:r>
      <w:r w:rsidR="005A7D32" w:rsidRPr="00F519EF">
        <w:rPr>
          <w:rFonts w:ascii="Arial" w:hAnsi="Arial" w:cs="Arial"/>
          <w:sz w:val="24"/>
          <w:szCs w:val="24"/>
        </w:rPr>
        <w:t xml:space="preserve">Shouting or waving at a customer is considered rude in the United Kingdom (Hossain, 2022). A service provider should walk towards the client and communicate when they are close to each other. </w:t>
      </w:r>
      <w:r w:rsidR="00B53156" w:rsidRPr="00F519EF">
        <w:rPr>
          <w:rFonts w:ascii="Arial" w:hAnsi="Arial" w:cs="Arial"/>
          <w:sz w:val="24"/>
          <w:szCs w:val="24"/>
        </w:rPr>
        <w:t xml:space="preserve">Active </w:t>
      </w:r>
      <w:r w:rsidR="00CF52D9" w:rsidRPr="00F519EF">
        <w:rPr>
          <w:rFonts w:ascii="Arial" w:hAnsi="Arial" w:cs="Arial"/>
          <w:sz w:val="24"/>
          <w:szCs w:val="24"/>
        </w:rPr>
        <w:t xml:space="preserve">listening is critical when providing services to UK customers (Youth Employment UK, 2020). It demonstrates that a service provider respects and values the client. </w:t>
      </w:r>
      <w:r w:rsidR="00E54A99" w:rsidRPr="00F519EF">
        <w:rPr>
          <w:rFonts w:ascii="Arial" w:hAnsi="Arial" w:cs="Arial"/>
          <w:sz w:val="24"/>
          <w:szCs w:val="24"/>
        </w:rPr>
        <w:t xml:space="preserve">According to </w:t>
      </w:r>
      <w:proofErr w:type="spellStart"/>
      <w:r w:rsidR="00E54A99" w:rsidRPr="00F519EF">
        <w:rPr>
          <w:rFonts w:ascii="Arial" w:hAnsi="Arial" w:cs="Arial"/>
          <w:sz w:val="24"/>
          <w:szCs w:val="24"/>
        </w:rPr>
        <w:t>Bayighomog</w:t>
      </w:r>
      <w:proofErr w:type="spellEnd"/>
      <w:r w:rsidR="00E54A99" w:rsidRPr="00F519EF">
        <w:rPr>
          <w:rFonts w:ascii="Arial" w:hAnsi="Arial" w:cs="Arial"/>
          <w:sz w:val="24"/>
          <w:szCs w:val="24"/>
        </w:rPr>
        <w:t xml:space="preserve"> and </w:t>
      </w:r>
      <w:proofErr w:type="spellStart"/>
      <w:r w:rsidR="00E54A99" w:rsidRPr="00F519EF">
        <w:rPr>
          <w:rFonts w:ascii="Arial" w:hAnsi="Arial" w:cs="Arial"/>
          <w:sz w:val="24"/>
          <w:szCs w:val="24"/>
        </w:rPr>
        <w:t>Araslı</w:t>
      </w:r>
      <w:proofErr w:type="spellEnd"/>
      <w:r w:rsidR="00E54A99" w:rsidRPr="00F519EF">
        <w:rPr>
          <w:rFonts w:ascii="Arial" w:hAnsi="Arial" w:cs="Arial"/>
          <w:sz w:val="24"/>
          <w:szCs w:val="24"/>
        </w:rPr>
        <w:t xml:space="preserve"> (2019), courtesy is critical when offering services to hotel clients. It demonstrates respect, thus increasing customer satisfaction. </w:t>
      </w:r>
    </w:p>
    <w:p w14:paraId="70996471" w14:textId="77777777" w:rsidR="00004325" w:rsidRPr="00F519EF" w:rsidRDefault="00163CFE" w:rsidP="00F519EF">
      <w:pPr>
        <w:pStyle w:val="Heading1"/>
        <w:spacing w:before="120" w:after="120" w:line="360" w:lineRule="auto"/>
        <w:jc w:val="both"/>
        <w:rPr>
          <w:rFonts w:ascii="Arial" w:hAnsi="Arial" w:cs="Arial"/>
          <w:b w:val="0"/>
          <w:color w:val="000000" w:themeColor="text1"/>
          <w:sz w:val="24"/>
          <w:szCs w:val="24"/>
        </w:rPr>
      </w:pPr>
      <w:bookmarkStart w:id="4" w:name="_Toc128509666"/>
      <w:r w:rsidRPr="00F519EF">
        <w:rPr>
          <w:rFonts w:ascii="Arial" w:hAnsi="Arial" w:cs="Arial"/>
          <w:b w:val="0"/>
          <w:color w:val="000000" w:themeColor="text1"/>
          <w:sz w:val="24"/>
          <w:szCs w:val="24"/>
        </w:rPr>
        <w:lastRenderedPageBreak/>
        <w:t>Summary</w:t>
      </w:r>
      <w:bookmarkEnd w:id="4"/>
    </w:p>
    <w:p w14:paraId="58E844BF" w14:textId="77777777" w:rsidR="0022623C" w:rsidRPr="00F519EF" w:rsidRDefault="00163CFE" w:rsidP="00F519EF">
      <w:pPr>
        <w:spacing w:line="360" w:lineRule="auto"/>
        <w:ind w:firstLine="720"/>
        <w:jc w:val="both"/>
        <w:rPr>
          <w:rFonts w:ascii="Arial" w:hAnsi="Arial" w:cs="Arial"/>
          <w:sz w:val="24"/>
          <w:szCs w:val="24"/>
        </w:rPr>
      </w:pPr>
      <w:r w:rsidRPr="00F519EF">
        <w:rPr>
          <w:rFonts w:ascii="Arial" w:hAnsi="Arial" w:cs="Arial"/>
          <w:sz w:val="24"/>
          <w:szCs w:val="24"/>
        </w:rPr>
        <w:t xml:space="preserve">Cultural values and norms are essential to the extent of affecting how people view and perceive things. The handbook presents different perceptions, behaviours, and cultures between United Kingdom and Chinese hotel customers. </w:t>
      </w:r>
      <w:bookmarkStart w:id="5" w:name="_Toc128509667"/>
      <w:r w:rsidR="00881371" w:rsidRPr="00F519EF">
        <w:rPr>
          <w:rFonts w:ascii="Arial" w:hAnsi="Arial" w:cs="Arial"/>
          <w:sz w:val="24"/>
          <w:szCs w:val="24"/>
        </w:rPr>
        <w:t xml:space="preserve">Hofstede’s cultural dimensions have been utilised in this handbook. According to Hofstede’s cultural dimensions, cultural values impact behaviours (Radojevic et al., 2019). Such is evident in the case of Chinese and United Kingdom customers. For example, the Chinese value distance, which makes Chinese customers limit body contact. On the contrary, United Kingdom customers value a close connection which influences them to shake hands as a gesture of respect and gratitude. The handbook reveals that what is embraced in one culture can be disregarded in another.  </w:t>
      </w:r>
    </w:p>
    <w:p w14:paraId="24F6DCF0" w14:textId="61A246ED" w:rsidR="006F2796" w:rsidRPr="00F519EF" w:rsidRDefault="00163CFE" w:rsidP="00F519EF">
      <w:pPr>
        <w:spacing w:line="360" w:lineRule="auto"/>
        <w:jc w:val="both"/>
        <w:rPr>
          <w:rFonts w:ascii="Arial" w:hAnsi="Arial" w:cs="Arial"/>
          <w:b/>
          <w:color w:val="000000" w:themeColor="text1"/>
          <w:sz w:val="24"/>
          <w:szCs w:val="24"/>
        </w:rPr>
      </w:pPr>
      <w:r w:rsidRPr="00F519EF">
        <w:rPr>
          <w:rFonts w:ascii="Arial" w:hAnsi="Arial" w:cs="Arial"/>
          <w:color w:val="000000" w:themeColor="text1"/>
          <w:sz w:val="24"/>
          <w:szCs w:val="24"/>
        </w:rPr>
        <w:t>Recommendations</w:t>
      </w:r>
      <w:bookmarkEnd w:id="5"/>
    </w:p>
    <w:p w14:paraId="60557A75" w14:textId="6D409D7B" w:rsidR="0041464A" w:rsidRPr="00F519EF" w:rsidRDefault="00163CFE" w:rsidP="00F519EF">
      <w:pPr>
        <w:spacing w:line="360" w:lineRule="auto"/>
        <w:ind w:firstLine="720"/>
        <w:jc w:val="both"/>
        <w:rPr>
          <w:rFonts w:ascii="Arial" w:hAnsi="Arial" w:cs="Arial"/>
          <w:sz w:val="24"/>
          <w:szCs w:val="24"/>
        </w:rPr>
      </w:pPr>
      <w:r w:rsidRPr="00F519EF">
        <w:rPr>
          <w:rFonts w:ascii="Arial" w:hAnsi="Arial" w:cs="Arial"/>
          <w:sz w:val="24"/>
          <w:szCs w:val="24"/>
        </w:rPr>
        <w:t xml:space="preserve">First, staff members should learn to differentiate between people of different ethnicities and cultures. For example, </w:t>
      </w:r>
      <w:r w:rsidR="00F6072E" w:rsidRPr="00F519EF">
        <w:rPr>
          <w:rFonts w:ascii="Arial" w:hAnsi="Arial" w:cs="Arial"/>
          <w:sz w:val="24"/>
          <w:szCs w:val="24"/>
        </w:rPr>
        <w:t>they should know that a handshake with a UK client is considered respectful but considered disrespectful with a Chinese client</w:t>
      </w:r>
      <w:r w:rsidRPr="00F519EF">
        <w:rPr>
          <w:rFonts w:ascii="Arial" w:hAnsi="Arial" w:cs="Arial"/>
          <w:sz w:val="24"/>
          <w:szCs w:val="24"/>
        </w:rPr>
        <w:t>.</w:t>
      </w:r>
      <w:r w:rsidR="00001E36" w:rsidRPr="00F519EF">
        <w:rPr>
          <w:rFonts w:ascii="Arial" w:hAnsi="Arial" w:cs="Arial"/>
          <w:sz w:val="24"/>
          <w:szCs w:val="24"/>
        </w:rPr>
        <w:t xml:space="preserve"> </w:t>
      </w:r>
      <w:r w:rsidR="00F6072E" w:rsidRPr="00F519EF">
        <w:rPr>
          <w:rFonts w:ascii="Arial" w:hAnsi="Arial" w:cs="Arial"/>
          <w:sz w:val="24"/>
          <w:szCs w:val="24"/>
        </w:rPr>
        <w:t>Observing and managing their tones when serving customers should be important because a tone can repel or offend a customer</w:t>
      </w:r>
      <w:r w:rsidR="00001E36" w:rsidRPr="00F519EF">
        <w:rPr>
          <w:rFonts w:ascii="Arial" w:hAnsi="Arial" w:cs="Arial"/>
          <w:sz w:val="24"/>
          <w:szCs w:val="24"/>
        </w:rPr>
        <w:t>.</w:t>
      </w:r>
      <w:r w:rsidRPr="00F519EF">
        <w:rPr>
          <w:rFonts w:ascii="Arial" w:hAnsi="Arial" w:cs="Arial"/>
          <w:sz w:val="24"/>
          <w:szCs w:val="24"/>
        </w:rPr>
        <w:t xml:space="preserve"> Second, staff members should learn how to address the needs of people from different cultures. </w:t>
      </w:r>
      <w:r w:rsidR="00F6072E" w:rsidRPr="00F519EF">
        <w:rPr>
          <w:rFonts w:ascii="Arial" w:hAnsi="Arial" w:cs="Arial"/>
          <w:sz w:val="24"/>
          <w:szCs w:val="24"/>
        </w:rPr>
        <w:t xml:space="preserve">They should know how to engage customers especially when in the middle of their meals. Some customers may find it </w:t>
      </w:r>
      <w:r w:rsidR="00C52B6E" w:rsidRPr="00F519EF">
        <w:rPr>
          <w:rFonts w:ascii="Arial" w:hAnsi="Arial" w:cs="Arial"/>
          <w:sz w:val="24"/>
          <w:szCs w:val="24"/>
        </w:rPr>
        <w:t>appropriate for service providers to remove something on the table while others consider this to be done when they permit it. Hofstede’s cultural dimensions framework asserts that cultural values have an impact on people’s behaviours</w:t>
      </w:r>
      <w:r w:rsidR="00524DE0" w:rsidRPr="00F519EF">
        <w:rPr>
          <w:rFonts w:ascii="Arial" w:hAnsi="Arial" w:cs="Arial"/>
          <w:sz w:val="24"/>
          <w:szCs w:val="24"/>
        </w:rPr>
        <w:t xml:space="preserve">. Therefore, what might seem polite in one cultural group might be rude or offensive in another. </w:t>
      </w:r>
      <w:bookmarkStart w:id="6" w:name="_Toc128509668"/>
    </w:p>
    <w:p w14:paraId="4A47C74D" w14:textId="6F82703C" w:rsidR="0041464A" w:rsidRPr="00F519EF" w:rsidRDefault="0041464A" w:rsidP="00F519EF">
      <w:pPr>
        <w:spacing w:line="360" w:lineRule="auto"/>
        <w:jc w:val="both"/>
        <w:rPr>
          <w:rFonts w:ascii="Arial" w:hAnsi="Arial" w:cs="Arial"/>
          <w:sz w:val="24"/>
          <w:szCs w:val="24"/>
        </w:rPr>
      </w:pPr>
    </w:p>
    <w:p w14:paraId="7A18A5FB" w14:textId="1EA47583" w:rsidR="00AA0546" w:rsidRPr="00F519EF" w:rsidRDefault="00AA0546" w:rsidP="00F519EF">
      <w:pPr>
        <w:spacing w:line="360" w:lineRule="auto"/>
        <w:jc w:val="both"/>
        <w:rPr>
          <w:rFonts w:ascii="Arial" w:hAnsi="Arial" w:cs="Arial"/>
          <w:sz w:val="24"/>
          <w:szCs w:val="24"/>
        </w:rPr>
      </w:pPr>
    </w:p>
    <w:p w14:paraId="263CE8A6" w14:textId="77777777" w:rsidR="00AA0546" w:rsidRPr="00F519EF" w:rsidRDefault="00AA0546" w:rsidP="00F519EF">
      <w:pPr>
        <w:spacing w:line="360" w:lineRule="auto"/>
        <w:jc w:val="both"/>
        <w:rPr>
          <w:rFonts w:ascii="Arial" w:hAnsi="Arial" w:cs="Arial"/>
          <w:sz w:val="24"/>
          <w:szCs w:val="24"/>
        </w:rPr>
      </w:pPr>
    </w:p>
    <w:p w14:paraId="3EB5A4EC" w14:textId="77777777" w:rsidR="00615F53" w:rsidRPr="00F519EF" w:rsidRDefault="00163CFE" w:rsidP="00F519EF">
      <w:pPr>
        <w:pStyle w:val="Heading1"/>
        <w:spacing w:before="120" w:after="120" w:line="360" w:lineRule="auto"/>
        <w:jc w:val="both"/>
        <w:rPr>
          <w:rFonts w:ascii="Arial" w:hAnsi="Arial" w:cs="Arial"/>
          <w:b w:val="0"/>
          <w:color w:val="000000" w:themeColor="text1"/>
          <w:sz w:val="24"/>
          <w:szCs w:val="24"/>
        </w:rPr>
      </w:pPr>
      <w:r w:rsidRPr="00F519EF">
        <w:rPr>
          <w:rFonts w:ascii="Arial" w:hAnsi="Arial" w:cs="Arial"/>
          <w:b w:val="0"/>
          <w:color w:val="000000" w:themeColor="text1"/>
          <w:sz w:val="24"/>
          <w:szCs w:val="24"/>
        </w:rPr>
        <w:lastRenderedPageBreak/>
        <w:t>References</w:t>
      </w:r>
      <w:bookmarkEnd w:id="6"/>
    </w:p>
    <w:p w14:paraId="5984C44E" w14:textId="77777777" w:rsidR="00570C7D" w:rsidRPr="00F519EF" w:rsidRDefault="00163CFE" w:rsidP="00F519EF">
      <w:pPr>
        <w:spacing w:line="360" w:lineRule="auto"/>
        <w:ind w:left="720" w:hanging="720"/>
        <w:jc w:val="both"/>
        <w:rPr>
          <w:rFonts w:ascii="Arial" w:hAnsi="Arial" w:cs="Arial"/>
          <w:sz w:val="24"/>
          <w:szCs w:val="24"/>
        </w:rPr>
      </w:pPr>
      <w:r w:rsidRPr="00F519EF">
        <w:rPr>
          <w:rFonts w:ascii="Arial" w:hAnsi="Arial" w:cs="Arial"/>
          <w:sz w:val="24"/>
          <w:szCs w:val="24"/>
        </w:rPr>
        <w:t xml:space="preserve">Aristocracy, L., 2019. </w:t>
      </w:r>
      <w:r w:rsidRPr="00F519EF">
        <w:rPr>
          <w:rFonts w:ascii="Arial" w:hAnsi="Arial" w:cs="Arial"/>
          <w:i/>
          <w:sz w:val="24"/>
          <w:szCs w:val="24"/>
        </w:rPr>
        <w:t>The 8+1 Rules of Handshake Etiquette.</w:t>
      </w:r>
      <w:r w:rsidRPr="00F519EF">
        <w:rPr>
          <w:rFonts w:ascii="Arial" w:hAnsi="Arial" w:cs="Arial"/>
          <w:sz w:val="24"/>
          <w:szCs w:val="24"/>
        </w:rPr>
        <w:t xml:space="preserve"> Available from: </w:t>
      </w:r>
      <w:hyperlink r:id="rId7" w:history="1">
        <w:r w:rsidRPr="00F519EF">
          <w:rPr>
            <w:rStyle w:val="Hyperlink"/>
            <w:rFonts w:ascii="Arial" w:hAnsi="Arial" w:cs="Arial"/>
            <w:sz w:val="24"/>
            <w:szCs w:val="24"/>
          </w:rPr>
          <w:t>https://www.aristocracy.london/the-8-1-rules-of-handshake-etiquette/</w:t>
        </w:r>
      </w:hyperlink>
      <w:r w:rsidRPr="00F519EF">
        <w:rPr>
          <w:rFonts w:ascii="Arial" w:hAnsi="Arial" w:cs="Arial"/>
          <w:sz w:val="24"/>
          <w:szCs w:val="24"/>
        </w:rPr>
        <w:t xml:space="preserve"> [Accessed on 28 February 2023].</w:t>
      </w:r>
    </w:p>
    <w:p w14:paraId="556BC49E" w14:textId="77777777" w:rsidR="00C377BC" w:rsidRPr="00F519EF" w:rsidRDefault="00163CFE" w:rsidP="00F519EF">
      <w:pPr>
        <w:spacing w:line="360" w:lineRule="auto"/>
        <w:ind w:left="720" w:hanging="720"/>
        <w:jc w:val="both"/>
        <w:rPr>
          <w:rFonts w:ascii="Arial" w:hAnsi="Arial" w:cs="Arial"/>
          <w:sz w:val="24"/>
          <w:szCs w:val="24"/>
        </w:rPr>
      </w:pPr>
      <w:proofErr w:type="spellStart"/>
      <w:r w:rsidRPr="00F519EF">
        <w:rPr>
          <w:rFonts w:ascii="Arial" w:hAnsi="Arial" w:cs="Arial"/>
          <w:sz w:val="24"/>
          <w:szCs w:val="24"/>
        </w:rPr>
        <w:t>Banik</w:t>
      </w:r>
      <w:proofErr w:type="spellEnd"/>
      <w:r w:rsidRPr="00F519EF">
        <w:rPr>
          <w:rFonts w:ascii="Arial" w:hAnsi="Arial" w:cs="Arial"/>
          <w:sz w:val="24"/>
          <w:szCs w:val="24"/>
        </w:rPr>
        <w:t xml:space="preserve">, S., Gao, Y. and </w:t>
      </w:r>
      <w:proofErr w:type="spellStart"/>
      <w:r w:rsidRPr="00F519EF">
        <w:rPr>
          <w:rFonts w:ascii="Arial" w:hAnsi="Arial" w:cs="Arial"/>
          <w:sz w:val="24"/>
          <w:szCs w:val="24"/>
        </w:rPr>
        <w:t>Rabbanee</w:t>
      </w:r>
      <w:proofErr w:type="spellEnd"/>
      <w:r w:rsidRPr="00F519EF">
        <w:rPr>
          <w:rFonts w:ascii="Arial" w:hAnsi="Arial" w:cs="Arial"/>
          <w:sz w:val="24"/>
          <w:szCs w:val="24"/>
        </w:rPr>
        <w:t>, F.K., 2019. Status demotion in hierarchical loyalty programs and its effects on switching: Identifying mediators and moderators in the Chinese context. </w:t>
      </w:r>
      <w:r w:rsidRPr="00F519EF">
        <w:rPr>
          <w:rFonts w:ascii="Arial" w:hAnsi="Arial" w:cs="Arial"/>
          <w:i/>
          <w:iCs/>
          <w:sz w:val="24"/>
          <w:szCs w:val="24"/>
        </w:rPr>
        <w:t>Journal of Business Research</w:t>
      </w:r>
      <w:r w:rsidRPr="00F519EF">
        <w:rPr>
          <w:rFonts w:ascii="Arial" w:hAnsi="Arial" w:cs="Arial"/>
          <w:sz w:val="24"/>
          <w:szCs w:val="24"/>
        </w:rPr>
        <w:t>, </w:t>
      </w:r>
      <w:r w:rsidRPr="00F519EF">
        <w:rPr>
          <w:rFonts w:ascii="Arial" w:hAnsi="Arial" w:cs="Arial"/>
          <w:i/>
          <w:iCs/>
          <w:sz w:val="24"/>
          <w:szCs w:val="24"/>
        </w:rPr>
        <w:t>96</w:t>
      </w:r>
      <w:r w:rsidRPr="00F519EF">
        <w:rPr>
          <w:rFonts w:ascii="Arial" w:hAnsi="Arial" w:cs="Arial"/>
          <w:sz w:val="24"/>
          <w:szCs w:val="24"/>
        </w:rPr>
        <w:t xml:space="preserve">, pp.125-134. Available from: </w:t>
      </w:r>
      <w:hyperlink r:id="rId8" w:history="1">
        <w:r w:rsidRPr="00F519EF">
          <w:rPr>
            <w:rStyle w:val="Hyperlink"/>
            <w:rFonts w:ascii="Arial" w:hAnsi="Arial" w:cs="Arial"/>
            <w:sz w:val="24"/>
            <w:szCs w:val="24"/>
          </w:rPr>
          <w:t>https://www.sciencedirect.com/science/article/abs/pii/S0148296318305629</w:t>
        </w:r>
      </w:hyperlink>
      <w:r w:rsidRPr="00F519EF">
        <w:rPr>
          <w:rFonts w:ascii="Arial" w:hAnsi="Arial" w:cs="Arial"/>
          <w:sz w:val="24"/>
          <w:szCs w:val="24"/>
        </w:rPr>
        <w:t xml:space="preserve"> [Accessed on 28 February 2023].</w:t>
      </w:r>
    </w:p>
    <w:p w14:paraId="2262CAE6" w14:textId="77777777" w:rsidR="004E659A" w:rsidRPr="00F519EF" w:rsidRDefault="00163CFE" w:rsidP="00F519EF">
      <w:pPr>
        <w:spacing w:line="360" w:lineRule="auto"/>
        <w:ind w:left="720" w:hanging="720"/>
        <w:jc w:val="both"/>
        <w:rPr>
          <w:rFonts w:ascii="Arial" w:hAnsi="Arial" w:cs="Arial"/>
          <w:sz w:val="24"/>
          <w:szCs w:val="24"/>
        </w:rPr>
      </w:pPr>
      <w:proofErr w:type="spellStart"/>
      <w:r w:rsidRPr="00F519EF">
        <w:rPr>
          <w:rFonts w:ascii="Arial" w:hAnsi="Arial" w:cs="Arial"/>
          <w:sz w:val="24"/>
          <w:szCs w:val="24"/>
        </w:rPr>
        <w:t>Bayighomog</w:t>
      </w:r>
      <w:proofErr w:type="spellEnd"/>
      <w:r w:rsidRPr="00F519EF">
        <w:rPr>
          <w:rFonts w:ascii="Arial" w:hAnsi="Arial" w:cs="Arial"/>
          <w:sz w:val="24"/>
          <w:szCs w:val="24"/>
        </w:rPr>
        <w:t xml:space="preserve">, S.W. and </w:t>
      </w:r>
      <w:proofErr w:type="spellStart"/>
      <w:r w:rsidRPr="00F519EF">
        <w:rPr>
          <w:rFonts w:ascii="Arial" w:hAnsi="Arial" w:cs="Arial"/>
          <w:sz w:val="24"/>
          <w:szCs w:val="24"/>
        </w:rPr>
        <w:t>Araslı</w:t>
      </w:r>
      <w:proofErr w:type="spellEnd"/>
      <w:r w:rsidRPr="00F519EF">
        <w:rPr>
          <w:rFonts w:ascii="Arial" w:hAnsi="Arial" w:cs="Arial"/>
          <w:sz w:val="24"/>
          <w:szCs w:val="24"/>
        </w:rPr>
        <w:t>, H., 2019. Workplace spirituality–customer engagement Nexus: the mediated role of spiritual leadership on customer–oriented boundary–spanning behaviors. </w:t>
      </w:r>
      <w:r w:rsidRPr="00F519EF">
        <w:rPr>
          <w:rFonts w:ascii="Arial" w:hAnsi="Arial" w:cs="Arial"/>
          <w:i/>
          <w:iCs/>
          <w:sz w:val="24"/>
          <w:szCs w:val="24"/>
        </w:rPr>
        <w:t>The Service Industries Journal</w:t>
      </w:r>
      <w:r w:rsidRPr="00F519EF">
        <w:rPr>
          <w:rFonts w:ascii="Arial" w:hAnsi="Arial" w:cs="Arial"/>
          <w:sz w:val="24"/>
          <w:szCs w:val="24"/>
        </w:rPr>
        <w:t>, </w:t>
      </w:r>
      <w:r w:rsidRPr="00F519EF">
        <w:rPr>
          <w:rFonts w:ascii="Arial" w:hAnsi="Arial" w:cs="Arial"/>
          <w:i/>
          <w:iCs/>
          <w:sz w:val="24"/>
          <w:szCs w:val="24"/>
        </w:rPr>
        <w:t>39</w:t>
      </w:r>
      <w:r w:rsidRPr="00F519EF">
        <w:rPr>
          <w:rFonts w:ascii="Arial" w:hAnsi="Arial" w:cs="Arial"/>
          <w:sz w:val="24"/>
          <w:szCs w:val="24"/>
        </w:rPr>
        <w:t xml:space="preserve">(7-8), pp.637-661. Available from: </w:t>
      </w:r>
      <w:hyperlink r:id="rId9" w:history="1">
        <w:r w:rsidRPr="00F519EF">
          <w:rPr>
            <w:rStyle w:val="Hyperlink"/>
            <w:rFonts w:ascii="Arial" w:hAnsi="Arial" w:cs="Arial"/>
            <w:sz w:val="24"/>
            <w:szCs w:val="24"/>
          </w:rPr>
          <w:t>https://sci-hub.hkvisa.net/10.1016/j.procs.2019.09.149</w:t>
        </w:r>
      </w:hyperlink>
      <w:r w:rsidRPr="00F519EF">
        <w:rPr>
          <w:rFonts w:ascii="Arial" w:hAnsi="Arial" w:cs="Arial"/>
          <w:sz w:val="24"/>
          <w:szCs w:val="24"/>
        </w:rPr>
        <w:t xml:space="preserve"> [Accessed on 28 February 2023].</w:t>
      </w:r>
    </w:p>
    <w:p w14:paraId="430EA9CE" w14:textId="77777777" w:rsidR="005A7D32" w:rsidRPr="00F519EF" w:rsidRDefault="00163CFE" w:rsidP="00F519EF">
      <w:pPr>
        <w:spacing w:line="360" w:lineRule="auto"/>
        <w:ind w:left="720" w:hanging="720"/>
        <w:jc w:val="both"/>
        <w:rPr>
          <w:rFonts w:ascii="Arial" w:hAnsi="Arial" w:cs="Arial"/>
          <w:sz w:val="24"/>
          <w:szCs w:val="24"/>
        </w:rPr>
      </w:pPr>
      <w:r w:rsidRPr="00F519EF">
        <w:rPr>
          <w:rFonts w:ascii="Arial" w:hAnsi="Arial" w:cs="Arial"/>
          <w:sz w:val="24"/>
          <w:szCs w:val="24"/>
        </w:rPr>
        <w:t xml:space="preserve">Hossain, K.M.E., 2022. </w:t>
      </w:r>
      <w:r w:rsidRPr="00F519EF">
        <w:rPr>
          <w:rFonts w:ascii="Arial" w:hAnsi="Arial" w:cs="Arial"/>
          <w:i/>
          <w:sz w:val="24"/>
          <w:szCs w:val="24"/>
        </w:rPr>
        <w:t>International student guide to British etiquette &amp; customs</w:t>
      </w:r>
      <w:r w:rsidRPr="00F519EF">
        <w:rPr>
          <w:rFonts w:ascii="Arial" w:hAnsi="Arial" w:cs="Arial"/>
          <w:sz w:val="24"/>
          <w:szCs w:val="24"/>
        </w:rPr>
        <w:t xml:space="preserve">. Available from: </w:t>
      </w:r>
      <w:hyperlink r:id="rId10" w:history="1">
        <w:r w:rsidRPr="00F519EF">
          <w:rPr>
            <w:rStyle w:val="Hyperlink"/>
            <w:rFonts w:ascii="Arial" w:hAnsi="Arial" w:cs="Arial"/>
            <w:sz w:val="24"/>
            <w:szCs w:val="24"/>
          </w:rPr>
          <w:t>https://www.totalstudentcare.com/guides/en/international-student-guide-to-british-etiquette-and-customs/</w:t>
        </w:r>
      </w:hyperlink>
      <w:r w:rsidRPr="00F519EF">
        <w:rPr>
          <w:rFonts w:ascii="Arial" w:hAnsi="Arial" w:cs="Arial"/>
          <w:sz w:val="24"/>
          <w:szCs w:val="24"/>
        </w:rPr>
        <w:t xml:space="preserve"> [Accessed on 28 February 2023].</w:t>
      </w:r>
    </w:p>
    <w:p w14:paraId="24950BEB" w14:textId="77777777" w:rsidR="004D2950" w:rsidRPr="00F519EF" w:rsidRDefault="00163CFE" w:rsidP="00F519EF">
      <w:pPr>
        <w:spacing w:line="360" w:lineRule="auto"/>
        <w:ind w:left="720" w:hanging="720"/>
        <w:jc w:val="both"/>
        <w:rPr>
          <w:rFonts w:ascii="Arial" w:hAnsi="Arial" w:cs="Arial"/>
          <w:sz w:val="24"/>
          <w:szCs w:val="24"/>
        </w:rPr>
      </w:pPr>
      <w:proofErr w:type="spellStart"/>
      <w:r w:rsidRPr="00F519EF">
        <w:rPr>
          <w:rFonts w:ascii="Arial" w:hAnsi="Arial" w:cs="Arial"/>
          <w:sz w:val="24"/>
          <w:szCs w:val="24"/>
        </w:rPr>
        <w:t>Jhaiyanuntana</w:t>
      </w:r>
      <w:proofErr w:type="spellEnd"/>
      <w:r w:rsidRPr="00F519EF">
        <w:rPr>
          <w:rFonts w:ascii="Arial" w:hAnsi="Arial" w:cs="Arial"/>
          <w:sz w:val="24"/>
          <w:szCs w:val="24"/>
        </w:rPr>
        <w:t xml:space="preserve">, A. and </w:t>
      </w:r>
      <w:proofErr w:type="spellStart"/>
      <w:r w:rsidRPr="00F519EF">
        <w:rPr>
          <w:rFonts w:ascii="Arial" w:hAnsi="Arial" w:cs="Arial"/>
          <w:sz w:val="24"/>
          <w:szCs w:val="24"/>
        </w:rPr>
        <w:t>Nomnian</w:t>
      </w:r>
      <w:proofErr w:type="spellEnd"/>
      <w:r w:rsidRPr="00F519EF">
        <w:rPr>
          <w:rFonts w:ascii="Arial" w:hAnsi="Arial" w:cs="Arial"/>
          <w:sz w:val="24"/>
          <w:szCs w:val="24"/>
        </w:rPr>
        <w:t>, S., 2020. Intercultural communication challenges and strategies for the Thai undergraduate hotel interns. </w:t>
      </w:r>
      <w:r w:rsidRPr="00F519EF">
        <w:rPr>
          <w:rFonts w:ascii="Arial" w:hAnsi="Arial" w:cs="Arial"/>
          <w:i/>
          <w:iCs/>
          <w:sz w:val="24"/>
          <w:szCs w:val="24"/>
        </w:rPr>
        <w:t>PASAA: Journal of Language Teaching and Learning in Thailand</w:t>
      </w:r>
      <w:r w:rsidRPr="00F519EF">
        <w:rPr>
          <w:rFonts w:ascii="Arial" w:hAnsi="Arial" w:cs="Arial"/>
          <w:sz w:val="24"/>
          <w:szCs w:val="24"/>
        </w:rPr>
        <w:t>, </w:t>
      </w:r>
      <w:r w:rsidRPr="00F519EF">
        <w:rPr>
          <w:rFonts w:ascii="Arial" w:hAnsi="Arial" w:cs="Arial"/>
          <w:i/>
          <w:iCs/>
          <w:sz w:val="24"/>
          <w:szCs w:val="24"/>
        </w:rPr>
        <w:t>59</w:t>
      </w:r>
      <w:r w:rsidRPr="00F519EF">
        <w:rPr>
          <w:rFonts w:ascii="Arial" w:hAnsi="Arial" w:cs="Arial"/>
          <w:sz w:val="24"/>
          <w:szCs w:val="24"/>
        </w:rPr>
        <w:t xml:space="preserve">, pp.204-235. Available from: </w:t>
      </w:r>
      <w:hyperlink r:id="rId11" w:history="1">
        <w:r w:rsidRPr="00F519EF">
          <w:rPr>
            <w:rStyle w:val="Hyperlink"/>
            <w:rFonts w:ascii="Arial" w:hAnsi="Arial" w:cs="Arial"/>
            <w:sz w:val="24"/>
            <w:szCs w:val="24"/>
          </w:rPr>
          <w:t>https://files.eric.ed.gov/fulltext/EJ1240001.pdf</w:t>
        </w:r>
      </w:hyperlink>
      <w:r w:rsidRPr="00F519EF">
        <w:rPr>
          <w:rFonts w:ascii="Arial" w:hAnsi="Arial" w:cs="Arial"/>
          <w:sz w:val="24"/>
          <w:szCs w:val="24"/>
        </w:rPr>
        <w:t xml:space="preserve"> [Accessed on 28 February 2023].</w:t>
      </w:r>
    </w:p>
    <w:p w14:paraId="04F7062C" w14:textId="77777777" w:rsidR="00C2345F" w:rsidRPr="00F519EF" w:rsidRDefault="00163CFE" w:rsidP="00F519EF">
      <w:pPr>
        <w:spacing w:line="360" w:lineRule="auto"/>
        <w:ind w:left="720" w:hanging="720"/>
        <w:jc w:val="both"/>
        <w:rPr>
          <w:rFonts w:ascii="Arial" w:hAnsi="Arial" w:cs="Arial"/>
          <w:sz w:val="24"/>
          <w:szCs w:val="24"/>
        </w:rPr>
      </w:pPr>
      <w:r w:rsidRPr="00F519EF">
        <w:rPr>
          <w:rFonts w:ascii="Arial" w:hAnsi="Arial" w:cs="Arial"/>
          <w:sz w:val="24"/>
          <w:szCs w:val="24"/>
        </w:rPr>
        <w:t xml:space="preserve">Kawaguchi-Suzuki, M., Law, M.G., </w:t>
      </w:r>
      <w:proofErr w:type="spellStart"/>
      <w:r w:rsidRPr="00F519EF">
        <w:rPr>
          <w:rFonts w:ascii="Arial" w:hAnsi="Arial" w:cs="Arial"/>
          <w:sz w:val="24"/>
          <w:szCs w:val="24"/>
        </w:rPr>
        <w:t>Prisco</w:t>
      </w:r>
      <w:proofErr w:type="spellEnd"/>
      <w:r w:rsidRPr="00F519EF">
        <w:rPr>
          <w:rFonts w:ascii="Arial" w:hAnsi="Arial" w:cs="Arial"/>
          <w:sz w:val="24"/>
          <w:szCs w:val="24"/>
        </w:rPr>
        <w:t>, J., Head, K., Fu, L., Yumoto, T., Kamei, J., Yang, M., Cheng, K.J. and Hogue, M.D., 2019. Cultural sensitivity and global pharmacy engagement in Asia: China, Japan, South Korea, and Taiwan. </w:t>
      </w:r>
      <w:r w:rsidRPr="00F519EF">
        <w:rPr>
          <w:rFonts w:ascii="Arial" w:hAnsi="Arial" w:cs="Arial"/>
          <w:i/>
          <w:iCs/>
          <w:sz w:val="24"/>
          <w:szCs w:val="24"/>
        </w:rPr>
        <w:t>American journal of pharmaceutical education</w:t>
      </w:r>
      <w:r w:rsidRPr="00F519EF">
        <w:rPr>
          <w:rFonts w:ascii="Arial" w:hAnsi="Arial" w:cs="Arial"/>
          <w:sz w:val="24"/>
          <w:szCs w:val="24"/>
        </w:rPr>
        <w:t>, </w:t>
      </w:r>
      <w:r w:rsidRPr="00F519EF">
        <w:rPr>
          <w:rFonts w:ascii="Arial" w:hAnsi="Arial" w:cs="Arial"/>
          <w:i/>
          <w:iCs/>
          <w:sz w:val="24"/>
          <w:szCs w:val="24"/>
        </w:rPr>
        <w:t>83</w:t>
      </w:r>
      <w:r w:rsidRPr="00F519EF">
        <w:rPr>
          <w:rFonts w:ascii="Arial" w:hAnsi="Arial" w:cs="Arial"/>
          <w:sz w:val="24"/>
          <w:szCs w:val="24"/>
        </w:rPr>
        <w:t xml:space="preserve">(4). Available from: </w:t>
      </w:r>
      <w:hyperlink r:id="rId12" w:history="1">
        <w:r w:rsidRPr="00F519EF">
          <w:rPr>
            <w:rStyle w:val="Hyperlink"/>
            <w:rFonts w:ascii="Arial" w:hAnsi="Arial" w:cs="Arial"/>
            <w:sz w:val="24"/>
            <w:szCs w:val="24"/>
          </w:rPr>
          <w:t>https://www.ajpe.org/content/ajpe/83/4/7214.full.pdf</w:t>
        </w:r>
      </w:hyperlink>
      <w:r w:rsidRPr="00F519EF">
        <w:rPr>
          <w:rFonts w:ascii="Arial" w:hAnsi="Arial" w:cs="Arial"/>
          <w:sz w:val="24"/>
          <w:szCs w:val="24"/>
        </w:rPr>
        <w:t xml:space="preserve"> [Accessed on 28 February 2023].</w:t>
      </w:r>
    </w:p>
    <w:p w14:paraId="1036B7ED" w14:textId="77777777" w:rsidR="00881F06" w:rsidRPr="00F519EF" w:rsidRDefault="00163CFE" w:rsidP="00F519EF">
      <w:pPr>
        <w:spacing w:line="360" w:lineRule="auto"/>
        <w:ind w:left="720" w:hanging="720"/>
        <w:jc w:val="both"/>
        <w:rPr>
          <w:rFonts w:ascii="Arial" w:hAnsi="Arial" w:cs="Arial"/>
          <w:sz w:val="24"/>
          <w:szCs w:val="24"/>
        </w:rPr>
      </w:pPr>
      <w:r w:rsidRPr="00F519EF">
        <w:rPr>
          <w:rFonts w:ascii="Arial" w:hAnsi="Arial" w:cs="Arial"/>
          <w:sz w:val="24"/>
          <w:szCs w:val="24"/>
        </w:rPr>
        <w:lastRenderedPageBreak/>
        <w:t xml:space="preserve">Pang, K., 2021. </w:t>
      </w:r>
      <w:r w:rsidRPr="00F519EF">
        <w:rPr>
          <w:rFonts w:ascii="Arial" w:hAnsi="Arial" w:cs="Arial"/>
          <w:i/>
          <w:sz w:val="24"/>
          <w:szCs w:val="24"/>
        </w:rPr>
        <w:t>10 Things Not to Do in China.</w:t>
      </w:r>
      <w:r w:rsidRPr="00F519EF">
        <w:rPr>
          <w:rFonts w:ascii="Arial" w:hAnsi="Arial" w:cs="Arial"/>
          <w:sz w:val="24"/>
          <w:szCs w:val="24"/>
        </w:rPr>
        <w:t xml:space="preserve"> China Highlights. Available from: </w:t>
      </w:r>
      <w:hyperlink r:id="rId13" w:history="1">
        <w:r w:rsidRPr="00F519EF">
          <w:rPr>
            <w:rStyle w:val="Hyperlink"/>
            <w:rFonts w:ascii="Arial" w:hAnsi="Arial" w:cs="Arial"/>
            <w:sz w:val="24"/>
            <w:szCs w:val="24"/>
          </w:rPr>
          <w:t>https://www.chinahighlights.com/travelguide/article-things-not-to-do-in-china.htm</w:t>
        </w:r>
      </w:hyperlink>
      <w:r w:rsidRPr="00F519EF">
        <w:rPr>
          <w:rFonts w:ascii="Arial" w:hAnsi="Arial" w:cs="Arial"/>
          <w:sz w:val="24"/>
          <w:szCs w:val="24"/>
        </w:rPr>
        <w:t xml:space="preserve"> [Accessed on 28 February 2023].</w:t>
      </w:r>
    </w:p>
    <w:p w14:paraId="1E3AC17D" w14:textId="77777777" w:rsidR="00310B8E" w:rsidRPr="00F519EF" w:rsidRDefault="00163CFE" w:rsidP="00F519EF">
      <w:pPr>
        <w:spacing w:line="360" w:lineRule="auto"/>
        <w:ind w:left="720" w:hanging="720"/>
        <w:jc w:val="both"/>
        <w:rPr>
          <w:rFonts w:ascii="Arial" w:hAnsi="Arial" w:cs="Arial"/>
          <w:sz w:val="24"/>
          <w:szCs w:val="24"/>
        </w:rPr>
      </w:pPr>
      <w:r w:rsidRPr="00F519EF">
        <w:rPr>
          <w:rFonts w:ascii="Arial" w:hAnsi="Arial" w:cs="Arial"/>
          <w:sz w:val="24"/>
          <w:szCs w:val="24"/>
        </w:rPr>
        <w:t xml:space="preserve">Payne, L., Flannery, H., </w:t>
      </w:r>
      <w:proofErr w:type="spellStart"/>
      <w:r w:rsidRPr="00F519EF">
        <w:rPr>
          <w:rFonts w:ascii="Arial" w:hAnsi="Arial" w:cs="Arial"/>
          <w:sz w:val="24"/>
          <w:szCs w:val="24"/>
        </w:rPr>
        <w:t>Kambakara</w:t>
      </w:r>
      <w:proofErr w:type="spellEnd"/>
      <w:r w:rsidRPr="00F519EF">
        <w:rPr>
          <w:rFonts w:ascii="Arial" w:hAnsi="Arial" w:cs="Arial"/>
          <w:sz w:val="24"/>
          <w:szCs w:val="24"/>
        </w:rPr>
        <w:t xml:space="preserve"> </w:t>
      </w:r>
      <w:proofErr w:type="spellStart"/>
      <w:r w:rsidRPr="00F519EF">
        <w:rPr>
          <w:rFonts w:ascii="Arial" w:hAnsi="Arial" w:cs="Arial"/>
          <w:sz w:val="24"/>
          <w:szCs w:val="24"/>
        </w:rPr>
        <w:t>Gedara</w:t>
      </w:r>
      <w:proofErr w:type="spellEnd"/>
      <w:r w:rsidRPr="00F519EF">
        <w:rPr>
          <w:rFonts w:ascii="Arial" w:hAnsi="Arial" w:cs="Arial"/>
          <w:sz w:val="24"/>
          <w:szCs w:val="24"/>
        </w:rPr>
        <w:t xml:space="preserve">, C., </w:t>
      </w:r>
      <w:proofErr w:type="spellStart"/>
      <w:r w:rsidRPr="00F519EF">
        <w:rPr>
          <w:rFonts w:ascii="Arial" w:hAnsi="Arial" w:cs="Arial"/>
          <w:sz w:val="24"/>
          <w:szCs w:val="24"/>
        </w:rPr>
        <w:t>Daniilidi</w:t>
      </w:r>
      <w:proofErr w:type="spellEnd"/>
      <w:r w:rsidRPr="00F519EF">
        <w:rPr>
          <w:rFonts w:ascii="Arial" w:hAnsi="Arial" w:cs="Arial"/>
          <w:sz w:val="24"/>
          <w:szCs w:val="24"/>
        </w:rPr>
        <w:t>, X., Hitchcock, M., Lambert, D., Taylor, C. and Christie, D., 2020. Business as usual? Psychological support at a distance. </w:t>
      </w:r>
      <w:r w:rsidRPr="00F519EF">
        <w:rPr>
          <w:rFonts w:ascii="Arial" w:hAnsi="Arial" w:cs="Arial"/>
          <w:i/>
          <w:iCs/>
          <w:sz w:val="24"/>
          <w:szCs w:val="24"/>
        </w:rPr>
        <w:t>Clinical Child Psychology and Psychiatry</w:t>
      </w:r>
      <w:r w:rsidRPr="00F519EF">
        <w:rPr>
          <w:rFonts w:ascii="Arial" w:hAnsi="Arial" w:cs="Arial"/>
          <w:sz w:val="24"/>
          <w:szCs w:val="24"/>
        </w:rPr>
        <w:t>, </w:t>
      </w:r>
      <w:r w:rsidRPr="00F519EF">
        <w:rPr>
          <w:rFonts w:ascii="Arial" w:hAnsi="Arial" w:cs="Arial"/>
          <w:i/>
          <w:iCs/>
          <w:sz w:val="24"/>
          <w:szCs w:val="24"/>
        </w:rPr>
        <w:t>25</w:t>
      </w:r>
      <w:r w:rsidRPr="00F519EF">
        <w:rPr>
          <w:rFonts w:ascii="Arial" w:hAnsi="Arial" w:cs="Arial"/>
          <w:sz w:val="24"/>
          <w:szCs w:val="24"/>
        </w:rPr>
        <w:t>(3), pp.672-686. Avai</w:t>
      </w:r>
      <w:r w:rsidR="003F7873" w:rsidRPr="00F519EF">
        <w:rPr>
          <w:rFonts w:ascii="Arial" w:hAnsi="Arial" w:cs="Arial"/>
          <w:sz w:val="24"/>
          <w:szCs w:val="24"/>
        </w:rPr>
        <w:t xml:space="preserve">lable from: </w:t>
      </w:r>
      <w:hyperlink r:id="rId14" w:history="1">
        <w:r w:rsidR="003F7873" w:rsidRPr="00F519EF">
          <w:rPr>
            <w:rStyle w:val="Hyperlink"/>
            <w:rFonts w:ascii="Arial" w:hAnsi="Arial" w:cs="Arial"/>
            <w:sz w:val="24"/>
            <w:szCs w:val="24"/>
          </w:rPr>
          <w:t>https://journals.sagepub.com/doi/pdf/10.1177/1359104520937378</w:t>
        </w:r>
      </w:hyperlink>
      <w:r w:rsidR="003F7873" w:rsidRPr="00F519EF">
        <w:rPr>
          <w:rFonts w:ascii="Arial" w:hAnsi="Arial" w:cs="Arial"/>
          <w:sz w:val="24"/>
          <w:szCs w:val="24"/>
        </w:rPr>
        <w:t xml:space="preserve"> [Accessed on 28 February 2023]. </w:t>
      </w:r>
    </w:p>
    <w:p w14:paraId="707DB7E7" w14:textId="7816189D" w:rsidR="00881371" w:rsidRPr="00F519EF" w:rsidRDefault="00881371" w:rsidP="00F519EF">
      <w:pPr>
        <w:spacing w:line="360" w:lineRule="auto"/>
        <w:ind w:left="720" w:hanging="720"/>
        <w:jc w:val="both"/>
        <w:rPr>
          <w:rFonts w:ascii="Arial" w:hAnsi="Arial" w:cs="Arial"/>
          <w:sz w:val="24"/>
          <w:szCs w:val="24"/>
        </w:rPr>
      </w:pPr>
      <w:r w:rsidRPr="00F519EF">
        <w:rPr>
          <w:rFonts w:ascii="Arial" w:hAnsi="Arial" w:cs="Arial"/>
          <w:sz w:val="24"/>
          <w:szCs w:val="24"/>
        </w:rPr>
        <w:t xml:space="preserve">Radojevic, T., </w:t>
      </w:r>
      <w:proofErr w:type="spellStart"/>
      <w:r w:rsidRPr="00F519EF">
        <w:rPr>
          <w:rFonts w:ascii="Arial" w:hAnsi="Arial" w:cs="Arial"/>
          <w:sz w:val="24"/>
          <w:szCs w:val="24"/>
        </w:rPr>
        <w:t>Stanisic</w:t>
      </w:r>
      <w:proofErr w:type="spellEnd"/>
      <w:r w:rsidRPr="00F519EF">
        <w:rPr>
          <w:rFonts w:ascii="Arial" w:hAnsi="Arial" w:cs="Arial"/>
          <w:sz w:val="24"/>
          <w:szCs w:val="24"/>
        </w:rPr>
        <w:t xml:space="preserve">, N. and </w:t>
      </w:r>
      <w:proofErr w:type="spellStart"/>
      <w:r w:rsidRPr="00F519EF">
        <w:rPr>
          <w:rFonts w:ascii="Arial" w:hAnsi="Arial" w:cs="Arial"/>
          <w:sz w:val="24"/>
          <w:szCs w:val="24"/>
        </w:rPr>
        <w:t>Stanic</w:t>
      </w:r>
      <w:proofErr w:type="spellEnd"/>
      <w:r w:rsidRPr="00F519EF">
        <w:rPr>
          <w:rFonts w:ascii="Arial" w:hAnsi="Arial" w:cs="Arial"/>
          <w:sz w:val="24"/>
          <w:szCs w:val="24"/>
        </w:rPr>
        <w:t>, N., 2019. The culture of hospitality: From anecdote to evidence. </w:t>
      </w:r>
      <w:r w:rsidRPr="00F519EF">
        <w:rPr>
          <w:rFonts w:ascii="Arial" w:hAnsi="Arial" w:cs="Arial"/>
          <w:i/>
          <w:iCs/>
          <w:sz w:val="24"/>
          <w:szCs w:val="24"/>
        </w:rPr>
        <w:t>Annals of Tourism Research</w:t>
      </w:r>
      <w:r w:rsidRPr="00F519EF">
        <w:rPr>
          <w:rFonts w:ascii="Arial" w:hAnsi="Arial" w:cs="Arial"/>
          <w:sz w:val="24"/>
          <w:szCs w:val="24"/>
        </w:rPr>
        <w:t>, </w:t>
      </w:r>
      <w:r w:rsidRPr="00F519EF">
        <w:rPr>
          <w:rFonts w:ascii="Arial" w:hAnsi="Arial" w:cs="Arial"/>
          <w:i/>
          <w:iCs/>
          <w:sz w:val="24"/>
          <w:szCs w:val="24"/>
        </w:rPr>
        <w:t>79</w:t>
      </w:r>
      <w:r w:rsidRPr="00F519EF">
        <w:rPr>
          <w:rFonts w:ascii="Arial" w:hAnsi="Arial" w:cs="Arial"/>
          <w:sz w:val="24"/>
          <w:szCs w:val="24"/>
        </w:rPr>
        <w:t xml:space="preserve">, p.102789. Available from: </w:t>
      </w:r>
      <w:hyperlink r:id="rId15" w:history="1">
        <w:r w:rsidRPr="00F519EF">
          <w:rPr>
            <w:rStyle w:val="Hyperlink"/>
            <w:rFonts w:ascii="Arial" w:hAnsi="Arial" w:cs="Arial"/>
            <w:sz w:val="24"/>
            <w:szCs w:val="24"/>
          </w:rPr>
          <w:t>https://cultureinworkplace.com/wp-content/uploads/2019/10/Preprint-The-culture-of-hospitality-From-anecdote-to-evidence.pdf</w:t>
        </w:r>
      </w:hyperlink>
      <w:r w:rsidRPr="00F519EF">
        <w:rPr>
          <w:rFonts w:ascii="Arial" w:hAnsi="Arial" w:cs="Arial"/>
          <w:sz w:val="24"/>
          <w:szCs w:val="24"/>
        </w:rPr>
        <w:t xml:space="preserve"> [Accessed on 2 March 2023]. </w:t>
      </w:r>
    </w:p>
    <w:p w14:paraId="4F1D8956" w14:textId="22050AE3" w:rsidR="00615F53" w:rsidRPr="00F519EF" w:rsidRDefault="00163CFE" w:rsidP="00F519EF">
      <w:pPr>
        <w:spacing w:line="360" w:lineRule="auto"/>
        <w:ind w:left="720" w:hanging="720"/>
        <w:jc w:val="both"/>
        <w:rPr>
          <w:rFonts w:ascii="Arial" w:hAnsi="Arial" w:cs="Arial"/>
          <w:sz w:val="24"/>
          <w:szCs w:val="24"/>
        </w:rPr>
      </w:pPr>
      <w:r w:rsidRPr="00F519EF">
        <w:rPr>
          <w:rFonts w:ascii="Arial" w:hAnsi="Arial" w:cs="Arial"/>
          <w:sz w:val="24"/>
          <w:szCs w:val="24"/>
        </w:rPr>
        <w:t>Whelan, G., 2019. ‘</w:t>
      </w:r>
      <w:r w:rsidRPr="00F519EF">
        <w:rPr>
          <w:rFonts w:ascii="Arial" w:hAnsi="Arial" w:cs="Arial"/>
          <w:i/>
          <w:sz w:val="24"/>
          <w:szCs w:val="24"/>
        </w:rPr>
        <w:t>Have patience and long-term vision’: how to capture Chinese spend.</w:t>
      </w:r>
      <w:r w:rsidRPr="00F519EF">
        <w:rPr>
          <w:rFonts w:ascii="Arial" w:hAnsi="Arial" w:cs="Arial"/>
          <w:sz w:val="24"/>
          <w:szCs w:val="24"/>
        </w:rPr>
        <w:t xml:space="preserve"> Available from: </w:t>
      </w:r>
      <w:hyperlink r:id="rId16" w:history="1">
        <w:r w:rsidRPr="00F519EF">
          <w:rPr>
            <w:rStyle w:val="Hyperlink"/>
            <w:rFonts w:ascii="Arial" w:hAnsi="Arial" w:cs="Arial"/>
            <w:sz w:val="24"/>
            <w:szCs w:val="24"/>
          </w:rPr>
          <w:t>https://www.drapersonline.com/news/have-patience-and-long-term-vision-how-to-capture-chinese-spend</w:t>
        </w:r>
      </w:hyperlink>
      <w:r w:rsidRPr="00F519EF">
        <w:rPr>
          <w:rFonts w:ascii="Arial" w:hAnsi="Arial" w:cs="Arial"/>
          <w:sz w:val="24"/>
          <w:szCs w:val="24"/>
        </w:rPr>
        <w:t xml:space="preserve"> [Accessed on 28 February 2023]. </w:t>
      </w:r>
    </w:p>
    <w:p w14:paraId="3B2A9989" w14:textId="77777777" w:rsidR="00CF52D9" w:rsidRPr="00F519EF" w:rsidRDefault="00163CFE" w:rsidP="00F519EF">
      <w:pPr>
        <w:spacing w:line="360" w:lineRule="auto"/>
        <w:ind w:left="720" w:hanging="720"/>
        <w:jc w:val="both"/>
        <w:rPr>
          <w:rFonts w:ascii="Arial" w:hAnsi="Arial" w:cs="Arial"/>
          <w:sz w:val="24"/>
          <w:szCs w:val="24"/>
        </w:rPr>
      </w:pPr>
      <w:r w:rsidRPr="00F519EF">
        <w:rPr>
          <w:rFonts w:ascii="Arial" w:hAnsi="Arial" w:cs="Arial"/>
          <w:sz w:val="24"/>
          <w:szCs w:val="24"/>
        </w:rPr>
        <w:t xml:space="preserve">Youth Employment UK. 2020. </w:t>
      </w:r>
      <w:r w:rsidRPr="00F519EF">
        <w:rPr>
          <w:rFonts w:ascii="Arial" w:hAnsi="Arial" w:cs="Arial"/>
          <w:i/>
          <w:sz w:val="24"/>
          <w:szCs w:val="24"/>
        </w:rPr>
        <w:t>Active Listening: Why Is It Important Not To Interrupt?</w:t>
      </w:r>
      <w:r w:rsidRPr="00F519EF">
        <w:rPr>
          <w:rFonts w:ascii="Arial" w:hAnsi="Arial" w:cs="Arial"/>
          <w:sz w:val="24"/>
          <w:szCs w:val="24"/>
        </w:rPr>
        <w:t xml:space="preserve"> Available from: </w:t>
      </w:r>
      <w:hyperlink r:id="rId17" w:history="1">
        <w:r w:rsidRPr="00F519EF">
          <w:rPr>
            <w:rStyle w:val="Hyperlink"/>
            <w:rFonts w:ascii="Arial" w:hAnsi="Arial" w:cs="Arial"/>
            <w:sz w:val="24"/>
            <w:szCs w:val="24"/>
          </w:rPr>
          <w:t>https://www.youthemployment.org.uk/active-listening-why-is-it-important-not-to-interrupt/</w:t>
        </w:r>
      </w:hyperlink>
      <w:r w:rsidRPr="00F519EF">
        <w:rPr>
          <w:rFonts w:ascii="Arial" w:hAnsi="Arial" w:cs="Arial"/>
          <w:sz w:val="24"/>
          <w:szCs w:val="24"/>
        </w:rPr>
        <w:t xml:space="preserve"> [Accessed on 28 February 2023]. </w:t>
      </w:r>
    </w:p>
    <w:sectPr w:rsidR="00CF52D9" w:rsidRPr="00F519EF">
      <w:head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21E263" w14:textId="77777777" w:rsidR="00B37131" w:rsidRDefault="00B37131">
      <w:pPr>
        <w:spacing w:after="0" w:line="240" w:lineRule="auto"/>
      </w:pPr>
      <w:r>
        <w:separator/>
      </w:r>
    </w:p>
  </w:endnote>
  <w:endnote w:type="continuationSeparator" w:id="0">
    <w:p w14:paraId="4841912F" w14:textId="77777777" w:rsidR="00B37131" w:rsidRDefault="00B37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54497" w14:textId="77777777" w:rsidR="00B37131" w:rsidRDefault="00B37131">
      <w:pPr>
        <w:spacing w:after="0" w:line="240" w:lineRule="auto"/>
      </w:pPr>
      <w:r>
        <w:separator/>
      </w:r>
    </w:p>
  </w:footnote>
  <w:footnote w:type="continuationSeparator" w:id="0">
    <w:p w14:paraId="4CBE94AB" w14:textId="77777777" w:rsidR="00B37131" w:rsidRDefault="00B371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498145588"/>
      <w:docPartObj>
        <w:docPartGallery w:val="Page Numbers (Top of Page)"/>
        <w:docPartUnique/>
      </w:docPartObj>
    </w:sdtPr>
    <w:sdtEndPr>
      <w:rPr>
        <w:noProof/>
      </w:rPr>
    </w:sdtEndPr>
    <w:sdtContent>
      <w:p w14:paraId="1C3DC040" w14:textId="77777777" w:rsidR="00C52B6E" w:rsidRPr="006511EC" w:rsidRDefault="00C52B6E">
        <w:pPr>
          <w:pStyle w:val="Header"/>
          <w:jc w:val="right"/>
          <w:rPr>
            <w:rFonts w:ascii="Times New Roman" w:hAnsi="Times New Roman" w:cs="Times New Roman"/>
            <w:sz w:val="24"/>
            <w:szCs w:val="24"/>
          </w:rPr>
        </w:pPr>
        <w:r w:rsidRPr="006511EC">
          <w:rPr>
            <w:rFonts w:ascii="Times New Roman" w:hAnsi="Times New Roman" w:cs="Times New Roman"/>
            <w:sz w:val="24"/>
            <w:szCs w:val="24"/>
          </w:rPr>
          <w:t xml:space="preserve">Hotel Handbook </w:t>
        </w:r>
        <w:r w:rsidRPr="006511EC">
          <w:rPr>
            <w:rFonts w:ascii="Times New Roman" w:hAnsi="Times New Roman" w:cs="Times New Roman"/>
            <w:sz w:val="24"/>
            <w:szCs w:val="24"/>
          </w:rPr>
          <w:fldChar w:fldCharType="begin"/>
        </w:r>
        <w:r w:rsidRPr="006511EC">
          <w:rPr>
            <w:rFonts w:ascii="Times New Roman" w:hAnsi="Times New Roman" w:cs="Times New Roman"/>
            <w:sz w:val="24"/>
            <w:szCs w:val="24"/>
          </w:rPr>
          <w:instrText xml:space="preserve"> PAGE   \* MERGEFORMAT </w:instrText>
        </w:r>
        <w:r w:rsidRPr="006511EC">
          <w:rPr>
            <w:rFonts w:ascii="Times New Roman" w:hAnsi="Times New Roman" w:cs="Times New Roman"/>
            <w:sz w:val="24"/>
            <w:szCs w:val="24"/>
          </w:rPr>
          <w:fldChar w:fldCharType="separate"/>
        </w:r>
        <w:r w:rsidR="00CE6902">
          <w:rPr>
            <w:rFonts w:ascii="Times New Roman" w:hAnsi="Times New Roman" w:cs="Times New Roman"/>
            <w:noProof/>
            <w:sz w:val="24"/>
            <w:szCs w:val="24"/>
          </w:rPr>
          <w:t>8</w:t>
        </w:r>
        <w:r w:rsidRPr="006511EC">
          <w:rPr>
            <w:rFonts w:ascii="Times New Roman" w:hAnsi="Times New Roman" w:cs="Times New Roman"/>
            <w:noProof/>
            <w:sz w:val="24"/>
            <w:szCs w:val="24"/>
          </w:rPr>
          <w:fldChar w:fldCharType="end"/>
        </w:r>
      </w:p>
    </w:sdtContent>
  </w:sdt>
  <w:p w14:paraId="0805246E" w14:textId="77777777" w:rsidR="00C52B6E" w:rsidRDefault="00C52B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11EC"/>
    <w:rsid w:val="00001E36"/>
    <w:rsid w:val="00004325"/>
    <w:rsid w:val="0002097B"/>
    <w:rsid w:val="000C6C7F"/>
    <w:rsid w:val="000D2C77"/>
    <w:rsid w:val="00143B50"/>
    <w:rsid w:val="00163CFE"/>
    <w:rsid w:val="001B04C7"/>
    <w:rsid w:val="001C2022"/>
    <w:rsid w:val="001D5C54"/>
    <w:rsid w:val="00202316"/>
    <w:rsid w:val="0022623C"/>
    <w:rsid w:val="002448A0"/>
    <w:rsid w:val="00280DE3"/>
    <w:rsid w:val="00310B8E"/>
    <w:rsid w:val="00324AAB"/>
    <w:rsid w:val="00333A24"/>
    <w:rsid w:val="00355B7E"/>
    <w:rsid w:val="003863A0"/>
    <w:rsid w:val="00397FB6"/>
    <w:rsid w:val="003C51F2"/>
    <w:rsid w:val="003F7873"/>
    <w:rsid w:val="0041464A"/>
    <w:rsid w:val="00472435"/>
    <w:rsid w:val="004B52B7"/>
    <w:rsid w:val="004D2950"/>
    <w:rsid w:val="004D5669"/>
    <w:rsid w:val="004E659A"/>
    <w:rsid w:val="004F74A3"/>
    <w:rsid w:val="00505C5E"/>
    <w:rsid w:val="00524DE0"/>
    <w:rsid w:val="00533869"/>
    <w:rsid w:val="00552F10"/>
    <w:rsid w:val="00570C7D"/>
    <w:rsid w:val="0058738C"/>
    <w:rsid w:val="005A67BD"/>
    <w:rsid w:val="005A7D32"/>
    <w:rsid w:val="005D72A0"/>
    <w:rsid w:val="00602058"/>
    <w:rsid w:val="00615F53"/>
    <w:rsid w:val="006511EC"/>
    <w:rsid w:val="00665D98"/>
    <w:rsid w:val="006C3BEA"/>
    <w:rsid w:val="006F2796"/>
    <w:rsid w:val="00702319"/>
    <w:rsid w:val="0077086F"/>
    <w:rsid w:val="007D56AE"/>
    <w:rsid w:val="007F574B"/>
    <w:rsid w:val="00813963"/>
    <w:rsid w:val="00851A1E"/>
    <w:rsid w:val="008528B4"/>
    <w:rsid w:val="00875CD8"/>
    <w:rsid w:val="00881371"/>
    <w:rsid w:val="00881F06"/>
    <w:rsid w:val="0089711B"/>
    <w:rsid w:val="009332C5"/>
    <w:rsid w:val="00937BBE"/>
    <w:rsid w:val="00986DB4"/>
    <w:rsid w:val="009D2E5B"/>
    <w:rsid w:val="00A042D4"/>
    <w:rsid w:val="00A04402"/>
    <w:rsid w:val="00A340F1"/>
    <w:rsid w:val="00A61919"/>
    <w:rsid w:val="00A70834"/>
    <w:rsid w:val="00AA0546"/>
    <w:rsid w:val="00AE511B"/>
    <w:rsid w:val="00AE7A7A"/>
    <w:rsid w:val="00AF1AB6"/>
    <w:rsid w:val="00B17B51"/>
    <w:rsid w:val="00B37131"/>
    <w:rsid w:val="00B50E94"/>
    <w:rsid w:val="00B53156"/>
    <w:rsid w:val="00B54C3E"/>
    <w:rsid w:val="00B937D6"/>
    <w:rsid w:val="00B964B7"/>
    <w:rsid w:val="00BE5F41"/>
    <w:rsid w:val="00BF02D1"/>
    <w:rsid w:val="00C2345F"/>
    <w:rsid w:val="00C300D6"/>
    <w:rsid w:val="00C355BA"/>
    <w:rsid w:val="00C377BC"/>
    <w:rsid w:val="00C528EE"/>
    <w:rsid w:val="00C52B6E"/>
    <w:rsid w:val="00C54A0B"/>
    <w:rsid w:val="00C552BC"/>
    <w:rsid w:val="00C93A3F"/>
    <w:rsid w:val="00CA49B6"/>
    <w:rsid w:val="00CE6902"/>
    <w:rsid w:val="00CF2062"/>
    <w:rsid w:val="00CF52D9"/>
    <w:rsid w:val="00D75087"/>
    <w:rsid w:val="00D874E2"/>
    <w:rsid w:val="00D9427D"/>
    <w:rsid w:val="00DD70D8"/>
    <w:rsid w:val="00E10BE9"/>
    <w:rsid w:val="00E22F13"/>
    <w:rsid w:val="00E5455A"/>
    <w:rsid w:val="00E54A99"/>
    <w:rsid w:val="00E5713A"/>
    <w:rsid w:val="00E65F05"/>
    <w:rsid w:val="00EA0FDC"/>
    <w:rsid w:val="00F519EF"/>
    <w:rsid w:val="00F6072E"/>
    <w:rsid w:val="00F72C0E"/>
    <w:rsid w:val="00FC221A"/>
    <w:rsid w:val="00FD5F44"/>
    <w:rsid w:val="00FE7D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3761E"/>
  <w15:docId w15:val="{3E495944-B60F-49EE-8F4C-E56FF4954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1464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1464A"/>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11E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11EC"/>
  </w:style>
  <w:style w:type="paragraph" w:styleId="Footer">
    <w:name w:val="footer"/>
    <w:basedOn w:val="Normal"/>
    <w:link w:val="FooterChar"/>
    <w:uiPriority w:val="99"/>
    <w:unhideWhenUsed/>
    <w:rsid w:val="006511E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11EC"/>
  </w:style>
  <w:style w:type="table" w:styleId="TableGrid">
    <w:name w:val="Table Grid"/>
    <w:basedOn w:val="TableNormal"/>
    <w:uiPriority w:val="59"/>
    <w:rsid w:val="006020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15F53"/>
    <w:rPr>
      <w:color w:val="0000FF" w:themeColor="hyperlink"/>
      <w:u w:val="single"/>
    </w:rPr>
  </w:style>
  <w:style w:type="character" w:customStyle="1" w:styleId="Heading1Char">
    <w:name w:val="Heading 1 Char"/>
    <w:basedOn w:val="DefaultParagraphFont"/>
    <w:link w:val="Heading1"/>
    <w:uiPriority w:val="9"/>
    <w:rsid w:val="0041464A"/>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41464A"/>
    <w:rPr>
      <w:rFonts w:asciiTheme="majorHAnsi" w:eastAsiaTheme="majorEastAsia" w:hAnsiTheme="majorHAnsi" w:cstheme="majorBidi"/>
      <w:b/>
      <w:bCs/>
      <w:color w:val="4F81BD" w:themeColor="accent1"/>
      <w:sz w:val="26"/>
      <w:szCs w:val="26"/>
      <w:lang w:val="en-GB"/>
    </w:rPr>
  </w:style>
  <w:style w:type="paragraph" w:styleId="TOC1">
    <w:name w:val="toc 1"/>
    <w:basedOn w:val="Normal"/>
    <w:next w:val="Normal"/>
    <w:autoRedefine/>
    <w:uiPriority w:val="39"/>
    <w:unhideWhenUsed/>
    <w:rsid w:val="0041464A"/>
    <w:pPr>
      <w:spacing w:after="100"/>
    </w:pPr>
  </w:style>
  <w:style w:type="paragraph" w:styleId="TOC2">
    <w:name w:val="toc 2"/>
    <w:basedOn w:val="Normal"/>
    <w:next w:val="Normal"/>
    <w:autoRedefine/>
    <w:uiPriority w:val="39"/>
    <w:unhideWhenUsed/>
    <w:rsid w:val="0041464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148296318305629" TargetMode="External"/><Relationship Id="rId13" Type="http://schemas.openxmlformats.org/officeDocument/2006/relationships/hyperlink" Target="https://www.chinahighlights.com/travelguide/article-things-not-to-do-in-china.htm"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aristocracy.london/the-8-1-rules-of-handshake-etiquette/" TargetMode="External"/><Relationship Id="rId12" Type="http://schemas.openxmlformats.org/officeDocument/2006/relationships/hyperlink" Target="https://www.ajpe.org/content/ajpe/83/4/7214.full.pdf" TargetMode="External"/><Relationship Id="rId17" Type="http://schemas.openxmlformats.org/officeDocument/2006/relationships/hyperlink" Target="https://www.youthemployment.org.uk/active-listening-why-is-it-important-not-to-interrupt/" TargetMode="External"/><Relationship Id="rId2" Type="http://schemas.openxmlformats.org/officeDocument/2006/relationships/styles" Target="styles.xml"/><Relationship Id="rId16" Type="http://schemas.openxmlformats.org/officeDocument/2006/relationships/hyperlink" Target="https://www.drapersonline.com/news/have-patience-and-long-term-vision-how-to-capture-chinese-spen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files.eric.ed.gov/fulltext/EJ1240001.pdf" TargetMode="External"/><Relationship Id="rId5" Type="http://schemas.openxmlformats.org/officeDocument/2006/relationships/footnotes" Target="footnotes.xml"/><Relationship Id="rId15" Type="http://schemas.openxmlformats.org/officeDocument/2006/relationships/hyperlink" Target="https://cultureinworkplace.com/wp-content/uploads/2019/10/Preprint-The-culture-of-hospitality-From-anecdote-to-evidence.pdf" TargetMode="External"/><Relationship Id="rId10" Type="http://schemas.openxmlformats.org/officeDocument/2006/relationships/hyperlink" Target="https://www.totalstudentcare.com/guides/en/international-student-guide-to-british-etiquette-and-customs/"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ci-hub.hkvisa.net/10.1016/j.procs.2019.09.149" TargetMode="External"/><Relationship Id="rId14" Type="http://schemas.openxmlformats.org/officeDocument/2006/relationships/hyperlink" Target="https://journals.sagepub.com/doi/pdf/10.1177/13591045209373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AC271B-73C7-4993-8E58-7488F4E6F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1783</Words>
  <Characters>10168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Iulia-Denis Cristea (2119917)</dc:creator>
  <cp:keywords/>
  <dc:description/>
  <cp:lastModifiedBy>Iulia-Denis Cristea (2119917)</cp:lastModifiedBy>
  <cp:revision>3</cp:revision>
  <dcterms:created xsi:type="dcterms:W3CDTF">2023-03-02T15:16:00Z</dcterms:created>
  <dcterms:modified xsi:type="dcterms:W3CDTF">2023-03-03T12:03:00Z</dcterms:modified>
  <cp:category/>
  <cp:contentStatus/>
  <dc:language/>
  <cp:version/>
</cp:coreProperties>
</file>