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EA04B" w14:textId="77777777" w:rsidR="001A25AB" w:rsidRDefault="001A25AB">
      <w:pPr>
        <w:spacing w:before="2400"/>
      </w:pPr>
    </w:p>
    <w:p w14:paraId="2B6DBCB4" w14:textId="77777777" w:rsidR="003374B9" w:rsidRPr="00950F11" w:rsidRDefault="003374B9" w:rsidP="003374B9">
      <w:pPr>
        <w:rPr>
          <w:rFonts w:ascii="Arial" w:hAnsi="Arial" w:cs="Arial"/>
        </w:rPr>
      </w:pPr>
      <w:r w:rsidRPr="00950F11">
        <w:rPr>
          <w:rFonts w:ascii="Arial" w:hAnsi="Arial" w:cs="Arial"/>
          <w:b/>
          <w:bCs/>
        </w:rPr>
        <w:t>Student name</w:t>
      </w:r>
      <w:r w:rsidRPr="00950F11">
        <w:rPr>
          <w:rFonts w:ascii="Arial" w:hAnsi="Arial" w:cs="Arial"/>
        </w:rPr>
        <w:t>: Chantal Montille</w:t>
      </w:r>
    </w:p>
    <w:p w14:paraId="2BED1A36" w14:textId="77777777" w:rsidR="003374B9" w:rsidRPr="00950F11" w:rsidRDefault="003374B9" w:rsidP="003374B9">
      <w:pPr>
        <w:rPr>
          <w:rFonts w:ascii="Arial" w:hAnsi="Arial" w:cs="Arial"/>
          <w:b/>
          <w:bCs/>
        </w:rPr>
      </w:pPr>
    </w:p>
    <w:p w14:paraId="421354C5" w14:textId="77777777" w:rsidR="003374B9" w:rsidRPr="00950F11" w:rsidRDefault="003374B9" w:rsidP="003374B9">
      <w:pPr>
        <w:rPr>
          <w:rFonts w:ascii="Arial" w:hAnsi="Arial" w:cs="Arial"/>
        </w:rPr>
      </w:pPr>
      <w:r w:rsidRPr="00950F11">
        <w:rPr>
          <w:rFonts w:ascii="Arial" w:hAnsi="Arial" w:cs="Arial"/>
          <w:b/>
          <w:bCs/>
        </w:rPr>
        <w:t>Student ID</w:t>
      </w:r>
      <w:r w:rsidRPr="00950F11">
        <w:rPr>
          <w:rFonts w:ascii="Arial" w:hAnsi="Arial" w:cs="Arial"/>
        </w:rPr>
        <w:t>: 2532540</w:t>
      </w:r>
    </w:p>
    <w:p w14:paraId="4D1BBFFA" w14:textId="77777777" w:rsidR="00950F11" w:rsidRPr="00950F11" w:rsidRDefault="00950F11" w:rsidP="003374B9">
      <w:pPr>
        <w:rPr>
          <w:rFonts w:ascii="Arial" w:hAnsi="Arial" w:cs="Arial"/>
        </w:rPr>
      </w:pPr>
    </w:p>
    <w:p w14:paraId="7AA7EA85" w14:textId="36F1B103" w:rsidR="003374B9" w:rsidRPr="00950F11" w:rsidRDefault="003374B9" w:rsidP="003374B9">
      <w:pPr>
        <w:rPr>
          <w:rFonts w:ascii="Arial" w:hAnsi="Arial" w:cs="Arial"/>
        </w:rPr>
      </w:pPr>
      <w:r w:rsidRPr="00950F11">
        <w:rPr>
          <w:rFonts w:ascii="Arial" w:hAnsi="Arial" w:cs="Arial"/>
          <w:b/>
          <w:bCs/>
        </w:rPr>
        <w:t>Module name</w:t>
      </w:r>
      <w:r w:rsidR="001440DF" w:rsidRPr="00950F11">
        <w:rPr>
          <w:rFonts w:ascii="Arial" w:hAnsi="Arial" w:cs="Arial"/>
        </w:rPr>
        <w:t>: Academic and employability</w:t>
      </w:r>
      <w:r w:rsidR="00F87F9E" w:rsidRPr="00950F11">
        <w:rPr>
          <w:rFonts w:ascii="Arial" w:hAnsi="Arial" w:cs="Arial"/>
        </w:rPr>
        <w:t xml:space="preserve"> </w:t>
      </w:r>
    </w:p>
    <w:p w14:paraId="7A7E1E8F" w14:textId="77777777" w:rsidR="00950F11" w:rsidRPr="00950F11" w:rsidRDefault="00950F11" w:rsidP="003374B9">
      <w:pPr>
        <w:rPr>
          <w:rFonts w:ascii="Arial" w:hAnsi="Arial" w:cs="Arial"/>
          <w:b/>
          <w:bCs/>
        </w:rPr>
      </w:pPr>
    </w:p>
    <w:p w14:paraId="16DCF22C" w14:textId="3CFE7DC8" w:rsidR="003374B9" w:rsidRPr="00950F11" w:rsidRDefault="003374B9" w:rsidP="003374B9">
      <w:pPr>
        <w:rPr>
          <w:rFonts w:ascii="Arial" w:hAnsi="Arial" w:cs="Arial"/>
        </w:rPr>
      </w:pPr>
      <w:r w:rsidRPr="00950F11">
        <w:rPr>
          <w:rFonts w:ascii="Arial" w:hAnsi="Arial" w:cs="Arial"/>
          <w:b/>
          <w:bCs/>
        </w:rPr>
        <w:t>Module code</w:t>
      </w:r>
      <w:r w:rsidRPr="00950F11">
        <w:rPr>
          <w:rFonts w:ascii="Arial" w:hAnsi="Arial" w:cs="Arial"/>
        </w:rPr>
        <w:t>: LCHS – 400</w:t>
      </w:r>
      <w:r w:rsidRPr="00950F11">
        <w:rPr>
          <w:rFonts w:ascii="Arial" w:hAnsi="Arial" w:cs="Arial"/>
        </w:rPr>
        <w:t>1</w:t>
      </w:r>
    </w:p>
    <w:p w14:paraId="3A56F90E" w14:textId="77777777" w:rsidR="00950F11" w:rsidRPr="00950F11" w:rsidRDefault="00950F11" w:rsidP="003374B9">
      <w:pPr>
        <w:rPr>
          <w:rFonts w:ascii="Arial" w:hAnsi="Arial" w:cs="Arial"/>
          <w:b/>
          <w:bCs/>
        </w:rPr>
      </w:pPr>
    </w:p>
    <w:p w14:paraId="67FD28C1" w14:textId="007579BE" w:rsidR="003C45B3" w:rsidRPr="00950F11" w:rsidRDefault="003374B9" w:rsidP="003C45B3">
      <w:pPr>
        <w:rPr>
          <w:rFonts w:ascii="Arial" w:hAnsi="Arial" w:cs="Arial"/>
          <w:b/>
          <w:bCs/>
        </w:rPr>
      </w:pPr>
      <w:r w:rsidRPr="00950F11">
        <w:rPr>
          <w:rFonts w:ascii="Arial" w:hAnsi="Arial" w:cs="Arial"/>
          <w:b/>
          <w:bCs/>
        </w:rPr>
        <w:t>Lecturer name</w:t>
      </w:r>
      <w:r w:rsidRPr="00950F11">
        <w:rPr>
          <w:rFonts w:ascii="Arial" w:hAnsi="Arial" w:cs="Arial"/>
        </w:rPr>
        <w:t xml:space="preserve">: </w:t>
      </w:r>
      <w:r w:rsidR="003C45B3" w:rsidRPr="00950F11">
        <w:rPr>
          <w:rFonts w:ascii="Arial" w:hAnsi="Arial" w:cs="Arial"/>
        </w:rPr>
        <w:t xml:space="preserve"> </w:t>
      </w:r>
      <w:r w:rsidR="003C45B3" w:rsidRPr="00950F11">
        <w:rPr>
          <w:rFonts w:ascii="Arial" w:hAnsi="Arial" w:cs="Arial"/>
        </w:rPr>
        <w:t>Oluwadamilola Tayo</w:t>
      </w:r>
    </w:p>
    <w:p w14:paraId="1D79B89A" w14:textId="76116CB5" w:rsidR="001A25AB" w:rsidRDefault="001A25AB">
      <w:pPr>
        <w:sectPr w:rsidR="001A25AB">
          <w:headerReference w:type="default" r:id="rId7"/>
          <w:footerReference w:type="default" r:id="rId8"/>
          <w:pgSz w:w="11906" w:h="16838"/>
          <w:pgMar w:top="1440" w:right="1440" w:bottom="1440" w:left="1440" w:header="708" w:footer="708" w:gutter="0"/>
          <w:cols w:space="720"/>
          <w:docGrid w:linePitch="360"/>
        </w:sectPr>
      </w:pPr>
    </w:p>
    <w:p w14:paraId="1A85EEA0" w14:textId="77777777" w:rsidR="00C361F4" w:rsidRDefault="00C361F4" w:rsidP="00C361F4">
      <w:pPr>
        <w:spacing w:after="400"/>
        <w:jc w:val="center"/>
      </w:pPr>
      <w:bookmarkStart w:id="0" w:name="_Toc237193092"/>
      <w:r>
        <w:rPr>
          <w:b/>
          <w:bCs/>
          <w:color w:val="1F3864"/>
          <w:sz w:val="44"/>
          <w:szCs w:val="44"/>
        </w:rPr>
        <w:lastRenderedPageBreak/>
        <w:t>The Role of the Health Visitor</w:t>
      </w:r>
    </w:p>
    <w:p w14:paraId="1F203CB4" w14:textId="77777777" w:rsidR="00C361F4" w:rsidRDefault="00C361F4" w:rsidP="00C361F4">
      <w:pPr>
        <w:spacing w:after="800"/>
        <w:jc w:val="center"/>
      </w:pPr>
      <w:r>
        <w:rPr>
          <w:b/>
          <w:bCs/>
          <w:color w:val="2E5395"/>
          <w:sz w:val="32"/>
          <w:szCs w:val="32"/>
        </w:rPr>
        <w:t>Duties, Essential Skills and Strategies for Professional Development</w:t>
      </w:r>
    </w:p>
    <w:bookmarkEnd w:id="0" w:displacedByCustomXml="next"/>
    <w:sdt>
      <w:sdtPr>
        <w:id w:val="140468064"/>
        <w:docPartObj>
          <w:docPartGallery w:val="Table of Contents"/>
          <w:docPartUnique/>
        </w:docPartObj>
      </w:sdtPr>
      <w:sdtEndPr>
        <w:rPr>
          <w:rFonts w:ascii="Calibri" w:eastAsia="Calibri" w:hAnsi="Calibri" w:cs="Calibri"/>
          <w:b/>
          <w:bCs/>
          <w:color w:val="auto"/>
          <w:sz w:val="24"/>
          <w:szCs w:val="24"/>
        </w:rPr>
      </w:sdtEndPr>
      <w:sdtContent>
        <w:p w14:paraId="36F2FB45" w14:textId="59754D9E" w:rsidR="008A2F00" w:rsidRDefault="008A2F00">
          <w:pPr>
            <w:pStyle w:val="TOCHeading"/>
          </w:pPr>
          <w:r>
            <w:t>Table of Contents</w:t>
          </w:r>
        </w:p>
        <w:p w14:paraId="019820C2" w14:textId="42676DDF" w:rsidR="008A2F00" w:rsidRDefault="008A2F00">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7217716" w:history="1">
            <w:r w:rsidRPr="006C1B0A">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_Toc237217716 \h </w:instrText>
            </w:r>
            <w:r>
              <w:rPr>
                <w:noProof/>
                <w:webHidden/>
              </w:rPr>
            </w:r>
            <w:r>
              <w:rPr>
                <w:noProof/>
                <w:webHidden/>
              </w:rPr>
              <w:fldChar w:fldCharType="separate"/>
            </w:r>
            <w:r>
              <w:rPr>
                <w:noProof/>
                <w:webHidden/>
              </w:rPr>
              <w:t>3</w:t>
            </w:r>
            <w:r>
              <w:rPr>
                <w:noProof/>
                <w:webHidden/>
              </w:rPr>
              <w:fldChar w:fldCharType="end"/>
            </w:r>
          </w:hyperlink>
        </w:p>
        <w:p w14:paraId="442D5984" w14:textId="2ABEE600" w:rsidR="008A2F00" w:rsidRDefault="008A2F00">
          <w:pPr>
            <w:pStyle w:val="TOC1"/>
            <w:tabs>
              <w:tab w:val="right" w:leader="dot" w:pos="9016"/>
            </w:tabs>
            <w:rPr>
              <w:rFonts w:asciiTheme="minorHAnsi" w:eastAsiaTheme="minorEastAsia" w:hAnsiTheme="minorHAnsi" w:cstheme="minorBidi"/>
              <w:noProof/>
              <w:kern w:val="2"/>
              <w14:ligatures w14:val="standardContextual"/>
            </w:rPr>
          </w:pPr>
          <w:hyperlink w:anchor="_Toc237217717" w:history="1">
            <w:r w:rsidRPr="006C1B0A">
              <w:rPr>
                <w:rStyle w:val="Hyperlink"/>
                <w:rFonts w:ascii="Arial" w:hAnsi="Arial" w:cs="Arial"/>
                <w:b/>
                <w:bCs/>
                <w:noProof/>
              </w:rPr>
              <w:t>2. The Health Visitor Role and Duties</w:t>
            </w:r>
            <w:r>
              <w:rPr>
                <w:noProof/>
                <w:webHidden/>
              </w:rPr>
              <w:tab/>
            </w:r>
            <w:r>
              <w:rPr>
                <w:noProof/>
                <w:webHidden/>
              </w:rPr>
              <w:fldChar w:fldCharType="begin"/>
            </w:r>
            <w:r>
              <w:rPr>
                <w:noProof/>
                <w:webHidden/>
              </w:rPr>
              <w:instrText xml:space="preserve"> PAGEREF _Toc237217717 \h </w:instrText>
            </w:r>
            <w:r>
              <w:rPr>
                <w:noProof/>
                <w:webHidden/>
              </w:rPr>
            </w:r>
            <w:r>
              <w:rPr>
                <w:noProof/>
                <w:webHidden/>
              </w:rPr>
              <w:fldChar w:fldCharType="separate"/>
            </w:r>
            <w:r>
              <w:rPr>
                <w:noProof/>
                <w:webHidden/>
              </w:rPr>
              <w:t>3</w:t>
            </w:r>
            <w:r>
              <w:rPr>
                <w:noProof/>
                <w:webHidden/>
              </w:rPr>
              <w:fldChar w:fldCharType="end"/>
            </w:r>
          </w:hyperlink>
        </w:p>
        <w:p w14:paraId="1ACFE8C9" w14:textId="6B8B90A7" w:rsidR="008A2F00" w:rsidRDefault="008A2F00">
          <w:pPr>
            <w:pStyle w:val="TOC1"/>
            <w:tabs>
              <w:tab w:val="right" w:leader="dot" w:pos="9016"/>
            </w:tabs>
            <w:rPr>
              <w:rFonts w:asciiTheme="minorHAnsi" w:eastAsiaTheme="minorEastAsia" w:hAnsiTheme="minorHAnsi" w:cstheme="minorBidi"/>
              <w:noProof/>
              <w:kern w:val="2"/>
              <w14:ligatures w14:val="standardContextual"/>
            </w:rPr>
          </w:pPr>
          <w:hyperlink w:anchor="_Toc237217718" w:history="1">
            <w:r w:rsidRPr="006C1B0A">
              <w:rPr>
                <w:rStyle w:val="Hyperlink"/>
                <w:rFonts w:ascii="Arial" w:hAnsi="Arial" w:cs="Arial"/>
                <w:b/>
                <w:bCs/>
                <w:noProof/>
              </w:rPr>
              <w:t>3. Essential Skills for Effective Health Visiting Practice</w:t>
            </w:r>
            <w:r>
              <w:rPr>
                <w:noProof/>
                <w:webHidden/>
              </w:rPr>
              <w:tab/>
            </w:r>
            <w:r>
              <w:rPr>
                <w:noProof/>
                <w:webHidden/>
              </w:rPr>
              <w:fldChar w:fldCharType="begin"/>
            </w:r>
            <w:r>
              <w:rPr>
                <w:noProof/>
                <w:webHidden/>
              </w:rPr>
              <w:instrText xml:space="preserve"> PAGEREF _Toc237217718 \h </w:instrText>
            </w:r>
            <w:r>
              <w:rPr>
                <w:noProof/>
                <w:webHidden/>
              </w:rPr>
            </w:r>
            <w:r>
              <w:rPr>
                <w:noProof/>
                <w:webHidden/>
              </w:rPr>
              <w:fldChar w:fldCharType="separate"/>
            </w:r>
            <w:r>
              <w:rPr>
                <w:noProof/>
                <w:webHidden/>
              </w:rPr>
              <w:t>3</w:t>
            </w:r>
            <w:r>
              <w:rPr>
                <w:noProof/>
                <w:webHidden/>
              </w:rPr>
              <w:fldChar w:fldCharType="end"/>
            </w:r>
          </w:hyperlink>
        </w:p>
        <w:p w14:paraId="35221F11" w14:textId="05340CDE" w:rsidR="008A2F00" w:rsidRDefault="008A2F00">
          <w:pPr>
            <w:pStyle w:val="TOC1"/>
            <w:tabs>
              <w:tab w:val="right" w:leader="dot" w:pos="9016"/>
            </w:tabs>
            <w:rPr>
              <w:rFonts w:asciiTheme="minorHAnsi" w:eastAsiaTheme="minorEastAsia" w:hAnsiTheme="minorHAnsi" w:cstheme="minorBidi"/>
              <w:noProof/>
              <w:kern w:val="2"/>
              <w14:ligatures w14:val="standardContextual"/>
            </w:rPr>
          </w:pPr>
          <w:hyperlink w:anchor="_Toc237217719" w:history="1">
            <w:r w:rsidRPr="006C1B0A">
              <w:rPr>
                <w:rStyle w:val="Hyperlink"/>
                <w:rFonts w:ascii="Arial" w:hAnsi="Arial" w:cs="Arial"/>
                <w:b/>
                <w:bCs/>
                <w:noProof/>
              </w:rPr>
              <w:t>4. Strategies to Develop These Skills</w:t>
            </w:r>
            <w:r>
              <w:rPr>
                <w:noProof/>
                <w:webHidden/>
              </w:rPr>
              <w:tab/>
            </w:r>
            <w:r>
              <w:rPr>
                <w:noProof/>
                <w:webHidden/>
              </w:rPr>
              <w:fldChar w:fldCharType="begin"/>
            </w:r>
            <w:r>
              <w:rPr>
                <w:noProof/>
                <w:webHidden/>
              </w:rPr>
              <w:instrText xml:space="preserve"> PAGEREF _Toc237217719 \h </w:instrText>
            </w:r>
            <w:r>
              <w:rPr>
                <w:noProof/>
                <w:webHidden/>
              </w:rPr>
            </w:r>
            <w:r>
              <w:rPr>
                <w:noProof/>
                <w:webHidden/>
              </w:rPr>
              <w:fldChar w:fldCharType="separate"/>
            </w:r>
            <w:r>
              <w:rPr>
                <w:noProof/>
                <w:webHidden/>
              </w:rPr>
              <w:t>4</w:t>
            </w:r>
            <w:r>
              <w:rPr>
                <w:noProof/>
                <w:webHidden/>
              </w:rPr>
              <w:fldChar w:fldCharType="end"/>
            </w:r>
          </w:hyperlink>
        </w:p>
        <w:p w14:paraId="790EA3EB" w14:textId="4581B375" w:rsidR="008A2F00" w:rsidRDefault="008A2F00">
          <w:pPr>
            <w:pStyle w:val="TOC1"/>
            <w:tabs>
              <w:tab w:val="right" w:leader="dot" w:pos="9016"/>
            </w:tabs>
            <w:rPr>
              <w:rFonts w:asciiTheme="minorHAnsi" w:eastAsiaTheme="minorEastAsia" w:hAnsiTheme="minorHAnsi" w:cstheme="minorBidi"/>
              <w:noProof/>
              <w:kern w:val="2"/>
              <w14:ligatures w14:val="standardContextual"/>
            </w:rPr>
          </w:pPr>
          <w:hyperlink w:anchor="_Toc237217720" w:history="1">
            <w:r w:rsidRPr="006C1B0A">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_Toc237217720 \h </w:instrText>
            </w:r>
            <w:r>
              <w:rPr>
                <w:noProof/>
                <w:webHidden/>
              </w:rPr>
            </w:r>
            <w:r>
              <w:rPr>
                <w:noProof/>
                <w:webHidden/>
              </w:rPr>
              <w:fldChar w:fldCharType="separate"/>
            </w:r>
            <w:r>
              <w:rPr>
                <w:noProof/>
                <w:webHidden/>
              </w:rPr>
              <w:t>5</w:t>
            </w:r>
            <w:r>
              <w:rPr>
                <w:noProof/>
                <w:webHidden/>
              </w:rPr>
              <w:fldChar w:fldCharType="end"/>
            </w:r>
          </w:hyperlink>
        </w:p>
        <w:p w14:paraId="41B358EB" w14:textId="5B8365EB" w:rsidR="008A2F00" w:rsidRDefault="008A2F00">
          <w:pPr>
            <w:pStyle w:val="TOC1"/>
            <w:tabs>
              <w:tab w:val="right" w:leader="dot" w:pos="9016"/>
            </w:tabs>
            <w:rPr>
              <w:rFonts w:asciiTheme="minorHAnsi" w:eastAsiaTheme="minorEastAsia" w:hAnsiTheme="minorHAnsi" w:cstheme="minorBidi"/>
              <w:noProof/>
              <w:kern w:val="2"/>
              <w14:ligatures w14:val="standardContextual"/>
            </w:rPr>
          </w:pPr>
          <w:hyperlink w:anchor="_Toc237217721" w:history="1">
            <w:r w:rsidRPr="006C1B0A">
              <w:rPr>
                <w:rStyle w:val="Hyperlink"/>
                <w:b/>
                <w:bCs/>
                <w:noProof/>
              </w:rPr>
              <w:t>Reference List</w:t>
            </w:r>
            <w:r>
              <w:rPr>
                <w:noProof/>
                <w:webHidden/>
              </w:rPr>
              <w:tab/>
            </w:r>
            <w:r>
              <w:rPr>
                <w:noProof/>
                <w:webHidden/>
              </w:rPr>
              <w:fldChar w:fldCharType="begin"/>
            </w:r>
            <w:r>
              <w:rPr>
                <w:noProof/>
                <w:webHidden/>
              </w:rPr>
              <w:instrText xml:space="preserve"> PAGEREF _Toc237217721 \h </w:instrText>
            </w:r>
            <w:r>
              <w:rPr>
                <w:noProof/>
                <w:webHidden/>
              </w:rPr>
            </w:r>
            <w:r>
              <w:rPr>
                <w:noProof/>
                <w:webHidden/>
              </w:rPr>
              <w:fldChar w:fldCharType="separate"/>
            </w:r>
            <w:r>
              <w:rPr>
                <w:noProof/>
                <w:webHidden/>
              </w:rPr>
              <w:t>7</w:t>
            </w:r>
            <w:r>
              <w:rPr>
                <w:noProof/>
                <w:webHidden/>
              </w:rPr>
              <w:fldChar w:fldCharType="end"/>
            </w:r>
          </w:hyperlink>
        </w:p>
        <w:p w14:paraId="229E472E" w14:textId="5AE9E14E" w:rsidR="008A2F00" w:rsidRDefault="008A2F00">
          <w:r>
            <w:rPr>
              <w:b/>
              <w:bCs/>
            </w:rPr>
            <w:fldChar w:fldCharType="end"/>
          </w:r>
        </w:p>
      </w:sdtContent>
    </w:sdt>
    <w:sdt>
      <w:sdtPr>
        <w:alias w:val="Table of Contents"/>
        <w:id w:val="-1716033478"/>
        <w:showingPlcHdr/>
      </w:sdtPr>
      <w:sdtEndPr/>
      <w:sdtContent>
        <w:p w14:paraId="08D4B2D2" w14:textId="4B16B3A4" w:rsidR="001A25AB" w:rsidRDefault="00E500EF">
          <w:r>
            <w:t xml:space="preserve">     </w:t>
          </w:r>
        </w:p>
      </w:sdtContent>
    </w:sdt>
    <w:p w14:paraId="2C6B84EF" w14:textId="16F172E3" w:rsidR="003C5538" w:rsidRDefault="003E43C3">
      <w:r>
        <w:br w:type="page"/>
      </w:r>
    </w:p>
    <w:p w14:paraId="4FC4B20F" w14:textId="77777777" w:rsidR="001A25AB" w:rsidRDefault="001A25AB">
      <w:pPr>
        <w:sectPr w:rsidR="001A25AB">
          <w:pgSz w:w="11906" w:h="16838"/>
          <w:pgMar w:top="1440" w:right="1440" w:bottom="1440" w:left="1440" w:header="708" w:footer="708" w:gutter="0"/>
          <w:cols w:space="720"/>
          <w:docGrid w:linePitch="360"/>
        </w:sectPr>
      </w:pPr>
    </w:p>
    <w:p w14:paraId="2EFD8E42" w14:textId="77777777" w:rsidR="0087643B" w:rsidRPr="00E500EF" w:rsidRDefault="0087643B" w:rsidP="0087643B">
      <w:pPr>
        <w:rPr>
          <w:rFonts w:ascii="Arial" w:hAnsi="Arial" w:cs="Arial"/>
          <w:b/>
          <w:bCs/>
          <w:color w:val="808080"/>
        </w:rPr>
      </w:pPr>
      <w:bookmarkStart w:id="1" w:name="_Toc237193093"/>
      <w:r w:rsidRPr="00E500EF">
        <w:rPr>
          <w:rFonts w:ascii="Arial" w:hAnsi="Arial" w:cs="Arial"/>
          <w:b/>
          <w:bCs/>
          <w:color w:val="808080"/>
        </w:rPr>
        <w:lastRenderedPageBreak/>
        <w:t>The Role of the Health Visitor</w:t>
      </w:r>
    </w:p>
    <w:p w14:paraId="4889CDCE" w14:textId="77777777" w:rsidR="00E500EF" w:rsidRPr="0087643B" w:rsidRDefault="00E500EF" w:rsidP="0087643B">
      <w:pPr>
        <w:rPr>
          <w:rFonts w:ascii="Arial" w:hAnsi="Arial" w:cs="Arial"/>
          <w:b/>
          <w:bCs/>
          <w:sz w:val="22"/>
          <w:szCs w:val="22"/>
        </w:rPr>
      </w:pPr>
    </w:p>
    <w:p w14:paraId="47EFD8DE" w14:textId="6B9D377A" w:rsidR="001A25AB" w:rsidRPr="00343E2E" w:rsidRDefault="003E43C3" w:rsidP="00537D33">
      <w:pPr>
        <w:pStyle w:val="Heading1"/>
        <w:spacing w:before="320" w:after="160" w:line="360" w:lineRule="auto"/>
        <w:jc w:val="both"/>
        <w:rPr>
          <w:rFonts w:ascii="Arial" w:hAnsi="Arial" w:cs="Arial"/>
          <w:sz w:val="22"/>
          <w:szCs w:val="22"/>
        </w:rPr>
      </w:pPr>
      <w:bookmarkStart w:id="2" w:name="_Toc237217716"/>
      <w:r w:rsidRPr="00343E2E">
        <w:rPr>
          <w:rFonts w:ascii="Arial" w:hAnsi="Arial" w:cs="Arial"/>
          <w:b/>
          <w:bCs/>
          <w:color w:val="1F3864"/>
          <w:sz w:val="22"/>
          <w:szCs w:val="22"/>
        </w:rPr>
        <w:t>1</w:t>
      </w:r>
      <w:r w:rsidRPr="00343E2E">
        <w:rPr>
          <w:rFonts w:ascii="Arial" w:hAnsi="Arial" w:cs="Arial"/>
          <w:b/>
          <w:bCs/>
          <w:color w:val="1F3864"/>
          <w:sz w:val="22"/>
          <w:szCs w:val="22"/>
        </w:rPr>
        <w:t>. Introduction</w:t>
      </w:r>
      <w:bookmarkEnd w:id="1"/>
      <w:bookmarkEnd w:id="2"/>
    </w:p>
    <w:p w14:paraId="575F9A4F" w14:textId="670E58A5" w:rsidR="001A25AB" w:rsidRDefault="003E43C3" w:rsidP="00537D33">
      <w:pPr>
        <w:spacing w:after="200" w:line="360" w:lineRule="auto"/>
        <w:jc w:val="both"/>
        <w:rPr>
          <w:rFonts w:ascii="Arial" w:hAnsi="Arial" w:cs="Arial"/>
          <w:sz w:val="22"/>
          <w:szCs w:val="22"/>
        </w:rPr>
      </w:pPr>
      <w:r w:rsidRPr="00343E2E">
        <w:rPr>
          <w:rFonts w:ascii="Arial" w:hAnsi="Arial" w:cs="Arial"/>
          <w:sz w:val="22"/>
          <w:szCs w:val="22"/>
        </w:rPr>
        <w:t xml:space="preserve">Health and social care roles play a vital part in supporting public health, protecting vulnerable groups, and promoting long-term </w:t>
      </w:r>
      <w:r w:rsidR="00543360" w:rsidRPr="00343E2E">
        <w:rPr>
          <w:rFonts w:ascii="Arial" w:hAnsi="Arial" w:cs="Arial"/>
          <w:sz w:val="22"/>
          <w:szCs w:val="22"/>
        </w:rPr>
        <w:t xml:space="preserve">wellbeing. </w:t>
      </w:r>
      <w:r w:rsidR="00BB0697" w:rsidRPr="00343E2E">
        <w:rPr>
          <w:rFonts w:ascii="Arial" w:hAnsi="Arial" w:cs="Arial"/>
          <w:sz w:val="22"/>
          <w:szCs w:val="22"/>
        </w:rPr>
        <w:t xml:space="preserve"> </w:t>
      </w:r>
      <w:r w:rsidR="00543360" w:rsidRPr="00343E2E">
        <w:rPr>
          <w:rFonts w:ascii="Arial" w:hAnsi="Arial" w:cs="Arial"/>
          <w:sz w:val="22"/>
          <w:szCs w:val="22"/>
        </w:rPr>
        <w:t>According</w:t>
      </w:r>
      <w:r w:rsidR="00BB0697" w:rsidRPr="00343E2E">
        <w:rPr>
          <w:rFonts w:ascii="Arial" w:hAnsi="Arial" w:cs="Arial"/>
          <w:sz w:val="22"/>
          <w:szCs w:val="22"/>
        </w:rPr>
        <w:t xml:space="preserve"> to </w:t>
      </w:r>
      <w:r w:rsidR="00BB0697" w:rsidRPr="00343E2E">
        <w:rPr>
          <w:rFonts w:ascii="Arial" w:hAnsi="Arial" w:cs="Arial"/>
          <w:sz w:val="22"/>
          <w:szCs w:val="22"/>
        </w:rPr>
        <w:t xml:space="preserve">Cowley and Frost, </w:t>
      </w:r>
      <w:r w:rsidR="00DE5AA6" w:rsidRPr="00343E2E">
        <w:rPr>
          <w:rFonts w:ascii="Arial" w:hAnsi="Arial" w:cs="Arial"/>
          <w:sz w:val="22"/>
          <w:szCs w:val="22"/>
        </w:rPr>
        <w:t>(</w:t>
      </w:r>
      <w:r w:rsidR="00BB0697" w:rsidRPr="00343E2E">
        <w:rPr>
          <w:rFonts w:ascii="Arial" w:hAnsi="Arial" w:cs="Arial"/>
          <w:sz w:val="22"/>
          <w:szCs w:val="22"/>
        </w:rPr>
        <w:t>2006</w:t>
      </w:r>
      <w:r w:rsidR="00DE5AA6" w:rsidRPr="00343E2E">
        <w:rPr>
          <w:rFonts w:ascii="Arial" w:hAnsi="Arial" w:cs="Arial"/>
          <w:sz w:val="22"/>
          <w:szCs w:val="22"/>
        </w:rPr>
        <w:t>) and</w:t>
      </w:r>
      <w:r w:rsidR="00BB0697" w:rsidRPr="00343E2E">
        <w:rPr>
          <w:rFonts w:ascii="Arial" w:hAnsi="Arial" w:cs="Arial"/>
          <w:sz w:val="22"/>
          <w:szCs w:val="22"/>
        </w:rPr>
        <w:t xml:space="preserve"> Rahman et al. </w:t>
      </w:r>
      <w:r w:rsidR="0004173A" w:rsidRPr="00343E2E">
        <w:rPr>
          <w:rFonts w:ascii="Arial" w:hAnsi="Arial" w:cs="Arial"/>
          <w:sz w:val="22"/>
          <w:szCs w:val="22"/>
        </w:rPr>
        <w:t>(</w:t>
      </w:r>
      <w:r w:rsidR="00BB0697" w:rsidRPr="00343E2E">
        <w:rPr>
          <w:rFonts w:ascii="Arial" w:hAnsi="Arial" w:cs="Arial"/>
          <w:sz w:val="22"/>
          <w:szCs w:val="22"/>
        </w:rPr>
        <w:t>2024</w:t>
      </w:r>
      <w:r w:rsidR="00B97B44" w:rsidRPr="00343E2E">
        <w:rPr>
          <w:rFonts w:ascii="Arial" w:hAnsi="Arial" w:cs="Arial"/>
          <w:sz w:val="22"/>
          <w:szCs w:val="22"/>
        </w:rPr>
        <w:t>)</w:t>
      </w:r>
      <w:r w:rsidR="00127536" w:rsidRPr="00343E2E">
        <w:rPr>
          <w:rFonts w:ascii="Arial" w:hAnsi="Arial" w:cs="Arial"/>
          <w:sz w:val="22"/>
          <w:szCs w:val="22"/>
        </w:rPr>
        <w:t>,</w:t>
      </w:r>
      <w:r w:rsidR="00B97B44" w:rsidRPr="00343E2E">
        <w:rPr>
          <w:rFonts w:ascii="Arial" w:hAnsi="Arial" w:cs="Arial"/>
          <w:sz w:val="22"/>
          <w:szCs w:val="22"/>
        </w:rPr>
        <w:t xml:space="preserve"> </w:t>
      </w:r>
      <w:r w:rsidR="00127536" w:rsidRPr="00343E2E">
        <w:rPr>
          <w:rFonts w:ascii="Arial" w:hAnsi="Arial" w:cs="Arial"/>
          <w:sz w:val="22"/>
          <w:szCs w:val="22"/>
        </w:rPr>
        <w:t>H</w:t>
      </w:r>
      <w:r w:rsidRPr="00343E2E">
        <w:rPr>
          <w:rFonts w:ascii="Arial" w:hAnsi="Arial" w:cs="Arial"/>
          <w:sz w:val="22"/>
          <w:szCs w:val="22"/>
        </w:rPr>
        <w:t xml:space="preserve">ealth </w:t>
      </w:r>
      <w:r w:rsidR="00127536" w:rsidRPr="00343E2E">
        <w:rPr>
          <w:rFonts w:ascii="Arial" w:hAnsi="Arial" w:cs="Arial"/>
          <w:sz w:val="22"/>
          <w:szCs w:val="22"/>
        </w:rPr>
        <w:t>V</w:t>
      </w:r>
      <w:r w:rsidRPr="00343E2E">
        <w:rPr>
          <w:rFonts w:ascii="Arial" w:hAnsi="Arial" w:cs="Arial"/>
          <w:sz w:val="22"/>
          <w:szCs w:val="22"/>
        </w:rPr>
        <w:t xml:space="preserve">isitors hold </w:t>
      </w:r>
      <w:proofErr w:type="spellStart"/>
      <w:proofErr w:type="gramStart"/>
      <w:r w:rsidRPr="00343E2E">
        <w:rPr>
          <w:rFonts w:ascii="Arial" w:hAnsi="Arial" w:cs="Arial"/>
          <w:sz w:val="22"/>
          <w:szCs w:val="22"/>
        </w:rPr>
        <w:t>a</w:t>
      </w:r>
      <w:proofErr w:type="spellEnd"/>
      <w:proofErr w:type="gramEnd"/>
      <w:r w:rsidRPr="00343E2E">
        <w:rPr>
          <w:rFonts w:ascii="Arial" w:hAnsi="Arial" w:cs="Arial"/>
          <w:sz w:val="22"/>
          <w:szCs w:val="22"/>
        </w:rPr>
        <w:t xml:space="preserve"> important position because they work directly with families during the earliest and most formative stages of a child's life</w:t>
      </w:r>
      <w:r w:rsidR="00F53C77" w:rsidRPr="00343E2E">
        <w:rPr>
          <w:rFonts w:ascii="Arial" w:hAnsi="Arial" w:cs="Arial"/>
          <w:sz w:val="22"/>
          <w:szCs w:val="22"/>
        </w:rPr>
        <w:t>.</w:t>
      </w:r>
      <w:r w:rsidR="00155037" w:rsidRPr="00343E2E">
        <w:rPr>
          <w:rFonts w:ascii="Arial" w:hAnsi="Arial" w:cs="Arial"/>
          <w:sz w:val="22"/>
          <w:szCs w:val="22"/>
        </w:rPr>
        <w:t xml:space="preserve"> </w:t>
      </w:r>
      <w:r w:rsidRPr="00343E2E">
        <w:rPr>
          <w:rFonts w:ascii="Arial" w:hAnsi="Arial" w:cs="Arial"/>
          <w:sz w:val="22"/>
          <w:szCs w:val="22"/>
        </w:rPr>
        <w:t>This report describes the role of the health visitor and its core duties, before evaluating three essential skills the role depends on: communication, clinical assessment and safeguarding. For each skill, three practical, evidence-informed strategies for development are identified and explained</w:t>
      </w:r>
      <w:r w:rsidR="008A56D9" w:rsidRPr="00343E2E">
        <w:rPr>
          <w:rFonts w:ascii="Arial" w:hAnsi="Arial" w:cs="Arial"/>
          <w:sz w:val="22"/>
          <w:szCs w:val="22"/>
        </w:rPr>
        <w:t>.</w:t>
      </w:r>
    </w:p>
    <w:p w14:paraId="6FEC7765" w14:textId="77777777" w:rsidR="00E500EF" w:rsidRPr="00343E2E" w:rsidRDefault="00E500EF" w:rsidP="00537D33">
      <w:pPr>
        <w:spacing w:after="200" w:line="360" w:lineRule="auto"/>
        <w:jc w:val="both"/>
        <w:rPr>
          <w:rFonts w:ascii="Arial" w:hAnsi="Arial" w:cs="Arial"/>
          <w:sz w:val="22"/>
          <w:szCs w:val="22"/>
        </w:rPr>
      </w:pPr>
    </w:p>
    <w:p w14:paraId="09AFA47D" w14:textId="77777777" w:rsidR="001A25AB" w:rsidRPr="00343E2E" w:rsidRDefault="003E43C3" w:rsidP="00537D33">
      <w:pPr>
        <w:pStyle w:val="Heading1"/>
        <w:spacing w:before="320" w:after="160" w:line="360" w:lineRule="auto"/>
        <w:jc w:val="both"/>
        <w:rPr>
          <w:rFonts w:ascii="Arial" w:hAnsi="Arial" w:cs="Arial"/>
          <w:sz w:val="22"/>
          <w:szCs w:val="22"/>
        </w:rPr>
      </w:pPr>
      <w:bookmarkStart w:id="3" w:name="_Toc237193094"/>
      <w:bookmarkStart w:id="4" w:name="_Toc237217717"/>
      <w:r w:rsidRPr="00343E2E">
        <w:rPr>
          <w:rFonts w:ascii="Arial" w:hAnsi="Arial" w:cs="Arial"/>
          <w:b/>
          <w:bCs/>
          <w:color w:val="1F3864"/>
          <w:sz w:val="22"/>
          <w:szCs w:val="22"/>
        </w:rPr>
        <w:t>2. The Health Visitor Role and Duties</w:t>
      </w:r>
      <w:bookmarkEnd w:id="3"/>
      <w:bookmarkEnd w:id="4"/>
    </w:p>
    <w:p w14:paraId="32461671" w14:textId="6A215456" w:rsidR="001A25AB" w:rsidRPr="00343E2E" w:rsidRDefault="00035CD9" w:rsidP="00537D33">
      <w:pPr>
        <w:spacing w:after="200" w:line="360" w:lineRule="auto"/>
        <w:jc w:val="both"/>
        <w:rPr>
          <w:rFonts w:ascii="Arial" w:hAnsi="Arial" w:cs="Arial"/>
          <w:sz w:val="22"/>
          <w:szCs w:val="22"/>
        </w:rPr>
      </w:pPr>
      <w:r w:rsidRPr="00343E2E">
        <w:rPr>
          <w:rFonts w:ascii="Arial" w:hAnsi="Arial" w:cs="Arial"/>
          <w:sz w:val="22"/>
          <w:szCs w:val="22"/>
        </w:rPr>
        <w:t xml:space="preserve">Rahman </w:t>
      </w:r>
      <w:r w:rsidRPr="00343E2E">
        <w:rPr>
          <w:rFonts w:ascii="Arial" w:hAnsi="Arial" w:cs="Arial"/>
          <w:i/>
          <w:iCs/>
          <w:sz w:val="22"/>
          <w:szCs w:val="22"/>
        </w:rPr>
        <w:t>et al</w:t>
      </w:r>
      <w:r w:rsidR="00890430" w:rsidRPr="00343E2E">
        <w:rPr>
          <w:rFonts w:ascii="Arial" w:hAnsi="Arial" w:cs="Arial"/>
          <w:i/>
          <w:iCs/>
          <w:sz w:val="22"/>
          <w:szCs w:val="22"/>
        </w:rPr>
        <w:t xml:space="preserve">. </w:t>
      </w:r>
      <w:r w:rsidRPr="00343E2E">
        <w:rPr>
          <w:rFonts w:ascii="Arial" w:hAnsi="Arial" w:cs="Arial"/>
          <w:i/>
          <w:iCs/>
          <w:sz w:val="22"/>
          <w:szCs w:val="22"/>
        </w:rPr>
        <w:t>(</w:t>
      </w:r>
      <w:r w:rsidRPr="00343E2E">
        <w:rPr>
          <w:rFonts w:ascii="Arial" w:hAnsi="Arial" w:cs="Arial"/>
          <w:sz w:val="22"/>
          <w:szCs w:val="22"/>
        </w:rPr>
        <w:t>2024)</w:t>
      </w:r>
      <w:r w:rsidR="00890430" w:rsidRPr="00343E2E">
        <w:rPr>
          <w:rFonts w:ascii="Arial" w:hAnsi="Arial" w:cs="Arial"/>
          <w:sz w:val="22"/>
          <w:szCs w:val="22"/>
        </w:rPr>
        <w:t xml:space="preserve"> explained that</w:t>
      </w:r>
      <w:r w:rsidR="006C2B8D" w:rsidRPr="00343E2E">
        <w:rPr>
          <w:rFonts w:ascii="Arial" w:hAnsi="Arial" w:cs="Arial"/>
          <w:sz w:val="22"/>
          <w:szCs w:val="22"/>
        </w:rPr>
        <w:t xml:space="preserve"> </w:t>
      </w:r>
      <w:r w:rsidR="003E43C3" w:rsidRPr="00343E2E">
        <w:rPr>
          <w:rFonts w:ascii="Arial" w:hAnsi="Arial" w:cs="Arial"/>
          <w:sz w:val="22"/>
          <w:szCs w:val="22"/>
        </w:rPr>
        <w:t xml:space="preserve">Health visitors are registered nurses or midwives who have completed additional training in specialist community public health nursing and who lead delivery of the Healthy Child Programme (HCP), a universal service supporting families from pregnancy through early childhood </w:t>
      </w:r>
      <w:r w:rsidR="003E43C3" w:rsidRPr="00343E2E">
        <w:rPr>
          <w:rFonts w:ascii="Arial" w:hAnsi="Arial" w:cs="Arial"/>
          <w:sz w:val="22"/>
          <w:szCs w:val="22"/>
        </w:rPr>
        <w:t xml:space="preserve">(Rahman </w:t>
      </w:r>
      <w:r w:rsidR="003E43C3" w:rsidRPr="00343E2E">
        <w:rPr>
          <w:rFonts w:ascii="Arial" w:hAnsi="Arial" w:cs="Arial"/>
          <w:i/>
          <w:iCs/>
          <w:sz w:val="22"/>
          <w:szCs w:val="22"/>
        </w:rPr>
        <w:t>et al.</w:t>
      </w:r>
      <w:r w:rsidR="003E43C3" w:rsidRPr="00343E2E">
        <w:rPr>
          <w:rFonts w:ascii="Arial" w:hAnsi="Arial" w:cs="Arial"/>
          <w:sz w:val="22"/>
          <w:szCs w:val="22"/>
        </w:rPr>
        <w:t>, 2024).</w:t>
      </w:r>
    </w:p>
    <w:p w14:paraId="45D7CE62" w14:textId="508CC67E" w:rsidR="001A25AB" w:rsidRDefault="00FA25F2" w:rsidP="00537D33">
      <w:pPr>
        <w:spacing w:after="200" w:line="360" w:lineRule="auto"/>
        <w:jc w:val="both"/>
        <w:rPr>
          <w:rFonts w:ascii="Arial" w:hAnsi="Arial" w:cs="Arial"/>
          <w:sz w:val="22"/>
          <w:szCs w:val="22"/>
        </w:rPr>
      </w:pPr>
      <w:r w:rsidRPr="00343E2E">
        <w:rPr>
          <w:rFonts w:ascii="Arial" w:hAnsi="Arial" w:cs="Arial"/>
          <w:sz w:val="22"/>
          <w:szCs w:val="22"/>
        </w:rPr>
        <w:t>Department of Heal</w:t>
      </w:r>
      <w:r w:rsidR="00BF6E1B" w:rsidRPr="00343E2E">
        <w:rPr>
          <w:rFonts w:ascii="Arial" w:hAnsi="Arial" w:cs="Arial"/>
          <w:sz w:val="22"/>
          <w:szCs w:val="22"/>
        </w:rPr>
        <w:t>th</w:t>
      </w:r>
      <w:r w:rsidRPr="00343E2E">
        <w:rPr>
          <w:rFonts w:ascii="Arial" w:hAnsi="Arial" w:cs="Arial"/>
          <w:sz w:val="22"/>
          <w:szCs w:val="22"/>
        </w:rPr>
        <w:t xml:space="preserve"> </w:t>
      </w:r>
      <w:r w:rsidR="00BF6E1B" w:rsidRPr="00343E2E">
        <w:rPr>
          <w:rFonts w:ascii="Arial" w:hAnsi="Arial" w:cs="Arial"/>
          <w:sz w:val="22"/>
          <w:szCs w:val="22"/>
        </w:rPr>
        <w:t>(</w:t>
      </w:r>
      <w:r w:rsidR="002F1CA5" w:rsidRPr="00343E2E">
        <w:rPr>
          <w:rFonts w:ascii="Arial" w:hAnsi="Arial" w:cs="Arial"/>
          <w:sz w:val="22"/>
          <w:szCs w:val="22"/>
        </w:rPr>
        <w:t xml:space="preserve">2021) </w:t>
      </w:r>
      <w:r w:rsidR="00B274E7" w:rsidRPr="00343E2E">
        <w:rPr>
          <w:rFonts w:ascii="Arial" w:hAnsi="Arial" w:cs="Arial"/>
          <w:sz w:val="22"/>
          <w:szCs w:val="22"/>
        </w:rPr>
        <w:t>provides</w:t>
      </w:r>
      <w:r w:rsidR="00A207DF" w:rsidRPr="00343E2E">
        <w:rPr>
          <w:rFonts w:ascii="Arial" w:hAnsi="Arial" w:cs="Arial"/>
          <w:sz w:val="22"/>
          <w:szCs w:val="22"/>
        </w:rPr>
        <w:t xml:space="preserve"> guidance for HV</w:t>
      </w:r>
      <w:r w:rsidR="002F1CA5" w:rsidRPr="00343E2E">
        <w:rPr>
          <w:rFonts w:ascii="Arial" w:hAnsi="Arial" w:cs="Arial"/>
          <w:sz w:val="22"/>
          <w:szCs w:val="22"/>
        </w:rPr>
        <w:t>.</w:t>
      </w:r>
      <w:r w:rsidR="003E43C3" w:rsidRPr="00343E2E">
        <w:rPr>
          <w:rFonts w:ascii="Arial" w:hAnsi="Arial" w:cs="Arial"/>
          <w:sz w:val="22"/>
          <w:szCs w:val="22"/>
        </w:rPr>
        <w:t xml:space="preserve"> </w:t>
      </w:r>
      <w:r w:rsidR="002F1CA5" w:rsidRPr="00343E2E">
        <w:rPr>
          <w:rFonts w:ascii="Arial" w:hAnsi="Arial" w:cs="Arial"/>
          <w:sz w:val="22"/>
          <w:szCs w:val="22"/>
        </w:rPr>
        <w:t>T</w:t>
      </w:r>
      <w:r w:rsidR="003E43C3" w:rsidRPr="00343E2E">
        <w:rPr>
          <w:rFonts w:ascii="Arial" w:hAnsi="Arial" w:cs="Arial"/>
          <w:sz w:val="22"/>
          <w:szCs w:val="22"/>
        </w:rPr>
        <w:t>his work is home visiting, where practitioners can observe a child's everyday environment and respond to needs as they emerge. For example, during a 6–8 week review a health visitor may check an infant's feeding, weight gain and early communication cues, referring to a GP or paediatrician where concerns arise. Health visitors also support parental mental health, including postnatal depression, and work in partnership with GPs, midwives, social workers and school nurses, referring families onward when specia</w:t>
      </w:r>
      <w:r w:rsidR="003E43C3" w:rsidRPr="00343E2E">
        <w:rPr>
          <w:rFonts w:ascii="Arial" w:hAnsi="Arial" w:cs="Arial"/>
          <w:sz w:val="22"/>
          <w:szCs w:val="22"/>
        </w:rPr>
        <w:t xml:space="preserve">list input is needed. </w:t>
      </w:r>
      <w:r w:rsidR="00271DA4" w:rsidRPr="00343E2E">
        <w:rPr>
          <w:rFonts w:ascii="Arial" w:hAnsi="Arial" w:cs="Arial"/>
          <w:sz w:val="22"/>
          <w:szCs w:val="22"/>
        </w:rPr>
        <w:t xml:space="preserve">Cowling and Garstang </w:t>
      </w:r>
      <w:r w:rsidR="00271DA4" w:rsidRPr="00343E2E">
        <w:rPr>
          <w:rFonts w:ascii="Arial" w:hAnsi="Arial" w:cs="Arial"/>
          <w:sz w:val="22"/>
          <w:szCs w:val="22"/>
        </w:rPr>
        <w:t>(</w:t>
      </w:r>
      <w:r w:rsidR="00271DA4" w:rsidRPr="00343E2E">
        <w:rPr>
          <w:rFonts w:ascii="Arial" w:hAnsi="Arial" w:cs="Arial"/>
          <w:sz w:val="22"/>
          <w:szCs w:val="22"/>
        </w:rPr>
        <w:t>2023)</w:t>
      </w:r>
      <w:r w:rsidR="003B316E" w:rsidRPr="00343E2E">
        <w:rPr>
          <w:rFonts w:ascii="Arial" w:hAnsi="Arial" w:cs="Arial"/>
          <w:sz w:val="22"/>
          <w:szCs w:val="22"/>
        </w:rPr>
        <w:t xml:space="preserve"> talk that b</w:t>
      </w:r>
      <w:r w:rsidR="003E43C3" w:rsidRPr="00343E2E">
        <w:rPr>
          <w:rFonts w:ascii="Arial" w:hAnsi="Arial" w:cs="Arial"/>
          <w:sz w:val="22"/>
          <w:szCs w:val="22"/>
        </w:rPr>
        <w:t>eyond direct contact with families, the role also carries</w:t>
      </w:r>
      <w:r w:rsidR="003E43C3" w:rsidRPr="00343E2E">
        <w:rPr>
          <w:rFonts w:ascii="Arial" w:hAnsi="Arial" w:cs="Arial"/>
          <w:sz w:val="22"/>
          <w:szCs w:val="22"/>
        </w:rPr>
        <w:t>: health visitors manage a caseload of families, maintain accurate records of visits and assessments, and attend child protection case conferences where safeguarding concerns have been raised. This combination of clinical, educational and safeguarding duties means the role cannot be reduced to a single task; it requires practitioners to move fluidly between supporting a family's everyday wellbeing and, where necessary, taking formal protective action.</w:t>
      </w:r>
      <w:r w:rsidR="00FE3FE4" w:rsidRPr="00343E2E">
        <w:rPr>
          <w:rFonts w:ascii="Arial" w:hAnsi="Arial" w:cs="Arial"/>
          <w:sz w:val="22"/>
          <w:szCs w:val="22"/>
        </w:rPr>
        <w:t xml:space="preserve"> </w:t>
      </w:r>
      <w:r w:rsidR="00FE3FE4" w:rsidRPr="00343E2E">
        <w:rPr>
          <w:rFonts w:ascii="Arial" w:hAnsi="Arial" w:cs="Arial"/>
          <w:sz w:val="22"/>
          <w:szCs w:val="22"/>
        </w:rPr>
        <w:t xml:space="preserve">Rahman et al. (2024) </w:t>
      </w:r>
      <w:r w:rsidR="00CF2F26" w:rsidRPr="00343E2E">
        <w:rPr>
          <w:rFonts w:ascii="Arial" w:hAnsi="Arial" w:cs="Arial"/>
          <w:sz w:val="22"/>
          <w:szCs w:val="22"/>
        </w:rPr>
        <w:t xml:space="preserve">also </w:t>
      </w:r>
      <w:r w:rsidR="00FE3FE4" w:rsidRPr="00343E2E">
        <w:rPr>
          <w:rFonts w:ascii="Arial" w:hAnsi="Arial" w:cs="Arial"/>
          <w:sz w:val="22"/>
          <w:szCs w:val="22"/>
        </w:rPr>
        <w:t>highlight that communication must work across language and cultural differences. Weak communication can lead to misunderstandings, disengagement and missed concerns.</w:t>
      </w:r>
    </w:p>
    <w:p w14:paraId="3B856604" w14:textId="77777777" w:rsidR="00E500EF" w:rsidRPr="00343E2E" w:rsidRDefault="00E500EF" w:rsidP="00537D33">
      <w:pPr>
        <w:spacing w:after="200" w:line="360" w:lineRule="auto"/>
        <w:jc w:val="both"/>
        <w:rPr>
          <w:rFonts w:ascii="Arial" w:hAnsi="Arial" w:cs="Arial"/>
          <w:sz w:val="22"/>
          <w:szCs w:val="22"/>
        </w:rPr>
      </w:pPr>
    </w:p>
    <w:p w14:paraId="224914C1" w14:textId="705C8181" w:rsidR="00E500EF" w:rsidRPr="00E500EF" w:rsidRDefault="003E43C3" w:rsidP="00537D33">
      <w:pPr>
        <w:pStyle w:val="Heading1"/>
        <w:spacing w:before="320" w:after="160" w:line="360" w:lineRule="auto"/>
        <w:jc w:val="both"/>
        <w:rPr>
          <w:rFonts w:ascii="Arial" w:hAnsi="Arial" w:cs="Arial"/>
          <w:b/>
          <w:bCs/>
          <w:color w:val="1F3864"/>
          <w:sz w:val="22"/>
          <w:szCs w:val="22"/>
        </w:rPr>
      </w:pPr>
      <w:bookmarkStart w:id="5" w:name="_Toc237193095"/>
      <w:bookmarkStart w:id="6" w:name="_Toc237217718"/>
      <w:r w:rsidRPr="00343E2E">
        <w:rPr>
          <w:rFonts w:ascii="Arial" w:hAnsi="Arial" w:cs="Arial"/>
          <w:b/>
          <w:bCs/>
          <w:color w:val="1F3864"/>
          <w:sz w:val="22"/>
          <w:szCs w:val="22"/>
        </w:rPr>
        <w:lastRenderedPageBreak/>
        <w:t>3. Essential Skills for Effective Health Visiting Practice</w:t>
      </w:r>
      <w:bookmarkEnd w:id="5"/>
      <w:bookmarkEnd w:id="6"/>
    </w:p>
    <w:p w14:paraId="2E819255" w14:textId="663AA545" w:rsidR="001A25AB" w:rsidRPr="00343E2E" w:rsidRDefault="003E43C3" w:rsidP="00537D33">
      <w:pPr>
        <w:spacing w:after="200" w:line="360" w:lineRule="auto"/>
        <w:jc w:val="both"/>
        <w:rPr>
          <w:rFonts w:ascii="Arial" w:hAnsi="Arial" w:cs="Arial"/>
          <w:sz w:val="22"/>
          <w:szCs w:val="22"/>
        </w:rPr>
      </w:pPr>
      <w:r w:rsidRPr="00343E2E">
        <w:rPr>
          <w:rFonts w:ascii="Arial" w:hAnsi="Arial" w:cs="Arial"/>
          <w:sz w:val="22"/>
          <w:szCs w:val="22"/>
        </w:rPr>
        <w:t xml:space="preserve">Three skills </w:t>
      </w:r>
      <w:r w:rsidR="005648BF" w:rsidRPr="00343E2E">
        <w:rPr>
          <w:rFonts w:ascii="Arial" w:hAnsi="Arial" w:cs="Arial"/>
          <w:sz w:val="22"/>
          <w:szCs w:val="22"/>
        </w:rPr>
        <w:t>are</w:t>
      </w:r>
      <w:r w:rsidRPr="00343E2E">
        <w:rPr>
          <w:rFonts w:ascii="Arial" w:hAnsi="Arial" w:cs="Arial"/>
          <w:sz w:val="22"/>
          <w:szCs w:val="22"/>
        </w:rPr>
        <w:t xml:space="preserve"> essential to effective health visiting practice: communication, clinical assessment and safeguarding. The first</w:t>
      </w:r>
      <w:r w:rsidR="00730DFE" w:rsidRPr="00343E2E">
        <w:rPr>
          <w:rFonts w:ascii="Arial" w:hAnsi="Arial" w:cs="Arial"/>
          <w:sz w:val="22"/>
          <w:szCs w:val="22"/>
        </w:rPr>
        <w:t xml:space="preserve"> according</w:t>
      </w:r>
      <w:r w:rsidR="00FB25F9" w:rsidRPr="00343E2E">
        <w:rPr>
          <w:rFonts w:ascii="Arial" w:hAnsi="Arial" w:cs="Arial"/>
          <w:sz w:val="22"/>
          <w:szCs w:val="22"/>
        </w:rPr>
        <w:t xml:space="preserve"> </w:t>
      </w:r>
      <w:r w:rsidR="003C5538" w:rsidRPr="00343E2E">
        <w:rPr>
          <w:rFonts w:ascii="Arial" w:hAnsi="Arial" w:cs="Arial"/>
          <w:sz w:val="22"/>
          <w:szCs w:val="22"/>
        </w:rPr>
        <w:t>to Cowley</w:t>
      </w:r>
      <w:r w:rsidR="009F5042" w:rsidRPr="00343E2E">
        <w:rPr>
          <w:rFonts w:ascii="Arial" w:hAnsi="Arial" w:cs="Arial"/>
          <w:sz w:val="22"/>
          <w:szCs w:val="22"/>
        </w:rPr>
        <w:t xml:space="preserve"> </w:t>
      </w:r>
      <w:r w:rsidR="009F5042" w:rsidRPr="00343E2E">
        <w:rPr>
          <w:rFonts w:ascii="Arial" w:hAnsi="Arial" w:cs="Arial"/>
          <w:i/>
          <w:iCs/>
          <w:sz w:val="22"/>
          <w:szCs w:val="22"/>
        </w:rPr>
        <w:t>et al.</w:t>
      </w:r>
      <w:r w:rsidR="009F5042" w:rsidRPr="00343E2E">
        <w:rPr>
          <w:rFonts w:ascii="Arial" w:hAnsi="Arial" w:cs="Arial"/>
          <w:sz w:val="22"/>
          <w:szCs w:val="22"/>
        </w:rPr>
        <w:t xml:space="preserve"> </w:t>
      </w:r>
      <w:r w:rsidR="003D4513" w:rsidRPr="00343E2E">
        <w:rPr>
          <w:rFonts w:ascii="Arial" w:hAnsi="Arial" w:cs="Arial"/>
          <w:sz w:val="22"/>
          <w:szCs w:val="22"/>
        </w:rPr>
        <w:t>(</w:t>
      </w:r>
      <w:r w:rsidR="009F5042" w:rsidRPr="00343E2E">
        <w:rPr>
          <w:rFonts w:ascii="Arial" w:hAnsi="Arial" w:cs="Arial"/>
          <w:sz w:val="22"/>
          <w:szCs w:val="22"/>
        </w:rPr>
        <w:t>2015</w:t>
      </w:r>
      <w:r w:rsidR="003D4513" w:rsidRPr="00343E2E">
        <w:rPr>
          <w:rFonts w:ascii="Arial" w:hAnsi="Arial" w:cs="Arial"/>
          <w:sz w:val="22"/>
          <w:szCs w:val="22"/>
        </w:rPr>
        <w:t>)</w:t>
      </w:r>
      <w:r w:rsidRPr="00343E2E">
        <w:rPr>
          <w:rFonts w:ascii="Arial" w:hAnsi="Arial" w:cs="Arial"/>
          <w:sz w:val="22"/>
          <w:szCs w:val="22"/>
        </w:rPr>
        <w:t xml:space="preserve"> communication</w:t>
      </w:r>
      <w:r w:rsidRPr="00343E2E">
        <w:rPr>
          <w:rFonts w:ascii="Arial" w:hAnsi="Arial" w:cs="Arial"/>
          <w:sz w:val="22"/>
          <w:szCs w:val="22"/>
        </w:rPr>
        <w:t xml:space="preserve"> sits at the heart of health visiting because families are more likely to share their worries when they feel listened to and understood. Empathetic, clear communication helps parents make sense of health advice and feel confident engaging with services (Cowley </w:t>
      </w:r>
      <w:r w:rsidRPr="00343E2E">
        <w:rPr>
          <w:rFonts w:ascii="Arial" w:hAnsi="Arial" w:cs="Arial"/>
          <w:i/>
          <w:iCs/>
          <w:sz w:val="22"/>
          <w:szCs w:val="22"/>
        </w:rPr>
        <w:t>et al.</w:t>
      </w:r>
      <w:r w:rsidRPr="00343E2E">
        <w:rPr>
          <w:rFonts w:ascii="Arial" w:hAnsi="Arial" w:cs="Arial"/>
          <w:sz w:val="22"/>
          <w:szCs w:val="22"/>
        </w:rPr>
        <w:t xml:space="preserve">, 2015). This is especially important for sensitive topics such as breastfeeding or mental health; a health visitor might use open questions and active listening to help a parent talk through concerns about a child's </w:t>
      </w:r>
      <w:r w:rsidR="00EA1647" w:rsidRPr="00343E2E">
        <w:rPr>
          <w:rFonts w:ascii="Arial" w:hAnsi="Arial" w:cs="Arial"/>
          <w:sz w:val="22"/>
          <w:szCs w:val="22"/>
        </w:rPr>
        <w:t>sleep or</w:t>
      </w:r>
      <w:r w:rsidRPr="00343E2E">
        <w:rPr>
          <w:rFonts w:ascii="Arial" w:hAnsi="Arial" w:cs="Arial"/>
          <w:sz w:val="22"/>
          <w:szCs w:val="22"/>
        </w:rPr>
        <w:t xml:space="preserve"> adapt their explanation of a developmental concern depending on how much medical terminology a parent seems comfortable with. </w:t>
      </w:r>
      <w:r w:rsidR="009828C4" w:rsidRPr="00343E2E">
        <w:rPr>
          <w:rFonts w:ascii="Arial" w:hAnsi="Arial" w:cs="Arial"/>
          <w:sz w:val="22"/>
          <w:szCs w:val="22"/>
        </w:rPr>
        <w:t xml:space="preserve">Rahman et al. (2024) </w:t>
      </w:r>
      <w:r w:rsidR="009828C4" w:rsidRPr="00343E2E">
        <w:rPr>
          <w:rFonts w:ascii="Arial" w:hAnsi="Arial" w:cs="Arial"/>
          <w:sz w:val="22"/>
          <w:szCs w:val="22"/>
        </w:rPr>
        <w:t>supp</w:t>
      </w:r>
      <w:r w:rsidR="005C7674" w:rsidRPr="00343E2E">
        <w:rPr>
          <w:rFonts w:ascii="Arial" w:hAnsi="Arial" w:cs="Arial"/>
          <w:sz w:val="22"/>
          <w:szCs w:val="22"/>
        </w:rPr>
        <w:t>ort that c</w:t>
      </w:r>
      <w:r w:rsidRPr="00343E2E">
        <w:rPr>
          <w:rFonts w:ascii="Arial" w:hAnsi="Arial" w:cs="Arial"/>
          <w:sz w:val="22"/>
          <w:szCs w:val="22"/>
        </w:rPr>
        <w:t xml:space="preserve">ommunication in this context also </w:t>
      </w:r>
      <w:r w:rsidR="00510423" w:rsidRPr="00343E2E">
        <w:rPr>
          <w:rFonts w:ascii="Arial" w:hAnsi="Arial" w:cs="Arial"/>
          <w:sz w:val="22"/>
          <w:szCs w:val="22"/>
        </w:rPr>
        <w:t>must</w:t>
      </w:r>
      <w:r w:rsidRPr="00343E2E">
        <w:rPr>
          <w:rFonts w:ascii="Arial" w:hAnsi="Arial" w:cs="Arial"/>
          <w:sz w:val="22"/>
          <w:szCs w:val="22"/>
        </w:rPr>
        <w:t xml:space="preserve"> work across language and cultural difference, since not every family shares the health visitor's first language or assumptions about parenting. Where communication is weak, advice may be misunderstood or ignored, and parents may disengage from services altogether, reducing the chances that a genuine concern is ever raised.</w:t>
      </w:r>
    </w:p>
    <w:p w14:paraId="3BD7A2BE" w14:textId="77777777" w:rsidR="001A25AB" w:rsidRPr="00343E2E" w:rsidRDefault="003E43C3" w:rsidP="00537D33">
      <w:pPr>
        <w:spacing w:after="200" w:line="360" w:lineRule="auto"/>
        <w:jc w:val="both"/>
        <w:rPr>
          <w:rFonts w:ascii="Arial" w:hAnsi="Arial" w:cs="Arial"/>
          <w:sz w:val="22"/>
          <w:szCs w:val="22"/>
        </w:rPr>
      </w:pPr>
      <w:r w:rsidRPr="00343E2E">
        <w:rPr>
          <w:rFonts w:ascii="Arial" w:hAnsi="Arial" w:cs="Arial"/>
          <w:sz w:val="22"/>
          <w:szCs w:val="22"/>
        </w:rPr>
        <w:t>The second essential skill, clinical assessment, allows health visitors to build a picture of a child's development, parental wellbeing and the wider home environment, so that early signs of delay or risk can be identified before issues become more serious. During a developmental review, for example, a health visitor may observe a child's motor skills against expected milestones, plot growth measurements on a centile chart, and refer to a paediatrician if concerns arise. Effective assessment also depends on</w:t>
      </w:r>
      <w:r w:rsidRPr="00343E2E">
        <w:rPr>
          <w:rFonts w:ascii="Arial" w:hAnsi="Arial" w:cs="Arial"/>
          <w:sz w:val="22"/>
          <w:szCs w:val="22"/>
        </w:rPr>
        <w:t xml:space="preserve"> understanding the family's wider circumstances, such as housing, finances or parental mental health, since these factors can shape a child's development just as much as physical health does. Weak assessment skills can delay the identification of developmental concerns, making early intervention less effective and increasing pressure on more specialist services later.</w:t>
      </w:r>
    </w:p>
    <w:p w14:paraId="5A8B2106" w14:textId="51095A3E" w:rsidR="001A25AB" w:rsidRPr="00343E2E" w:rsidRDefault="003E43C3" w:rsidP="00537D33">
      <w:pPr>
        <w:spacing w:after="200" w:line="360" w:lineRule="auto"/>
        <w:jc w:val="both"/>
        <w:rPr>
          <w:rFonts w:ascii="Arial" w:hAnsi="Arial" w:cs="Arial"/>
          <w:sz w:val="22"/>
          <w:szCs w:val="22"/>
        </w:rPr>
      </w:pPr>
      <w:r w:rsidRPr="00343E2E">
        <w:rPr>
          <w:rFonts w:ascii="Arial" w:hAnsi="Arial" w:cs="Arial"/>
          <w:sz w:val="22"/>
          <w:szCs w:val="22"/>
        </w:rPr>
        <w:t>The third essential skill, safeguarding, is a core part of the role because health visitors are often the first professionals to notice when a child or parent may be at risk, including signs of neglect, domestic abuse or parental mental health difficulties. If a health visitor receives inconsistent explanations for a child's injury, they must follow safeguarding procedures and escalate concerns appropriately</w:t>
      </w:r>
      <w:r w:rsidRPr="00343E2E">
        <w:rPr>
          <w:rFonts w:ascii="Arial" w:hAnsi="Arial" w:cs="Arial"/>
          <w:sz w:val="22"/>
          <w:szCs w:val="22"/>
        </w:rPr>
        <w:t>. This matters because reviews of serious child protection cases repeatedly show that missed warning signs, poor information-sharing and a lack of professional challenge between agencies are recurring contributors to harm (Cowling and Garstang, 2023). Because health visitors often hold the fullest picture of a family over time, weak safeguarding practice does not only put an individual child at risk; it can also mean opportunities to intervene are missed by the wider system.</w:t>
      </w:r>
    </w:p>
    <w:p w14:paraId="267EC064" w14:textId="77777777" w:rsidR="001A25AB" w:rsidRDefault="003E43C3" w:rsidP="00537D33">
      <w:pPr>
        <w:pStyle w:val="Heading1"/>
        <w:spacing w:before="320" w:after="160" w:line="360" w:lineRule="auto"/>
        <w:jc w:val="both"/>
        <w:rPr>
          <w:rFonts w:ascii="Arial" w:hAnsi="Arial" w:cs="Arial"/>
          <w:b/>
          <w:bCs/>
          <w:color w:val="1F3864"/>
          <w:sz w:val="22"/>
          <w:szCs w:val="22"/>
        </w:rPr>
      </w:pPr>
      <w:bookmarkStart w:id="7" w:name="_Toc237193096"/>
      <w:bookmarkStart w:id="8" w:name="_Toc237217719"/>
      <w:r w:rsidRPr="00343E2E">
        <w:rPr>
          <w:rFonts w:ascii="Arial" w:hAnsi="Arial" w:cs="Arial"/>
          <w:b/>
          <w:bCs/>
          <w:color w:val="1F3864"/>
          <w:sz w:val="22"/>
          <w:szCs w:val="22"/>
        </w:rPr>
        <w:lastRenderedPageBreak/>
        <w:t>4. Strategies to Develop These Skills</w:t>
      </w:r>
      <w:bookmarkEnd w:id="7"/>
      <w:bookmarkEnd w:id="8"/>
    </w:p>
    <w:p w14:paraId="77963500" w14:textId="77777777" w:rsidR="00E500EF" w:rsidRPr="00343E2E" w:rsidRDefault="00E500EF" w:rsidP="00537D33">
      <w:pPr>
        <w:pStyle w:val="Heading1"/>
        <w:spacing w:before="320" w:after="160" w:line="360" w:lineRule="auto"/>
        <w:jc w:val="both"/>
        <w:rPr>
          <w:rFonts w:ascii="Arial" w:hAnsi="Arial" w:cs="Arial"/>
          <w:sz w:val="22"/>
          <w:szCs w:val="22"/>
        </w:rPr>
      </w:pPr>
    </w:p>
    <w:p w14:paraId="67A794AB" w14:textId="5C09D340" w:rsidR="001A25AB" w:rsidRPr="00343E2E" w:rsidRDefault="003E43C3" w:rsidP="00537D33">
      <w:pPr>
        <w:spacing w:after="200" w:line="360" w:lineRule="auto"/>
        <w:jc w:val="both"/>
        <w:rPr>
          <w:rFonts w:ascii="Arial" w:hAnsi="Arial" w:cs="Arial"/>
          <w:sz w:val="22"/>
          <w:szCs w:val="22"/>
        </w:rPr>
      </w:pPr>
      <w:r w:rsidRPr="00343E2E">
        <w:rPr>
          <w:rFonts w:ascii="Arial" w:hAnsi="Arial" w:cs="Arial"/>
          <w:sz w:val="22"/>
          <w:szCs w:val="22"/>
        </w:rPr>
        <w:t>Three strategies can support the development of communication skills. First, training in Motivational Interviewing (MI)</w:t>
      </w:r>
      <w:r w:rsidR="00DB280A" w:rsidRPr="00343E2E">
        <w:rPr>
          <w:rFonts w:ascii="Arial" w:hAnsi="Arial" w:cs="Arial"/>
          <w:sz w:val="22"/>
          <w:szCs w:val="22"/>
        </w:rPr>
        <w:t xml:space="preserve"> based on Miller (2023)</w:t>
      </w:r>
      <w:r w:rsidRPr="00343E2E">
        <w:rPr>
          <w:rFonts w:ascii="Arial" w:hAnsi="Arial" w:cs="Arial"/>
          <w:sz w:val="22"/>
          <w:szCs w:val="22"/>
        </w:rPr>
        <w:t xml:space="preserve"> helps </w:t>
      </w:r>
      <w:r w:rsidR="00C26E92" w:rsidRPr="00343E2E">
        <w:rPr>
          <w:rFonts w:ascii="Arial" w:hAnsi="Arial" w:cs="Arial"/>
          <w:sz w:val="22"/>
          <w:szCs w:val="22"/>
        </w:rPr>
        <w:t>H</w:t>
      </w:r>
      <w:r w:rsidRPr="00343E2E">
        <w:rPr>
          <w:rFonts w:ascii="Arial" w:hAnsi="Arial" w:cs="Arial"/>
          <w:sz w:val="22"/>
          <w:szCs w:val="22"/>
        </w:rPr>
        <w:t xml:space="preserve">ealth </w:t>
      </w:r>
      <w:r w:rsidR="00DE5322" w:rsidRPr="00343E2E">
        <w:rPr>
          <w:rFonts w:ascii="Arial" w:hAnsi="Arial" w:cs="Arial"/>
          <w:sz w:val="22"/>
          <w:szCs w:val="22"/>
        </w:rPr>
        <w:t>V</w:t>
      </w:r>
      <w:r w:rsidRPr="00343E2E">
        <w:rPr>
          <w:rFonts w:ascii="Arial" w:hAnsi="Arial" w:cs="Arial"/>
          <w:sz w:val="22"/>
          <w:szCs w:val="22"/>
        </w:rPr>
        <w:t>isitors move away from giving direct advice towards collaborative conversations built on open questions, affirmations and reflective listening, which helps parents explore their own motivations for change, for example around feeding routines (Miller, 2023). Second, structured peer observation, shadowing an experienced colleague during home visits and receiving feedback afterwards, builds confidence in reading non-verbal cues and adapting tone to the family in front of them. Third, targeted CPD in communicat</w:t>
      </w:r>
      <w:r w:rsidRPr="00343E2E">
        <w:rPr>
          <w:rFonts w:ascii="Arial" w:hAnsi="Arial" w:cs="Arial"/>
          <w:sz w:val="22"/>
          <w:szCs w:val="22"/>
        </w:rPr>
        <w:t xml:space="preserve">ing across language and cultural barriers directly addresses a gap identified in practice: Rahman </w:t>
      </w:r>
      <w:r w:rsidRPr="00343E2E">
        <w:rPr>
          <w:rFonts w:ascii="Arial" w:hAnsi="Arial" w:cs="Arial"/>
          <w:i/>
          <w:iCs/>
          <w:sz w:val="22"/>
          <w:szCs w:val="22"/>
        </w:rPr>
        <w:t>et al.</w:t>
      </w:r>
      <w:r w:rsidRPr="00343E2E">
        <w:rPr>
          <w:rFonts w:ascii="Arial" w:hAnsi="Arial" w:cs="Arial"/>
          <w:sz w:val="22"/>
          <w:szCs w:val="22"/>
        </w:rPr>
        <w:t xml:space="preserve"> (2024) found that language differences complicated HCP delivery for some families</w:t>
      </w:r>
      <w:r w:rsidR="00866B1E" w:rsidRPr="00343E2E">
        <w:rPr>
          <w:rFonts w:ascii="Arial" w:hAnsi="Arial" w:cs="Arial"/>
          <w:sz w:val="22"/>
          <w:szCs w:val="22"/>
        </w:rPr>
        <w:t xml:space="preserve">. </w:t>
      </w:r>
      <w:r w:rsidR="002E6FB3" w:rsidRPr="00343E2E">
        <w:rPr>
          <w:rFonts w:ascii="Arial" w:hAnsi="Arial" w:cs="Arial"/>
          <w:sz w:val="22"/>
          <w:szCs w:val="22"/>
        </w:rPr>
        <w:t xml:space="preserve">Practicing MI would support </w:t>
      </w:r>
      <w:r w:rsidR="00EF2380" w:rsidRPr="00343E2E">
        <w:rPr>
          <w:rFonts w:ascii="Arial" w:hAnsi="Arial" w:cs="Arial"/>
          <w:sz w:val="22"/>
          <w:szCs w:val="22"/>
        </w:rPr>
        <w:t xml:space="preserve">HV to communicate in </w:t>
      </w:r>
      <w:r w:rsidR="008964CB" w:rsidRPr="00343E2E">
        <w:rPr>
          <w:rFonts w:ascii="Arial" w:hAnsi="Arial" w:cs="Arial"/>
          <w:sz w:val="22"/>
          <w:szCs w:val="22"/>
        </w:rPr>
        <w:t xml:space="preserve">a more supportive and collaborative way. </w:t>
      </w:r>
    </w:p>
    <w:p w14:paraId="22FF43E2" w14:textId="55CABA7B" w:rsidR="001A25AB" w:rsidRPr="00343E2E" w:rsidRDefault="003E43C3" w:rsidP="00537D33">
      <w:pPr>
        <w:spacing w:after="200" w:line="360" w:lineRule="auto"/>
        <w:jc w:val="both"/>
        <w:rPr>
          <w:rFonts w:ascii="Arial" w:hAnsi="Arial" w:cs="Arial"/>
          <w:sz w:val="22"/>
          <w:szCs w:val="22"/>
        </w:rPr>
      </w:pPr>
      <w:r w:rsidRPr="00343E2E">
        <w:rPr>
          <w:rFonts w:ascii="Arial" w:hAnsi="Arial" w:cs="Arial"/>
          <w:sz w:val="22"/>
          <w:szCs w:val="22"/>
        </w:rPr>
        <w:t xml:space="preserve">Clinical assessment skills can be developed in three similar ways. First, reflective practice using a structured model such as Gibbs' Cycle </w:t>
      </w:r>
      <w:r w:rsidR="007C54E9" w:rsidRPr="00343E2E">
        <w:rPr>
          <w:rFonts w:ascii="Arial" w:hAnsi="Arial" w:cs="Arial"/>
          <w:sz w:val="22"/>
          <w:szCs w:val="22"/>
        </w:rPr>
        <w:t>based on Sch</w:t>
      </w:r>
      <w:r w:rsidR="00A84285" w:rsidRPr="00343E2E">
        <w:rPr>
          <w:rFonts w:ascii="Arial" w:hAnsi="Arial" w:cs="Arial"/>
          <w:sz w:val="22"/>
          <w:szCs w:val="22"/>
        </w:rPr>
        <w:t xml:space="preserve">utz (2007) </w:t>
      </w:r>
      <w:r w:rsidR="00CE1C82" w:rsidRPr="00343E2E">
        <w:rPr>
          <w:rFonts w:ascii="Arial" w:hAnsi="Arial" w:cs="Arial"/>
          <w:sz w:val="22"/>
          <w:szCs w:val="22"/>
        </w:rPr>
        <w:t>allows</w:t>
      </w:r>
      <w:r w:rsidRPr="00343E2E">
        <w:rPr>
          <w:rFonts w:ascii="Arial" w:hAnsi="Arial" w:cs="Arial"/>
          <w:sz w:val="22"/>
          <w:szCs w:val="22"/>
        </w:rPr>
        <w:t xml:space="preserve"> health visitors to review what happened during an assessment, how it felt, and what could be done differently next time, which sharpens judgement over repeated cycles of practice (Schutz, 2007). Second, case-based discussion with peers or a supervisor allows practitioners to compare how they interpreted the same developmental signs, helping to calibrate judgement and catch assumptions an individual practitioner might miss. Third,</w:t>
      </w:r>
      <w:r w:rsidRPr="00343E2E">
        <w:rPr>
          <w:rFonts w:ascii="Arial" w:hAnsi="Arial" w:cs="Arial"/>
          <w:sz w:val="22"/>
          <w:szCs w:val="22"/>
        </w:rPr>
        <w:t xml:space="preserve"> CPD on updated </w:t>
      </w:r>
      <w:r w:rsidR="003C474A" w:rsidRPr="00343E2E">
        <w:rPr>
          <w:rFonts w:ascii="Arial" w:hAnsi="Arial" w:cs="Arial"/>
          <w:sz w:val="22"/>
          <w:szCs w:val="22"/>
        </w:rPr>
        <w:t>communication addre</w:t>
      </w:r>
      <w:r w:rsidR="006C7C47" w:rsidRPr="00343E2E">
        <w:rPr>
          <w:rFonts w:ascii="Arial" w:hAnsi="Arial" w:cs="Arial"/>
          <w:sz w:val="22"/>
          <w:szCs w:val="22"/>
        </w:rPr>
        <w:t xml:space="preserve">sses barriers identified by </w:t>
      </w:r>
      <w:r w:rsidR="006B62F6" w:rsidRPr="00343E2E">
        <w:rPr>
          <w:rFonts w:ascii="Arial" w:hAnsi="Arial" w:cs="Arial"/>
          <w:sz w:val="22"/>
          <w:szCs w:val="22"/>
        </w:rPr>
        <w:t>Rahman et al. (2024)</w:t>
      </w:r>
      <w:r w:rsidR="00C068D7" w:rsidRPr="00343E2E">
        <w:rPr>
          <w:rFonts w:ascii="Arial" w:hAnsi="Arial" w:cs="Arial"/>
          <w:sz w:val="22"/>
          <w:szCs w:val="22"/>
        </w:rPr>
        <w:t xml:space="preserve">. </w:t>
      </w:r>
      <w:r w:rsidR="005B676C" w:rsidRPr="00343E2E">
        <w:rPr>
          <w:rFonts w:ascii="Arial" w:hAnsi="Arial" w:cs="Arial"/>
          <w:sz w:val="22"/>
          <w:szCs w:val="22"/>
        </w:rPr>
        <w:t xml:space="preserve">CPD </w:t>
      </w:r>
      <w:r w:rsidRPr="00343E2E">
        <w:rPr>
          <w:rFonts w:ascii="Arial" w:hAnsi="Arial" w:cs="Arial"/>
          <w:sz w:val="22"/>
          <w:szCs w:val="22"/>
        </w:rPr>
        <w:t>screening tools and growth-monitoring guidance keeps assessment practice aligned with current evidence</w:t>
      </w:r>
      <w:r w:rsidR="00966449" w:rsidRPr="00343E2E">
        <w:rPr>
          <w:rFonts w:ascii="Arial" w:hAnsi="Arial" w:cs="Arial"/>
          <w:sz w:val="22"/>
          <w:szCs w:val="22"/>
        </w:rPr>
        <w:t>.</w:t>
      </w:r>
    </w:p>
    <w:p w14:paraId="35DBEDD3" w14:textId="7314421D" w:rsidR="001A25AB" w:rsidRDefault="003E43C3" w:rsidP="00537D33">
      <w:pPr>
        <w:spacing w:after="200" w:line="360" w:lineRule="auto"/>
        <w:jc w:val="both"/>
        <w:rPr>
          <w:rFonts w:ascii="Arial" w:hAnsi="Arial" w:cs="Arial"/>
          <w:sz w:val="22"/>
          <w:szCs w:val="22"/>
        </w:rPr>
      </w:pPr>
      <w:r w:rsidRPr="00343E2E">
        <w:rPr>
          <w:rFonts w:ascii="Arial" w:hAnsi="Arial" w:cs="Arial"/>
          <w:sz w:val="22"/>
          <w:szCs w:val="22"/>
        </w:rPr>
        <w:t>Finally, three strategies can strengthen safeguarding practice. First,</w:t>
      </w:r>
      <w:r w:rsidR="00462B73" w:rsidRPr="00343E2E">
        <w:rPr>
          <w:rFonts w:ascii="Arial" w:hAnsi="Arial" w:cs="Arial"/>
          <w:sz w:val="22"/>
          <w:szCs w:val="22"/>
        </w:rPr>
        <w:t xml:space="preserve"> </w:t>
      </w:r>
      <w:r w:rsidR="00462B73" w:rsidRPr="00343E2E">
        <w:rPr>
          <w:rFonts w:ascii="Arial" w:hAnsi="Arial" w:cs="Arial"/>
          <w:sz w:val="22"/>
          <w:szCs w:val="22"/>
        </w:rPr>
        <w:t xml:space="preserve">Cowling and Garstang, </w:t>
      </w:r>
      <w:r w:rsidR="00462B73" w:rsidRPr="00343E2E">
        <w:rPr>
          <w:rFonts w:ascii="Arial" w:hAnsi="Arial" w:cs="Arial"/>
          <w:sz w:val="22"/>
          <w:szCs w:val="22"/>
        </w:rPr>
        <w:t>(</w:t>
      </w:r>
      <w:r w:rsidR="00462B73" w:rsidRPr="00343E2E">
        <w:rPr>
          <w:rFonts w:ascii="Arial" w:hAnsi="Arial" w:cs="Arial"/>
          <w:sz w:val="22"/>
          <w:szCs w:val="22"/>
        </w:rPr>
        <w:t>2023</w:t>
      </w:r>
      <w:r w:rsidR="00462B73" w:rsidRPr="00343E2E">
        <w:rPr>
          <w:rFonts w:ascii="Arial" w:hAnsi="Arial" w:cs="Arial"/>
          <w:sz w:val="22"/>
          <w:szCs w:val="22"/>
        </w:rPr>
        <w:t>) view on</w:t>
      </w:r>
      <w:r w:rsidRPr="00343E2E">
        <w:rPr>
          <w:rFonts w:ascii="Arial" w:hAnsi="Arial" w:cs="Arial"/>
          <w:sz w:val="22"/>
          <w:szCs w:val="22"/>
        </w:rPr>
        <w:t xml:space="preserve"> multi-agency training that brings health visitors together with social workers, midwives and police builds shared understanding of referral pathways and helps practitioners recognise risk factors, such as coercive control, with greater confidence (Cowling and Garstang, 2023). Second,</w:t>
      </w:r>
      <w:r w:rsidR="0064147E" w:rsidRPr="00343E2E">
        <w:rPr>
          <w:rFonts w:ascii="Arial" w:hAnsi="Arial" w:cs="Arial"/>
          <w:sz w:val="22"/>
          <w:szCs w:val="22"/>
        </w:rPr>
        <w:t xml:space="preserve"> embedding</w:t>
      </w:r>
      <w:r w:rsidR="0064147E" w:rsidRPr="00343E2E">
        <w:rPr>
          <w:rFonts w:ascii="Arial" w:hAnsi="Arial" w:cs="Arial"/>
          <w:sz w:val="22"/>
          <w:szCs w:val="22"/>
        </w:rPr>
        <w:t xml:space="preserve"> learning from serious case reviews helps practitioners apply lessons proactively</w:t>
      </w:r>
      <w:r w:rsidRPr="00343E2E">
        <w:rPr>
          <w:rFonts w:ascii="Arial" w:hAnsi="Arial" w:cs="Arial"/>
          <w:sz w:val="22"/>
          <w:szCs w:val="22"/>
        </w:rPr>
        <w:t xml:space="preserve"> (Cowling and Garstang, 2023). Third, access to restorative </w:t>
      </w:r>
      <w:r w:rsidRPr="00343E2E">
        <w:rPr>
          <w:rFonts w:ascii="Arial" w:hAnsi="Arial" w:cs="Arial"/>
          <w:sz w:val="22"/>
          <w:szCs w:val="22"/>
        </w:rPr>
        <w:t>c</w:t>
      </w:r>
      <w:r w:rsidRPr="00343E2E">
        <w:rPr>
          <w:rFonts w:ascii="Arial" w:hAnsi="Arial" w:cs="Arial"/>
          <w:sz w:val="22"/>
          <w:szCs w:val="22"/>
        </w:rPr>
        <w:t>l</w:t>
      </w:r>
      <w:r w:rsidRPr="00343E2E">
        <w:rPr>
          <w:rFonts w:ascii="Arial" w:hAnsi="Arial" w:cs="Arial"/>
          <w:sz w:val="22"/>
          <w:szCs w:val="22"/>
        </w:rPr>
        <w:t>i</w:t>
      </w:r>
      <w:r w:rsidRPr="00343E2E">
        <w:rPr>
          <w:rFonts w:ascii="Arial" w:hAnsi="Arial" w:cs="Arial"/>
          <w:sz w:val="22"/>
          <w:szCs w:val="22"/>
        </w:rPr>
        <w:t>n</w:t>
      </w:r>
      <w:r w:rsidRPr="00343E2E">
        <w:rPr>
          <w:rFonts w:ascii="Arial" w:hAnsi="Arial" w:cs="Arial"/>
          <w:sz w:val="22"/>
          <w:szCs w:val="22"/>
        </w:rPr>
        <w:t>i</w:t>
      </w:r>
      <w:r w:rsidRPr="00343E2E">
        <w:rPr>
          <w:rFonts w:ascii="Arial" w:hAnsi="Arial" w:cs="Arial"/>
          <w:sz w:val="22"/>
          <w:szCs w:val="22"/>
        </w:rPr>
        <w:t>c</w:t>
      </w:r>
      <w:r w:rsidRPr="00343E2E">
        <w:rPr>
          <w:rFonts w:ascii="Arial" w:hAnsi="Arial" w:cs="Arial"/>
          <w:sz w:val="22"/>
          <w:szCs w:val="22"/>
        </w:rPr>
        <w:t>a</w:t>
      </w:r>
      <w:r w:rsidRPr="00343E2E">
        <w:rPr>
          <w:rFonts w:ascii="Arial" w:hAnsi="Arial" w:cs="Arial"/>
          <w:sz w:val="22"/>
          <w:szCs w:val="22"/>
        </w:rPr>
        <w:t>l</w:t>
      </w:r>
      <w:r w:rsidRPr="00343E2E">
        <w:rPr>
          <w:rFonts w:ascii="Arial" w:hAnsi="Arial" w:cs="Arial"/>
          <w:sz w:val="22"/>
          <w:szCs w:val="22"/>
        </w:rPr>
        <w:t xml:space="preserve"> supervision </w:t>
      </w:r>
      <w:r w:rsidR="00321EB7" w:rsidRPr="00343E2E">
        <w:rPr>
          <w:rFonts w:ascii="Arial" w:hAnsi="Arial" w:cs="Arial"/>
          <w:sz w:val="22"/>
          <w:szCs w:val="22"/>
        </w:rPr>
        <w:t>provides space to process complex cases and supports safeguarding confidence</w:t>
      </w:r>
      <w:r w:rsidR="00462B73" w:rsidRPr="00343E2E">
        <w:rPr>
          <w:rFonts w:ascii="Arial" w:hAnsi="Arial" w:cs="Arial"/>
          <w:sz w:val="22"/>
          <w:szCs w:val="22"/>
        </w:rPr>
        <w:t xml:space="preserve"> </w:t>
      </w:r>
      <w:r w:rsidRPr="00343E2E">
        <w:rPr>
          <w:rFonts w:ascii="Arial" w:hAnsi="Arial" w:cs="Arial"/>
          <w:sz w:val="22"/>
          <w:szCs w:val="22"/>
        </w:rPr>
        <w:t>(Kearney, 2023).</w:t>
      </w:r>
    </w:p>
    <w:p w14:paraId="0AA4BC2B" w14:textId="77777777" w:rsidR="00E500EF" w:rsidRDefault="00E500EF" w:rsidP="00537D33">
      <w:pPr>
        <w:spacing w:after="200" w:line="360" w:lineRule="auto"/>
        <w:jc w:val="both"/>
        <w:rPr>
          <w:rFonts w:ascii="Arial" w:hAnsi="Arial" w:cs="Arial"/>
          <w:sz w:val="22"/>
          <w:szCs w:val="22"/>
        </w:rPr>
      </w:pPr>
    </w:p>
    <w:p w14:paraId="19698198" w14:textId="77777777" w:rsidR="00E500EF" w:rsidRDefault="00E500EF" w:rsidP="00537D33">
      <w:pPr>
        <w:spacing w:after="200" w:line="360" w:lineRule="auto"/>
        <w:jc w:val="both"/>
        <w:rPr>
          <w:rFonts w:ascii="Arial" w:hAnsi="Arial" w:cs="Arial"/>
          <w:sz w:val="22"/>
          <w:szCs w:val="22"/>
        </w:rPr>
      </w:pPr>
    </w:p>
    <w:p w14:paraId="5A3CFD8E" w14:textId="77777777" w:rsidR="00E500EF" w:rsidRDefault="00E500EF" w:rsidP="00537D33">
      <w:pPr>
        <w:spacing w:after="200" w:line="360" w:lineRule="auto"/>
        <w:jc w:val="both"/>
        <w:rPr>
          <w:rFonts w:ascii="Arial" w:hAnsi="Arial" w:cs="Arial"/>
          <w:sz w:val="22"/>
          <w:szCs w:val="22"/>
        </w:rPr>
      </w:pPr>
    </w:p>
    <w:p w14:paraId="3CCF6F63" w14:textId="77777777" w:rsidR="00E500EF" w:rsidRPr="00343E2E" w:rsidRDefault="00E500EF" w:rsidP="00537D33">
      <w:pPr>
        <w:spacing w:after="200" w:line="360" w:lineRule="auto"/>
        <w:jc w:val="both"/>
        <w:rPr>
          <w:rFonts w:ascii="Arial" w:hAnsi="Arial" w:cs="Arial"/>
          <w:sz w:val="22"/>
          <w:szCs w:val="22"/>
        </w:rPr>
      </w:pPr>
    </w:p>
    <w:p w14:paraId="513F7E62" w14:textId="77777777" w:rsidR="001A25AB" w:rsidRPr="00343E2E" w:rsidRDefault="003E43C3" w:rsidP="00537D33">
      <w:pPr>
        <w:pStyle w:val="Heading1"/>
        <w:spacing w:before="320" w:after="160" w:line="360" w:lineRule="auto"/>
        <w:jc w:val="both"/>
        <w:rPr>
          <w:rFonts w:ascii="Arial" w:hAnsi="Arial" w:cs="Arial"/>
          <w:sz w:val="22"/>
          <w:szCs w:val="22"/>
        </w:rPr>
      </w:pPr>
      <w:bookmarkStart w:id="9" w:name="_Toc237193097"/>
      <w:bookmarkStart w:id="10" w:name="_Toc237217720"/>
      <w:r w:rsidRPr="00343E2E">
        <w:rPr>
          <w:rFonts w:ascii="Arial" w:hAnsi="Arial" w:cs="Arial"/>
          <w:b/>
          <w:bCs/>
          <w:color w:val="1F3864"/>
          <w:sz w:val="22"/>
          <w:szCs w:val="22"/>
        </w:rPr>
        <w:t>5. Conclusion</w:t>
      </w:r>
      <w:bookmarkEnd w:id="9"/>
      <w:bookmarkEnd w:id="10"/>
    </w:p>
    <w:p w14:paraId="0BE0616D" w14:textId="6AF98513" w:rsidR="001A25AB" w:rsidRPr="00343E2E" w:rsidRDefault="003E43C3" w:rsidP="00C212A6">
      <w:pPr>
        <w:spacing w:after="200" w:line="360" w:lineRule="auto"/>
        <w:jc w:val="both"/>
        <w:rPr>
          <w:rFonts w:ascii="Arial" w:hAnsi="Arial" w:cs="Arial"/>
          <w:sz w:val="22"/>
          <w:szCs w:val="22"/>
        </w:rPr>
      </w:pPr>
      <w:r w:rsidRPr="00343E2E">
        <w:rPr>
          <w:rFonts w:ascii="Arial" w:hAnsi="Arial" w:cs="Arial"/>
          <w:sz w:val="22"/>
          <w:szCs w:val="22"/>
        </w:rPr>
        <w:t xml:space="preserve">This report has shown how central health visitors are to supporting families and promoting healthy development in the early years, through a role that combines home visiting, health promotion and safeguarding </w:t>
      </w:r>
      <w:r w:rsidRPr="00537D33">
        <w:rPr>
          <w:rFonts w:ascii="Arial" w:hAnsi="Arial" w:cs="Arial"/>
          <w:sz w:val="22"/>
          <w:szCs w:val="22"/>
        </w:rPr>
        <w:t>responsibility. Communication, clinical assessment and safeguarding do not operate in isolation; as the example of a health visitor supporting a parent with postnatal depression shows, a single visit can call on all three skills at once, which is why each needs to be deliberately maintained rather than assumed to remain strong on its own. Each</w:t>
      </w:r>
      <w:r w:rsidR="002C70B4" w:rsidRPr="00537D33">
        <w:rPr>
          <w:rFonts w:ascii="Arial" w:hAnsi="Arial" w:cs="Arial"/>
          <w:sz w:val="22"/>
          <w:szCs w:val="22"/>
        </w:rPr>
        <w:t xml:space="preserve"> skill</w:t>
      </w:r>
      <w:r w:rsidRPr="00537D33">
        <w:rPr>
          <w:rFonts w:ascii="Arial" w:hAnsi="Arial" w:cs="Arial"/>
          <w:sz w:val="22"/>
          <w:szCs w:val="22"/>
        </w:rPr>
        <w:t xml:space="preserve"> can be strengthened through</w:t>
      </w:r>
      <w:r w:rsidR="00A17B7F" w:rsidRPr="00537D33">
        <w:rPr>
          <w:rFonts w:ascii="Arial" w:hAnsi="Arial" w:cs="Arial"/>
          <w:sz w:val="22"/>
          <w:szCs w:val="22"/>
        </w:rPr>
        <w:t xml:space="preserve"> evidence</w:t>
      </w:r>
      <w:r w:rsidR="007841B9" w:rsidRPr="00537D33">
        <w:rPr>
          <w:rFonts w:ascii="Arial" w:hAnsi="Arial" w:cs="Arial"/>
          <w:sz w:val="22"/>
          <w:szCs w:val="22"/>
        </w:rPr>
        <w:noBreakHyphen/>
        <w:t>informed strategies such as Motivational Interviewing, peer observation, reflective practice, case</w:t>
      </w:r>
      <w:r w:rsidR="007841B9" w:rsidRPr="00537D33">
        <w:rPr>
          <w:rFonts w:ascii="Arial" w:hAnsi="Arial" w:cs="Arial"/>
          <w:sz w:val="22"/>
          <w:szCs w:val="22"/>
        </w:rPr>
        <w:noBreakHyphen/>
        <w:t>based discussion and multi</w:t>
      </w:r>
      <w:r w:rsidR="007841B9" w:rsidRPr="00537D33">
        <w:rPr>
          <w:rFonts w:ascii="Arial" w:hAnsi="Arial" w:cs="Arial"/>
          <w:sz w:val="22"/>
          <w:szCs w:val="22"/>
        </w:rPr>
        <w:noBreakHyphen/>
        <w:t xml:space="preserve">agency </w:t>
      </w:r>
      <w:r w:rsidR="00537ECB" w:rsidRPr="00537D33">
        <w:rPr>
          <w:rFonts w:ascii="Arial" w:hAnsi="Arial" w:cs="Arial"/>
          <w:sz w:val="22"/>
          <w:szCs w:val="22"/>
        </w:rPr>
        <w:t xml:space="preserve">training. </w:t>
      </w:r>
      <w:r w:rsidR="00154A2D">
        <w:rPr>
          <w:rFonts w:ascii="Arial" w:hAnsi="Arial" w:cs="Arial"/>
          <w:sz w:val="22"/>
          <w:szCs w:val="22"/>
        </w:rPr>
        <w:t>U</w:t>
      </w:r>
      <w:r w:rsidRPr="00537D33">
        <w:rPr>
          <w:rFonts w:ascii="Arial" w:hAnsi="Arial" w:cs="Arial"/>
          <w:sz w:val="22"/>
          <w:szCs w:val="22"/>
        </w:rPr>
        <w:t xml:space="preserve">p-to-date screening training for assessment; and multi-agency training, embedding case review learning and restorative supervision for safeguarding. Ultimately, </w:t>
      </w:r>
      <w:r w:rsidR="00DE60BB" w:rsidRPr="00537D33">
        <w:rPr>
          <w:rFonts w:ascii="Arial" w:hAnsi="Arial" w:cs="Arial"/>
          <w:sz w:val="22"/>
          <w:szCs w:val="22"/>
        </w:rPr>
        <w:t>in</w:t>
      </w:r>
      <w:r w:rsidRPr="00537D33">
        <w:rPr>
          <w:rFonts w:ascii="Arial" w:hAnsi="Arial" w:cs="Arial"/>
          <w:sz w:val="22"/>
          <w:szCs w:val="22"/>
        </w:rPr>
        <w:t>vest</w:t>
      </w:r>
      <w:r w:rsidR="00593B4A" w:rsidRPr="00537D33">
        <w:rPr>
          <w:rFonts w:ascii="Arial" w:hAnsi="Arial" w:cs="Arial"/>
          <w:sz w:val="22"/>
          <w:szCs w:val="22"/>
        </w:rPr>
        <w:t>ing</w:t>
      </w:r>
      <w:r w:rsidRPr="00537D33">
        <w:rPr>
          <w:rFonts w:ascii="Arial" w:hAnsi="Arial" w:cs="Arial"/>
          <w:sz w:val="22"/>
          <w:szCs w:val="22"/>
        </w:rPr>
        <w:t xml:space="preserve"> in these skills makes a</w:t>
      </w:r>
      <w:r w:rsidRPr="00537D33">
        <w:rPr>
          <w:rFonts w:ascii="Arial" w:hAnsi="Arial" w:cs="Arial"/>
          <w:sz w:val="22"/>
          <w:szCs w:val="22"/>
        </w:rPr>
        <w:t xml:space="preserve"> lasting difference to the outcomes and experiences of the children and families </w:t>
      </w:r>
      <w:r w:rsidR="00272112" w:rsidRPr="00537D33">
        <w:rPr>
          <w:rFonts w:ascii="Arial" w:hAnsi="Arial" w:cs="Arial"/>
          <w:sz w:val="22"/>
          <w:szCs w:val="22"/>
        </w:rPr>
        <w:t>H</w:t>
      </w:r>
      <w:r w:rsidRPr="00537D33">
        <w:rPr>
          <w:rFonts w:ascii="Arial" w:hAnsi="Arial" w:cs="Arial"/>
          <w:sz w:val="22"/>
          <w:szCs w:val="22"/>
        </w:rPr>
        <w:t xml:space="preserve">ealth </w:t>
      </w:r>
      <w:r w:rsidR="00343E2E" w:rsidRPr="00537D33">
        <w:rPr>
          <w:rFonts w:ascii="Arial" w:hAnsi="Arial" w:cs="Arial"/>
          <w:sz w:val="22"/>
          <w:szCs w:val="22"/>
        </w:rPr>
        <w:t>V</w:t>
      </w:r>
      <w:r w:rsidR="00BB4230" w:rsidRPr="00537D33">
        <w:rPr>
          <w:rFonts w:ascii="Arial" w:hAnsi="Arial" w:cs="Arial"/>
          <w:sz w:val="22"/>
          <w:szCs w:val="22"/>
        </w:rPr>
        <w:t>isitor</w:t>
      </w:r>
      <w:r w:rsidR="00272112" w:rsidRPr="00537D33">
        <w:rPr>
          <w:rFonts w:ascii="Arial" w:hAnsi="Arial" w:cs="Arial"/>
          <w:sz w:val="22"/>
          <w:szCs w:val="22"/>
        </w:rPr>
        <w:t xml:space="preserve">s </w:t>
      </w:r>
      <w:r w:rsidRPr="00537D33">
        <w:rPr>
          <w:rFonts w:ascii="Arial" w:hAnsi="Arial" w:cs="Arial"/>
          <w:sz w:val="22"/>
          <w:szCs w:val="22"/>
        </w:rPr>
        <w:t>support.</w:t>
      </w:r>
    </w:p>
    <w:p w14:paraId="3A0654AF" w14:textId="77777777" w:rsidR="001A25AB" w:rsidRDefault="003E43C3">
      <w:r>
        <w:br w:type="page"/>
      </w:r>
    </w:p>
    <w:p w14:paraId="1FEB9F5C" w14:textId="77777777" w:rsidR="001A25AB" w:rsidRDefault="003E43C3">
      <w:pPr>
        <w:pStyle w:val="Heading1"/>
        <w:spacing w:after="240"/>
      </w:pPr>
      <w:bookmarkStart w:id="11" w:name="_Toc237193098"/>
      <w:bookmarkStart w:id="12" w:name="_Toc237217721"/>
      <w:r>
        <w:rPr>
          <w:b/>
          <w:bCs/>
          <w:color w:val="1F3864"/>
          <w:sz w:val="30"/>
          <w:szCs w:val="30"/>
        </w:rPr>
        <w:lastRenderedPageBreak/>
        <w:t>Reference List</w:t>
      </w:r>
      <w:bookmarkEnd w:id="11"/>
      <w:bookmarkEnd w:id="12"/>
    </w:p>
    <w:p w14:paraId="2D4D4179" w14:textId="341A26E5" w:rsidR="001A25AB" w:rsidRPr="00484716" w:rsidRDefault="003E43C3" w:rsidP="00484716">
      <w:pPr>
        <w:spacing w:after="200" w:line="264" w:lineRule="auto"/>
        <w:ind w:left="720" w:hanging="720"/>
        <w:rPr>
          <w:sz w:val="23"/>
          <w:szCs w:val="23"/>
        </w:rPr>
      </w:pPr>
      <w:r>
        <w:rPr>
          <w:sz w:val="23"/>
          <w:szCs w:val="23"/>
        </w:rPr>
        <w:t xml:space="preserve">Cowley, S., Whittaker, K., Malone, M., Donetto, S., Grigulis, A. and Maben, J. (2015) 'Why health visiting? Examining the potential public health benefits from health visiting practice within a universal service: A narrative review of the literature', </w:t>
      </w:r>
      <w:r>
        <w:rPr>
          <w:i/>
          <w:iCs/>
          <w:sz w:val="23"/>
          <w:szCs w:val="23"/>
        </w:rPr>
        <w:t>International Journal of Nursing Studies</w:t>
      </w:r>
      <w:r>
        <w:rPr>
          <w:sz w:val="23"/>
          <w:szCs w:val="23"/>
        </w:rPr>
        <w:t xml:space="preserve">, 52(1), pp. 465–480. Available at: </w:t>
      </w:r>
      <w:hyperlink r:id="rId9" w:history="1">
        <w:r w:rsidR="00FF4F9E" w:rsidRPr="00017FF7">
          <w:rPr>
            <w:rStyle w:val="Hyperlink"/>
            <w:sz w:val="23"/>
            <w:szCs w:val="23"/>
          </w:rPr>
          <w:t>https://doi.org/10.1016/j.ijnurstu.2014.07.013</w:t>
        </w:r>
      </w:hyperlink>
      <w:r w:rsidR="00484716">
        <w:rPr>
          <w:sz w:val="23"/>
          <w:szCs w:val="23"/>
        </w:rPr>
        <w:t xml:space="preserve"> </w:t>
      </w:r>
      <w:r>
        <w:rPr>
          <w:sz w:val="23"/>
          <w:szCs w:val="23"/>
        </w:rPr>
        <w:t xml:space="preserve"> (Accessed: 6 August 2026).</w:t>
      </w:r>
    </w:p>
    <w:p w14:paraId="07D58984" w14:textId="07824C39" w:rsidR="001A25AB" w:rsidRDefault="003E43C3">
      <w:pPr>
        <w:spacing w:after="200" w:line="264" w:lineRule="auto"/>
        <w:ind w:left="720" w:hanging="720"/>
      </w:pPr>
      <w:r>
        <w:rPr>
          <w:sz w:val="23"/>
          <w:szCs w:val="23"/>
        </w:rPr>
        <w:t xml:space="preserve">Cowling, I. and Garstang, J. (2023) 'Key messages from reviews of serious child protection cases 2017–2021', </w:t>
      </w:r>
      <w:r>
        <w:rPr>
          <w:i/>
          <w:iCs/>
          <w:sz w:val="23"/>
          <w:szCs w:val="23"/>
        </w:rPr>
        <w:t>Paediatrics and Child Health</w:t>
      </w:r>
      <w:r>
        <w:rPr>
          <w:sz w:val="23"/>
          <w:szCs w:val="23"/>
        </w:rPr>
        <w:t xml:space="preserve">, 33(12), pp. 406–411. Available at: </w:t>
      </w:r>
      <w:hyperlink r:id="rId10" w:history="1">
        <w:r w:rsidR="00484716" w:rsidRPr="00017FF7">
          <w:rPr>
            <w:rStyle w:val="Hyperlink"/>
            <w:sz w:val="23"/>
            <w:szCs w:val="23"/>
          </w:rPr>
          <w:t>https://doi.org/10.1016/j.paed.2023.09.005</w:t>
        </w:r>
      </w:hyperlink>
      <w:r w:rsidR="00484716">
        <w:rPr>
          <w:sz w:val="23"/>
          <w:szCs w:val="23"/>
        </w:rPr>
        <w:t xml:space="preserve">  </w:t>
      </w:r>
      <w:r>
        <w:rPr>
          <w:sz w:val="23"/>
          <w:szCs w:val="23"/>
        </w:rPr>
        <w:t>(Accessed: 6 August 2026).</w:t>
      </w:r>
    </w:p>
    <w:p w14:paraId="2609362A" w14:textId="77777777" w:rsidR="001A25AB" w:rsidRDefault="003E43C3">
      <w:pPr>
        <w:spacing w:after="200" w:line="264" w:lineRule="auto"/>
        <w:ind w:left="720" w:hanging="720"/>
      </w:pPr>
      <w:r>
        <w:rPr>
          <w:sz w:val="23"/>
          <w:szCs w:val="23"/>
        </w:rPr>
        <w:t xml:space="preserve">Kearney, R. (2023) 'Supporting staff wellbeing with a focus on health visitors', </w:t>
      </w:r>
      <w:r>
        <w:rPr>
          <w:i/>
          <w:iCs/>
          <w:sz w:val="23"/>
          <w:szCs w:val="23"/>
        </w:rPr>
        <w:t>Nursing Times</w:t>
      </w:r>
      <w:r>
        <w:rPr>
          <w:sz w:val="23"/>
          <w:szCs w:val="23"/>
        </w:rPr>
        <w:t>, 119(2), p. 22.</w:t>
      </w:r>
    </w:p>
    <w:p w14:paraId="4A6FBF5A" w14:textId="011A92A0" w:rsidR="001A25AB" w:rsidRDefault="003E43C3">
      <w:pPr>
        <w:spacing w:after="200" w:line="264" w:lineRule="auto"/>
        <w:ind w:left="720" w:hanging="720"/>
      </w:pPr>
      <w:r>
        <w:rPr>
          <w:sz w:val="23"/>
          <w:szCs w:val="23"/>
        </w:rPr>
        <w:t xml:space="preserve">Miller, W.R. (2023) 'The evolution of motivational interviewing', </w:t>
      </w:r>
      <w:r>
        <w:rPr>
          <w:i/>
          <w:iCs/>
          <w:sz w:val="23"/>
          <w:szCs w:val="23"/>
        </w:rPr>
        <w:t>Behavioural and Cognitive Psychotherapy</w:t>
      </w:r>
      <w:r>
        <w:rPr>
          <w:sz w:val="23"/>
          <w:szCs w:val="23"/>
        </w:rPr>
        <w:t xml:space="preserve">, 51(6), pp. 616–632. Available at: </w:t>
      </w:r>
      <w:hyperlink r:id="rId11" w:history="1">
        <w:r w:rsidR="00484716" w:rsidRPr="00017FF7">
          <w:rPr>
            <w:rStyle w:val="Hyperlink"/>
            <w:sz w:val="23"/>
            <w:szCs w:val="23"/>
          </w:rPr>
          <w:t>https://doi.org/10.1017/S1352465822000431</w:t>
        </w:r>
      </w:hyperlink>
      <w:r w:rsidR="00484716">
        <w:rPr>
          <w:sz w:val="23"/>
          <w:szCs w:val="23"/>
        </w:rPr>
        <w:t xml:space="preserve"> </w:t>
      </w:r>
      <w:r>
        <w:rPr>
          <w:sz w:val="23"/>
          <w:szCs w:val="23"/>
        </w:rPr>
        <w:t xml:space="preserve"> (Accessed: 6 August 2026).</w:t>
      </w:r>
    </w:p>
    <w:p w14:paraId="3C0CAE39" w14:textId="7403D0DB" w:rsidR="001A25AB" w:rsidRDefault="003E43C3">
      <w:pPr>
        <w:spacing w:after="200" w:line="264" w:lineRule="auto"/>
        <w:ind w:left="720" w:hanging="720"/>
      </w:pPr>
      <w:r>
        <w:rPr>
          <w:sz w:val="23"/>
          <w:szCs w:val="23"/>
        </w:rPr>
        <w:t xml:space="preserve">Rahman, T., Freer, J., Cordani, I., Papasavva, M., Dunkel, L., Walton, R., Storr, H.L., Prendergast, A.J. and Orr, J. (2024) 'Parental and healthcare provider attitudes towards the Healthy Child Programme in England: a qualitative analysis', </w:t>
      </w:r>
      <w:r>
        <w:rPr>
          <w:i/>
          <w:iCs/>
          <w:sz w:val="23"/>
          <w:szCs w:val="23"/>
        </w:rPr>
        <w:t>BMC Public Health</w:t>
      </w:r>
      <w:r>
        <w:rPr>
          <w:sz w:val="23"/>
          <w:szCs w:val="23"/>
        </w:rPr>
        <w:t xml:space="preserve">, 24, article 2342. Available at: </w:t>
      </w:r>
      <w:hyperlink r:id="rId12" w:history="1">
        <w:r w:rsidR="00484716" w:rsidRPr="00017FF7">
          <w:rPr>
            <w:rStyle w:val="Hyperlink"/>
            <w:sz w:val="23"/>
            <w:szCs w:val="23"/>
          </w:rPr>
          <w:t>https://doi.org/10.1186/s12889-024-19515-5</w:t>
        </w:r>
      </w:hyperlink>
      <w:r w:rsidR="00484716">
        <w:rPr>
          <w:sz w:val="23"/>
          <w:szCs w:val="23"/>
        </w:rPr>
        <w:t xml:space="preserve"> </w:t>
      </w:r>
      <w:r>
        <w:rPr>
          <w:sz w:val="23"/>
          <w:szCs w:val="23"/>
        </w:rPr>
        <w:t xml:space="preserve"> (Accessed: 6 August 2026).</w:t>
      </w:r>
    </w:p>
    <w:p w14:paraId="4D8481F8" w14:textId="77777777" w:rsidR="001A25AB" w:rsidRDefault="003E43C3">
      <w:pPr>
        <w:spacing w:after="200" w:line="264" w:lineRule="auto"/>
        <w:ind w:left="720" w:hanging="720"/>
      </w:pPr>
      <w:r>
        <w:rPr>
          <w:sz w:val="23"/>
          <w:szCs w:val="23"/>
        </w:rPr>
        <w:t xml:space="preserve">Schutz, S. (2007) 'Reflection and reflective practice', </w:t>
      </w:r>
      <w:r>
        <w:rPr>
          <w:i/>
          <w:iCs/>
          <w:sz w:val="23"/>
          <w:szCs w:val="23"/>
        </w:rPr>
        <w:t>Community Practitioner</w:t>
      </w:r>
      <w:r>
        <w:rPr>
          <w:sz w:val="23"/>
          <w:szCs w:val="23"/>
        </w:rPr>
        <w:t>, 80(9), pp. 26–29.</w:t>
      </w:r>
    </w:p>
    <w:sectPr w:rsidR="001A25AB">
      <w:headerReference w:type="default" r:id="rId13"/>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D5A0F" w14:textId="77777777" w:rsidR="003E43C3" w:rsidRDefault="003E43C3">
      <w:r>
        <w:separator/>
      </w:r>
    </w:p>
  </w:endnote>
  <w:endnote w:type="continuationSeparator" w:id="0">
    <w:p w14:paraId="5399EBD6" w14:textId="77777777" w:rsidR="003E43C3" w:rsidRDefault="003E43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5169217"/>
      <w:docPartObj>
        <w:docPartGallery w:val="Page Numbers (Bottom of Page)"/>
        <w:docPartUnique/>
      </w:docPartObj>
    </w:sdtPr>
    <w:sdtContent>
      <w:p w14:paraId="6B271395" w14:textId="104533FA" w:rsidR="00F35E15" w:rsidRDefault="00F35E15">
        <w:pPr>
          <w:pStyle w:val="Footer"/>
          <w:jc w:val="center"/>
        </w:pPr>
        <w:r>
          <w:fldChar w:fldCharType="begin"/>
        </w:r>
        <w:r>
          <w:instrText>PAGE   \* MERGEFORMAT</w:instrText>
        </w:r>
        <w:r>
          <w:fldChar w:fldCharType="separate"/>
        </w:r>
        <w:r>
          <w:t>2</w:t>
        </w:r>
        <w:r>
          <w:fldChar w:fldCharType="end"/>
        </w:r>
      </w:p>
    </w:sdtContent>
  </w:sdt>
  <w:p w14:paraId="70D28492" w14:textId="77777777" w:rsidR="0003305D" w:rsidRDefault="000330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6CA0" w14:textId="77777777" w:rsidR="001A25AB" w:rsidRDefault="003E43C3">
    <w:pPr>
      <w:jc w:val="center"/>
    </w:pPr>
    <w:r>
      <w:rPr>
        <w:sz w:val="18"/>
        <w:szCs w:val="18"/>
      </w:rPr>
      <w:fldChar w:fldCharType="begin"/>
    </w:r>
    <w:r>
      <w:rPr>
        <w:sz w:val="18"/>
        <w:szCs w:val="18"/>
      </w:rPr>
      <w:instrText>PAGE</w:instrText>
    </w:r>
    <w:r>
      <w:rPr>
        <w:sz w:val="18"/>
        <w:szCs w:val="18"/>
      </w:rPr>
      <w:fldChar w:fldCharType="separate"/>
    </w:r>
    <w:r w:rsidR="00462B73">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60241" w14:textId="77777777" w:rsidR="003E43C3" w:rsidRDefault="003E43C3">
      <w:r>
        <w:separator/>
      </w:r>
    </w:p>
  </w:footnote>
  <w:footnote w:type="continuationSeparator" w:id="0">
    <w:p w14:paraId="280931F1" w14:textId="77777777" w:rsidR="003E43C3" w:rsidRDefault="003E43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29ED3E" w14:textId="62E787B4" w:rsidR="0003305D" w:rsidRDefault="0003305D">
    <w:pPr>
      <w:pStyle w:val="Header"/>
    </w:pPr>
    <w:r>
      <w:rPr>
        <w:noProof/>
      </w:rPr>
      <w:drawing>
        <wp:inline distT="0" distB="0" distL="0" distR="0" wp14:anchorId="674DDFF3" wp14:editId="31956C22">
          <wp:extent cx="1822450" cy="717550"/>
          <wp:effectExtent l="0" t="0" r="6350" b="6350"/>
          <wp:docPr id="808742917"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808742917" name="Picture 808742917"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22450" cy="717550"/>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C00C88" w14:textId="77777777" w:rsidR="001A25AB" w:rsidRDefault="003E43C3">
    <w:pPr>
      <w:jc w:val="right"/>
    </w:pPr>
    <w:r>
      <w:rPr>
        <w:color w:val="808080"/>
        <w:sz w:val="18"/>
        <w:szCs w:val="18"/>
      </w:rPr>
      <w:t>The Role of the Health Visitor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BC4604"/>
    <w:multiLevelType w:val="hybridMultilevel"/>
    <w:tmpl w:val="C742DB2A"/>
    <w:lvl w:ilvl="0" w:tplc="893AE3C2">
      <w:start w:val="1"/>
      <w:numFmt w:val="bullet"/>
      <w:lvlText w:val="●"/>
      <w:lvlJc w:val="left"/>
      <w:pPr>
        <w:ind w:left="720" w:hanging="360"/>
      </w:pPr>
    </w:lvl>
    <w:lvl w:ilvl="1" w:tplc="2834C68E">
      <w:start w:val="1"/>
      <w:numFmt w:val="bullet"/>
      <w:lvlText w:val="○"/>
      <w:lvlJc w:val="left"/>
      <w:pPr>
        <w:ind w:left="1440" w:hanging="360"/>
      </w:pPr>
    </w:lvl>
    <w:lvl w:ilvl="2" w:tplc="D146EC0C">
      <w:start w:val="1"/>
      <w:numFmt w:val="bullet"/>
      <w:lvlText w:val="■"/>
      <w:lvlJc w:val="left"/>
      <w:pPr>
        <w:ind w:left="2160" w:hanging="360"/>
      </w:pPr>
    </w:lvl>
    <w:lvl w:ilvl="3" w:tplc="51E66D28">
      <w:start w:val="1"/>
      <w:numFmt w:val="bullet"/>
      <w:lvlText w:val="●"/>
      <w:lvlJc w:val="left"/>
      <w:pPr>
        <w:ind w:left="2880" w:hanging="360"/>
      </w:pPr>
    </w:lvl>
    <w:lvl w:ilvl="4" w:tplc="FF5C3AB2">
      <w:start w:val="1"/>
      <w:numFmt w:val="bullet"/>
      <w:lvlText w:val="○"/>
      <w:lvlJc w:val="left"/>
      <w:pPr>
        <w:ind w:left="3600" w:hanging="360"/>
      </w:pPr>
    </w:lvl>
    <w:lvl w:ilvl="5" w:tplc="36501A30">
      <w:start w:val="1"/>
      <w:numFmt w:val="bullet"/>
      <w:lvlText w:val="■"/>
      <w:lvlJc w:val="left"/>
      <w:pPr>
        <w:ind w:left="4320" w:hanging="360"/>
      </w:pPr>
    </w:lvl>
    <w:lvl w:ilvl="6" w:tplc="E2B26870">
      <w:start w:val="1"/>
      <w:numFmt w:val="bullet"/>
      <w:lvlText w:val="●"/>
      <w:lvlJc w:val="left"/>
      <w:pPr>
        <w:ind w:left="5040" w:hanging="360"/>
      </w:pPr>
    </w:lvl>
    <w:lvl w:ilvl="7" w:tplc="2C60AAE4">
      <w:start w:val="1"/>
      <w:numFmt w:val="bullet"/>
      <w:lvlText w:val="●"/>
      <w:lvlJc w:val="left"/>
      <w:pPr>
        <w:ind w:left="5760" w:hanging="360"/>
      </w:pPr>
    </w:lvl>
    <w:lvl w:ilvl="8" w:tplc="9636038A">
      <w:start w:val="1"/>
      <w:numFmt w:val="bullet"/>
      <w:lvlText w:val="●"/>
      <w:lvlJc w:val="left"/>
      <w:pPr>
        <w:ind w:left="6480" w:hanging="360"/>
      </w:pPr>
    </w:lvl>
  </w:abstractNum>
  <w:num w:numId="1" w16cid:durableId="207103102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5AB"/>
    <w:rsid w:val="0003305D"/>
    <w:rsid w:val="00035CD9"/>
    <w:rsid w:val="0004173A"/>
    <w:rsid w:val="00127536"/>
    <w:rsid w:val="001440DF"/>
    <w:rsid w:val="00151B73"/>
    <w:rsid w:val="00154A2D"/>
    <w:rsid w:val="00155037"/>
    <w:rsid w:val="001A25AB"/>
    <w:rsid w:val="00205874"/>
    <w:rsid w:val="00212DFA"/>
    <w:rsid w:val="00271DA4"/>
    <w:rsid w:val="00272112"/>
    <w:rsid w:val="00274A1B"/>
    <w:rsid w:val="002C70B4"/>
    <w:rsid w:val="002E6FB3"/>
    <w:rsid w:val="002F1CA5"/>
    <w:rsid w:val="00321EB7"/>
    <w:rsid w:val="003374B9"/>
    <w:rsid w:val="00343E2E"/>
    <w:rsid w:val="003B316E"/>
    <w:rsid w:val="003C45B3"/>
    <w:rsid w:val="003C474A"/>
    <w:rsid w:val="003C5538"/>
    <w:rsid w:val="003D4513"/>
    <w:rsid w:val="003E43C3"/>
    <w:rsid w:val="003E6BE4"/>
    <w:rsid w:val="00462B73"/>
    <w:rsid w:val="00484716"/>
    <w:rsid w:val="004A5E14"/>
    <w:rsid w:val="004D4BA9"/>
    <w:rsid w:val="00500520"/>
    <w:rsid w:val="00510423"/>
    <w:rsid w:val="00514101"/>
    <w:rsid w:val="00537D33"/>
    <w:rsid w:val="00537ECB"/>
    <w:rsid w:val="00543360"/>
    <w:rsid w:val="005648BF"/>
    <w:rsid w:val="0057124B"/>
    <w:rsid w:val="00574715"/>
    <w:rsid w:val="00593B4A"/>
    <w:rsid w:val="005B676C"/>
    <w:rsid w:val="005C7674"/>
    <w:rsid w:val="0064147E"/>
    <w:rsid w:val="006B62F6"/>
    <w:rsid w:val="006C2B8D"/>
    <w:rsid w:val="006C7C47"/>
    <w:rsid w:val="00730DFE"/>
    <w:rsid w:val="007841B9"/>
    <w:rsid w:val="007C54E9"/>
    <w:rsid w:val="007F0232"/>
    <w:rsid w:val="0085029E"/>
    <w:rsid w:val="00866B1E"/>
    <w:rsid w:val="0087643B"/>
    <w:rsid w:val="00890430"/>
    <w:rsid w:val="008964CB"/>
    <w:rsid w:val="008A2F00"/>
    <w:rsid w:val="008A56D9"/>
    <w:rsid w:val="0091152D"/>
    <w:rsid w:val="00950F11"/>
    <w:rsid w:val="00966449"/>
    <w:rsid w:val="009828C4"/>
    <w:rsid w:val="009F5042"/>
    <w:rsid w:val="009F78B7"/>
    <w:rsid w:val="00A17B7F"/>
    <w:rsid w:val="00A207DF"/>
    <w:rsid w:val="00A45EC8"/>
    <w:rsid w:val="00A674C1"/>
    <w:rsid w:val="00A84285"/>
    <w:rsid w:val="00A94BF0"/>
    <w:rsid w:val="00AA529F"/>
    <w:rsid w:val="00AD7452"/>
    <w:rsid w:val="00B274E7"/>
    <w:rsid w:val="00B534BF"/>
    <w:rsid w:val="00B97B44"/>
    <w:rsid w:val="00BB0697"/>
    <w:rsid w:val="00BB4230"/>
    <w:rsid w:val="00BF6E1B"/>
    <w:rsid w:val="00C068D7"/>
    <w:rsid w:val="00C212A6"/>
    <w:rsid w:val="00C26E92"/>
    <w:rsid w:val="00C361F4"/>
    <w:rsid w:val="00C4136A"/>
    <w:rsid w:val="00CE1C82"/>
    <w:rsid w:val="00CF2F26"/>
    <w:rsid w:val="00DB280A"/>
    <w:rsid w:val="00DE5322"/>
    <w:rsid w:val="00DE5AA6"/>
    <w:rsid w:val="00DE60BB"/>
    <w:rsid w:val="00E500EF"/>
    <w:rsid w:val="00EA1647"/>
    <w:rsid w:val="00EF2380"/>
    <w:rsid w:val="00F351AB"/>
    <w:rsid w:val="00F35E15"/>
    <w:rsid w:val="00F53C77"/>
    <w:rsid w:val="00F87F9E"/>
    <w:rsid w:val="00F968D9"/>
    <w:rsid w:val="00FA25F2"/>
    <w:rsid w:val="00FB25F9"/>
    <w:rsid w:val="00FE3FE4"/>
    <w:rsid w:val="00FF4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FAB5A"/>
  <w15:docId w15:val="{06F161CB-5AAD-4A63-B4C6-06147B177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462B73"/>
    <w:pPr>
      <w:spacing w:after="100"/>
    </w:pPr>
  </w:style>
  <w:style w:type="paragraph" w:styleId="Header">
    <w:name w:val="header"/>
    <w:basedOn w:val="Normal"/>
    <w:link w:val="HeaderChar"/>
    <w:uiPriority w:val="99"/>
    <w:unhideWhenUsed/>
    <w:rsid w:val="003C5538"/>
    <w:pPr>
      <w:tabs>
        <w:tab w:val="center" w:pos="4513"/>
        <w:tab w:val="right" w:pos="9026"/>
      </w:tabs>
    </w:pPr>
  </w:style>
  <w:style w:type="character" w:customStyle="1" w:styleId="HeaderChar">
    <w:name w:val="Header Char"/>
    <w:basedOn w:val="DefaultParagraphFont"/>
    <w:link w:val="Header"/>
    <w:uiPriority w:val="99"/>
    <w:rsid w:val="003C5538"/>
  </w:style>
  <w:style w:type="paragraph" w:styleId="Footer">
    <w:name w:val="footer"/>
    <w:basedOn w:val="Normal"/>
    <w:link w:val="FooterChar"/>
    <w:uiPriority w:val="99"/>
    <w:unhideWhenUsed/>
    <w:rsid w:val="003C5538"/>
    <w:pPr>
      <w:tabs>
        <w:tab w:val="center" w:pos="4513"/>
        <w:tab w:val="right" w:pos="9026"/>
      </w:tabs>
    </w:pPr>
  </w:style>
  <w:style w:type="character" w:customStyle="1" w:styleId="FooterChar">
    <w:name w:val="Footer Char"/>
    <w:basedOn w:val="DefaultParagraphFont"/>
    <w:link w:val="Footer"/>
    <w:uiPriority w:val="99"/>
    <w:rsid w:val="003C5538"/>
  </w:style>
  <w:style w:type="character" w:styleId="UnresolvedMention">
    <w:name w:val="Unresolved Mention"/>
    <w:basedOn w:val="DefaultParagraphFont"/>
    <w:uiPriority w:val="99"/>
    <w:semiHidden/>
    <w:unhideWhenUsed/>
    <w:rsid w:val="00FF4F9E"/>
    <w:rPr>
      <w:color w:val="605E5C"/>
      <w:shd w:val="clear" w:color="auto" w:fill="E1DFDD"/>
    </w:rPr>
  </w:style>
  <w:style w:type="paragraph" w:styleId="TOCHeading">
    <w:name w:val="TOC Heading"/>
    <w:basedOn w:val="Heading1"/>
    <w:next w:val="Normal"/>
    <w:uiPriority w:val="39"/>
    <w:unhideWhenUsed/>
    <w:qFormat/>
    <w:rsid w:val="008A2F00"/>
    <w:pPr>
      <w:keepNext/>
      <w:keepLines/>
      <w:spacing w:before="240" w:line="259" w:lineRule="auto"/>
      <w:outlineLvl w:val="9"/>
    </w:pPr>
    <w:rPr>
      <w:rFonts w:asciiTheme="majorHAnsi" w:eastAsiaTheme="majorEastAsia" w:hAnsiTheme="majorHAnsi" w:cstheme="majorBidi"/>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doi.org/10.1186/s12889-024-19515-5"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7/S135246582200043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16/j.paed.2023.09.005" TargetMode="External"/><Relationship Id="rId4" Type="http://schemas.openxmlformats.org/officeDocument/2006/relationships/webSettings" Target="webSettings.xml"/><Relationship Id="rId9" Type="http://schemas.openxmlformats.org/officeDocument/2006/relationships/hyperlink" Target="https://doi.org/10.1016/j.ijnurstu.2014.07.013" TargetMode="Externa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121</TotalTime>
  <Pages>7</Pages>
  <Words>1717</Words>
  <Characters>9788</Characters>
  <Application>Microsoft Office Word</Application>
  <DocSecurity>0</DocSecurity>
  <Lines>81</Lines>
  <Paragraphs>22</Paragraphs>
  <ScaleCrop>false</ScaleCrop>
  <Company/>
  <LinksUpToDate>false</LinksUpToDate>
  <CharactersWithSpaces>11483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Chantal Montille</cp:lastModifiedBy>
  <cp:revision>100</cp:revision>
  <dcterms:created xsi:type="dcterms:W3CDTF">2026-08-09T22:29:00Z</dcterms:created>
  <dcterms:modified xsi:type="dcterms:W3CDTF">2026-08-10T00:33:00Z</dcterms:modified>
</cp:coreProperties>
</file>