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2FBD5" w14:textId="77777777" w:rsidR="00AA4F52" w:rsidRPr="009E7E9F" w:rsidRDefault="00AA4F52" w:rsidP="005835BE">
      <w:pPr>
        <w:pStyle w:val="Title"/>
        <w:spacing w:line="360" w:lineRule="auto"/>
        <w:jc w:val="center"/>
        <w:rPr>
          <w:rFonts w:asciiTheme="minorHAnsi" w:hAnsiTheme="minorHAnsi" w:cstheme="minorHAnsi"/>
          <w:b/>
          <w:sz w:val="32"/>
          <w:szCs w:val="32"/>
        </w:rPr>
      </w:pPr>
    </w:p>
    <w:p w14:paraId="20F5BE05" w14:textId="36053095" w:rsidR="00284DAC" w:rsidRPr="009E7E9F" w:rsidRDefault="00284DAC" w:rsidP="005835BE">
      <w:pPr>
        <w:pStyle w:val="Title"/>
        <w:spacing w:line="360" w:lineRule="auto"/>
        <w:jc w:val="center"/>
        <w:rPr>
          <w:rFonts w:asciiTheme="minorHAnsi" w:hAnsiTheme="minorHAnsi" w:cstheme="minorHAnsi"/>
          <w:b/>
          <w:sz w:val="32"/>
          <w:szCs w:val="32"/>
        </w:rPr>
      </w:pPr>
      <w:r w:rsidRPr="00284DAC">
        <w:rPr>
          <w:rFonts w:asciiTheme="minorHAnsi" w:hAnsiTheme="minorHAnsi" w:cstheme="minorHAnsi"/>
          <w:b/>
          <w:sz w:val="32"/>
          <w:szCs w:val="32"/>
        </w:rPr>
        <w:t>Winfred Nakanjako Diane</w:t>
      </w:r>
    </w:p>
    <w:p w14:paraId="7121D920" w14:textId="77777777" w:rsidR="00B52743" w:rsidRPr="00284DAC" w:rsidRDefault="00B52743" w:rsidP="005835BE">
      <w:pPr>
        <w:spacing w:line="360" w:lineRule="auto"/>
        <w:rPr>
          <w:rFonts w:cstheme="minorHAnsi"/>
          <w:sz w:val="32"/>
          <w:szCs w:val="32"/>
        </w:rPr>
      </w:pPr>
    </w:p>
    <w:p w14:paraId="34C58904" w14:textId="6041EF16" w:rsidR="00AA4F52" w:rsidRPr="009E7E9F" w:rsidRDefault="00284DAC" w:rsidP="005835BE">
      <w:pPr>
        <w:pStyle w:val="Title"/>
        <w:spacing w:line="360" w:lineRule="auto"/>
        <w:jc w:val="center"/>
        <w:rPr>
          <w:rFonts w:asciiTheme="minorHAnsi" w:hAnsiTheme="minorHAnsi" w:cstheme="minorHAnsi"/>
          <w:b/>
          <w:sz w:val="32"/>
          <w:szCs w:val="32"/>
        </w:rPr>
      </w:pPr>
      <w:r w:rsidRPr="00284DAC">
        <w:rPr>
          <w:rFonts w:asciiTheme="minorHAnsi" w:hAnsiTheme="minorHAnsi" w:cstheme="minorHAnsi"/>
          <w:b/>
          <w:sz w:val="32"/>
          <w:szCs w:val="32"/>
        </w:rPr>
        <w:t>1905864</w:t>
      </w:r>
    </w:p>
    <w:p w14:paraId="4C31BAE7" w14:textId="77777777" w:rsidR="00B52743" w:rsidRPr="009E7E9F" w:rsidRDefault="00B52743" w:rsidP="005835BE">
      <w:pPr>
        <w:spacing w:line="360" w:lineRule="auto"/>
        <w:rPr>
          <w:rFonts w:cstheme="minorHAnsi"/>
          <w:sz w:val="32"/>
          <w:szCs w:val="32"/>
        </w:rPr>
      </w:pPr>
    </w:p>
    <w:p w14:paraId="19262EC7" w14:textId="77777777" w:rsidR="3C42F9B3" w:rsidRPr="009E7E9F" w:rsidRDefault="3C42F9B3" w:rsidP="005835BE">
      <w:pPr>
        <w:pStyle w:val="Title"/>
        <w:spacing w:line="360" w:lineRule="auto"/>
        <w:jc w:val="center"/>
        <w:rPr>
          <w:rFonts w:asciiTheme="minorHAnsi" w:hAnsiTheme="minorHAnsi" w:cstheme="minorHAnsi"/>
          <w:b/>
          <w:sz w:val="32"/>
          <w:szCs w:val="32"/>
        </w:rPr>
      </w:pPr>
      <w:r w:rsidRPr="009E7E9F">
        <w:rPr>
          <w:rFonts w:asciiTheme="minorHAnsi" w:hAnsiTheme="minorHAnsi" w:cstheme="minorHAnsi"/>
          <w:b/>
          <w:sz w:val="32"/>
          <w:szCs w:val="32"/>
        </w:rPr>
        <w:t>COMMUNITY CARE AND DEVELOPMENT</w:t>
      </w:r>
    </w:p>
    <w:p w14:paraId="201403A3" w14:textId="77777777" w:rsidR="00B52743" w:rsidRPr="009E7E9F" w:rsidRDefault="00B52743" w:rsidP="005835BE">
      <w:pPr>
        <w:spacing w:line="360" w:lineRule="auto"/>
        <w:rPr>
          <w:rFonts w:cstheme="minorHAnsi"/>
          <w:sz w:val="32"/>
          <w:szCs w:val="32"/>
        </w:rPr>
      </w:pPr>
    </w:p>
    <w:p w14:paraId="68DD5757" w14:textId="77777777" w:rsidR="000B364E" w:rsidRPr="009E7E9F" w:rsidRDefault="000B364E" w:rsidP="005835BE">
      <w:pPr>
        <w:spacing w:line="360" w:lineRule="auto"/>
        <w:jc w:val="center"/>
        <w:rPr>
          <w:rFonts w:cstheme="minorHAnsi"/>
          <w:b/>
          <w:sz w:val="32"/>
          <w:szCs w:val="32"/>
        </w:rPr>
      </w:pPr>
      <w:r w:rsidRPr="009E7E9F">
        <w:rPr>
          <w:rFonts w:cstheme="minorHAnsi"/>
          <w:b/>
          <w:sz w:val="32"/>
          <w:szCs w:val="32"/>
        </w:rPr>
        <w:t>BMHP6022</w:t>
      </w:r>
    </w:p>
    <w:p w14:paraId="542D6324" w14:textId="77777777" w:rsidR="00B52743" w:rsidRPr="009E7E9F" w:rsidRDefault="00B52743" w:rsidP="005835BE">
      <w:pPr>
        <w:spacing w:line="360" w:lineRule="auto"/>
        <w:jc w:val="center"/>
        <w:rPr>
          <w:rFonts w:cstheme="minorHAnsi"/>
          <w:b/>
          <w:sz w:val="32"/>
          <w:szCs w:val="32"/>
        </w:rPr>
      </w:pPr>
    </w:p>
    <w:p w14:paraId="7C876B27" w14:textId="0E6B0A50" w:rsidR="00985B60" w:rsidRPr="009E7E9F" w:rsidRDefault="009E41C0" w:rsidP="005835BE">
      <w:pPr>
        <w:spacing w:line="360" w:lineRule="auto"/>
        <w:jc w:val="center"/>
        <w:rPr>
          <w:rFonts w:cstheme="minorHAnsi"/>
          <w:b/>
          <w:sz w:val="32"/>
          <w:szCs w:val="32"/>
        </w:rPr>
      </w:pPr>
      <w:r w:rsidRPr="009E7E9F">
        <w:rPr>
          <w:rFonts w:cstheme="minorHAnsi"/>
          <w:b/>
          <w:sz w:val="32"/>
          <w:szCs w:val="32"/>
        </w:rPr>
        <w:t>Chizoba Esio-Bassey</w:t>
      </w:r>
    </w:p>
    <w:p w14:paraId="2DCFCD49" w14:textId="77777777" w:rsidR="00B52743" w:rsidRPr="009E7E9F" w:rsidRDefault="00B52743" w:rsidP="005835BE">
      <w:pPr>
        <w:spacing w:line="360" w:lineRule="auto"/>
        <w:jc w:val="center"/>
        <w:rPr>
          <w:rFonts w:cstheme="minorHAnsi"/>
          <w:b/>
          <w:sz w:val="32"/>
          <w:szCs w:val="32"/>
        </w:rPr>
      </w:pPr>
    </w:p>
    <w:p w14:paraId="0E6C96A6" w14:textId="77777777" w:rsidR="000B364E" w:rsidRPr="009E7E9F" w:rsidRDefault="000B364E" w:rsidP="005835BE">
      <w:pPr>
        <w:spacing w:line="360" w:lineRule="auto"/>
        <w:jc w:val="center"/>
        <w:rPr>
          <w:rFonts w:cstheme="minorHAnsi"/>
          <w:b/>
          <w:sz w:val="32"/>
          <w:szCs w:val="32"/>
        </w:rPr>
      </w:pPr>
      <w:r w:rsidRPr="009E7E9F">
        <w:rPr>
          <w:rFonts w:cstheme="minorHAnsi"/>
          <w:b/>
          <w:sz w:val="32"/>
          <w:szCs w:val="32"/>
        </w:rPr>
        <w:t>Assessment Component 2</w:t>
      </w:r>
    </w:p>
    <w:p w14:paraId="4BFD62FA" w14:textId="77777777" w:rsidR="00B52743" w:rsidRPr="009E7E9F" w:rsidRDefault="00B52743" w:rsidP="005835BE">
      <w:pPr>
        <w:spacing w:line="360" w:lineRule="auto"/>
        <w:jc w:val="center"/>
        <w:rPr>
          <w:rFonts w:cstheme="minorHAnsi"/>
          <w:b/>
          <w:sz w:val="32"/>
          <w:szCs w:val="32"/>
        </w:rPr>
      </w:pPr>
    </w:p>
    <w:p w14:paraId="76DC2350" w14:textId="050355CC" w:rsidR="3C42F9B3" w:rsidRPr="009E7E9F" w:rsidRDefault="3C42F9B3" w:rsidP="005835BE">
      <w:pPr>
        <w:pStyle w:val="Title"/>
        <w:spacing w:line="360" w:lineRule="auto"/>
        <w:jc w:val="center"/>
        <w:rPr>
          <w:rFonts w:asciiTheme="minorHAnsi" w:hAnsiTheme="minorHAnsi" w:cstheme="minorHAnsi"/>
          <w:b/>
          <w:sz w:val="32"/>
          <w:szCs w:val="32"/>
        </w:rPr>
      </w:pPr>
      <w:r w:rsidRPr="009E7E9F">
        <w:rPr>
          <w:rFonts w:asciiTheme="minorHAnsi" w:hAnsiTheme="minorHAnsi" w:cstheme="minorHAnsi"/>
          <w:b/>
          <w:sz w:val="32"/>
          <w:szCs w:val="32"/>
        </w:rPr>
        <w:t>IMMIGRANTS</w:t>
      </w:r>
    </w:p>
    <w:p w14:paraId="76439910" w14:textId="77777777" w:rsidR="000B364E" w:rsidRPr="009E7E9F" w:rsidRDefault="000B364E" w:rsidP="005835BE">
      <w:pPr>
        <w:spacing w:line="360" w:lineRule="auto"/>
        <w:rPr>
          <w:rFonts w:eastAsia="Times New Roman" w:cstheme="minorHAnsi"/>
          <w:sz w:val="36"/>
          <w:szCs w:val="36"/>
        </w:rPr>
      </w:pPr>
      <w:r w:rsidRPr="009E7E9F">
        <w:rPr>
          <w:rFonts w:eastAsia="Times New Roman" w:cstheme="minorHAnsi"/>
          <w:sz w:val="36"/>
          <w:szCs w:val="36"/>
        </w:rPr>
        <w:br w:type="page"/>
      </w:r>
    </w:p>
    <w:p w14:paraId="04A67716" w14:textId="77777777" w:rsidR="004C5891" w:rsidRPr="009E7E9F" w:rsidRDefault="3C42F9B3" w:rsidP="005835BE">
      <w:pPr>
        <w:pStyle w:val="Heading1"/>
        <w:spacing w:line="360" w:lineRule="auto"/>
        <w:rPr>
          <w:rFonts w:asciiTheme="minorHAnsi" w:eastAsia="Times New Roman" w:hAnsiTheme="minorHAnsi" w:cstheme="minorHAnsi"/>
          <w:b/>
          <w:color w:val="auto"/>
          <w:sz w:val="24"/>
          <w:szCs w:val="24"/>
        </w:rPr>
      </w:pPr>
      <w:bookmarkStart w:id="0" w:name="_Toc108016381"/>
      <w:r w:rsidRPr="009E7E9F">
        <w:rPr>
          <w:rFonts w:asciiTheme="minorHAnsi" w:eastAsia="Times New Roman" w:hAnsiTheme="minorHAnsi" w:cstheme="minorHAnsi"/>
          <w:b/>
          <w:color w:val="auto"/>
          <w:sz w:val="24"/>
          <w:szCs w:val="24"/>
        </w:rPr>
        <w:lastRenderedPageBreak/>
        <w:t>Introduction</w:t>
      </w:r>
      <w:bookmarkEnd w:id="0"/>
    </w:p>
    <w:p w14:paraId="01333AC6" w14:textId="340D01CC" w:rsidR="6927F91B"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According to</w:t>
      </w:r>
      <w:r w:rsidR="00C026E0" w:rsidRPr="009E7E9F">
        <w:rPr>
          <w:rFonts w:eastAsia="Times New Roman" w:cstheme="minorHAnsi"/>
          <w:sz w:val="24"/>
          <w:szCs w:val="24"/>
        </w:rPr>
        <w:t xml:space="preserve"> </w:t>
      </w:r>
      <w:r w:rsidRPr="009E7E9F">
        <w:rPr>
          <w:rFonts w:eastAsia="Times New Roman" w:cstheme="minorHAnsi"/>
          <w:sz w:val="24"/>
          <w:szCs w:val="24"/>
        </w:rPr>
        <w:t xml:space="preserve">Gilchrist (2003) community development is a rather young and developing sector in the UK. Community development is not thought to include one-time events, conversations about objectives or tactics, the creation of neighbourhood committees or advisory groups, or the provision of leadership training courses.  </w:t>
      </w:r>
      <w:bookmarkStart w:id="1" w:name="_Int_EGZoslw6"/>
      <w:r w:rsidRPr="009E7E9F">
        <w:rPr>
          <w:rFonts w:eastAsia="Times New Roman" w:cstheme="minorHAnsi"/>
          <w:sz w:val="24"/>
          <w:szCs w:val="24"/>
        </w:rPr>
        <w:t>All of these might be used in a community development strategy, but on their own, they are unsuccessful.</w:t>
      </w:r>
      <w:bookmarkEnd w:id="1"/>
      <w:r w:rsidRPr="009E7E9F">
        <w:rPr>
          <w:rFonts w:eastAsia="Times New Roman" w:cstheme="minorHAnsi"/>
          <w:sz w:val="24"/>
          <w:szCs w:val="24"/>
        </w:rPr>
        <w:t xml:space="preserve"> As part of community development, organizations collaborate with locals to identify and address issues that are significant to them. Stronger and more cohesive communities are those that have experienced community development.</w:t>
      </w:r>
      <w:r w:rsidR="00F56BFE" w:rsidRPr="00F56BFE">
        <w:t xml:space="preserve"> </w:t>
      </w:r>
      <w:r w:rsidR="00F56BFE" w:rsidRPr="00F56BFE">
        <w:rPr>
          <w:rFonts w:eastAsia="Times New Roman" w:cstheme="minorHAnsi"/>
          <w:sz w:val="24"/>
          <w:szCs w:val="24"/>
        </w:rPr>
        <w:t>The bonds, allegiances, identities, and interests that bind people together or foster pride in a place, an item, a practise, or an activity are referred to as a community</w:t>
      </w:r>
      <w:r w:rsidRPr="009E7E9F">
        <w:rPr>
          <w:rFonts w:eastAsia="Times New Roman" w:cstheme="minorHAnsi"/>
          <w:sz w:val="24"/>
          <w:szCs w:val="24"/>
        </w:rPr>
        <w:t>. Geographic or place-based communities are typically distinguished from those based on hobbies, identities, or affinities since each circumstance may necessitate a distinct approach to recruiting new members</w:t>
      </w:r>
      <w:r w:rsidR="007A3ED5">
        <w:rPr>
          <w:rFonts w:eastAsia="Times New Roman" w:cstheme="minorHAnsi"/>
          <w:sz w:val="24"/>
          <w:szCs w:val="24"/>
        </w:rPr>
        <w:t>.</w:t>
      </w:r>
      <w:r w:rsidRPr="009E7E9F">
        <w:rPr>
          <w:rFonts w:eastAsia="Times New Roman" w:cstheme="minorHAnsi"/>
          <w:sz w:val="24"/>
          <w:szCs w:val="24"/>
        </w:rPr>
        <w:t xml:space="preserve"> </w:t>
      </w:r>
      <w:r w:rsidR="007A3ED5" w:rsidRPr="007A3ED5">
        <w:rPr>
          <w:rFonts w:eastAsia="Times New Roman" w:cstheme="minorHAnsi"/>
          <w:sz w:val="24"/>
          <w:szCs w:val="24"/>
        </w:rPr>
        <w:t xml:space="preserve">Children, women, the elderly, individuals with disabilities, people from ethnic minorities, people who travel, are incarcerated, hospital patients, people who live in care facilities, people who are unemployed or homeless are just a few examples of communities that can </w:t>
      </w:r>
      <w:r w:rsidR="007A3ED5" w:rsidRPr="007A3ED5">
        <w:rPr>
          <w:rFonts w:eastAsia="Times New Roman" w:cstheme="minorHAnsi"/>
          <w:sz w:val="24"/>
          <w:szCs w:val="24"/>
        </w:rPr>
        <w:t>exist.</w:t>
      </w:r>
      <w:r w:rsidR="007A3ED5" w:rsidRPr="009E7E9F">
        <w:rPr>
          <w:rFonts w:eastAsia="Times New Roman" w:cstheme="minorHAnsi"/>
          <w:sz w:val="24"/>
          <w:szCs w:val="24"/>
        </w:rPr>
        <w:t xml:space="preserve"> This</w:t>
      </w:r>
      <w:r w:rsidR="00AA4F52" w:rsidRPr="009E7E9F">
        <w:rPr>
          <w:rFonts w:eastAsia="Times New Roman" w:cstheme="minorHAnsi"/>
          <w:sz w:val="24"/>
          <w:szCs w:val="24"/>
        </w:rPr>
        <w:t xml:space="preserve"> report is focused on examining the efforts and approaches towards community development as well as discusses</w:t>
      </w:r>
      <w:r w:rsidRPr="009E7E9F">
        <w:rPr>
          <w:rFonts w:eastAsia="Times New Roman" w:cstheme="minorHAnsi"/>
          <w:sz w:val="24"/>
          <w:szCs w:val="24"/>
        </w:rPr>
        <w:t xml:space="preserve"> the methods used. The report will use the </w:t>
      </w:r>
      <w:r w:rsidR="00AA4F52" w:rsidRPr="009E7E9F">
        <w:rPr>
          <w:rFonts w:eastAsia="Times New Roman" w:cstheme="minorHAnsi"/>
          <w:sz w:val="24"/>
          <w:szCs w:val="24"/>
        </w:rPr>
        <w:t>immigrant’s</w:t>
      </w:r>
      <w:r w:rsidRPr="009E7E9F">
        <w:rPr>
          <w:rFonts w:eastAsia="Times New Roman" w:cstheme="minorHAnsi"/>
          <w:sz w:val="24"/>
          <w:szCs w:val="24"/>
        </w:rPr>
        <w:t xml:space="preserve"> community (with particular focus on Asian British Indians) often for contextual conceptualization.</w:t>
      </w:r>
    </w:p>
    <w:p w14:paraId="25625EC0" w14:textId="34015C49" w:rsidR="0DE24B09" w:rsidRPr="009E7E9F" w:rsidRDefault="3C42F9B3" w:rsidP="005835BE">
      <w:pPr>
        <w:pStyle w:val="Heading1"/>
        <w:spacing w:line="360" w:lineRule="auto"/>
        <w:rPr>
          <w:rFonts w:asciiTheme="minorHAnsi" w:eastAsia="Times New Roman" w:hAnsiTheme="minorHAnsi" w:cstheme="minorHAnsi"/>
          <w:b/>
          <w:color w:val="auto"/>
          <w:sz w:val="24"/>
          <w:szCs w:val="24"/>
        </w:rPr>
      </w:pPr>
      <w:bookmarkStart w:id="2" w:name="_Toc108016382"/>
      <w:r w:rsidRPr="009E7E9F">
        <w:rPr>
          <w:rFonts w:asciiTheme="minorHAnsi" w:eastAsia="Times New Roman" w:hAnsiTheme="minorHAnsi" w:cstheme="minorHAnsi"/>
          <w:b/>
          <w:color w:val="auto"/>
          <w:sz w:val="24"/>
          <w:szCs w:val="24"/>
        </w:rPr>
        <w:t>T</w:t>
      </w:r>
      <w:r w:rsidR="009E7E9F">
        <w:rPr>
          <w:rFonts w:asciiTheme="minorHAnsi" w:eastAsia="Times New Roman" w:hAnsiTheme="minorHAnsi" w:cstheme="minorHAnsi"/>
          <w:b/>
          <w:color w:val="auto"/>
          <w:sz w:val="24"/>
          <w:szCs w:val="24"/>
        </w:rPr>
        <w:t>he</w:t>
      </w:r>
      <w:r w:rsidRPr="009E7E9F">
        <w:rPr>
          <w:rFonts w:asciiTheme="minorHAnsi" w:eastAsia="Times New Roman" w:hAnsiTheme="minorHAnsi" w:cstheme="minorHAnsi"/>
          <w:b/>
          <w:color w:val="auto"/>
          <w:sz w:val="24"/>
          <w:szCs w:val="24"/>
        </w:rPr>
        <w:t xml:space="preserve"> </w:t>
      </w:r>
      <w:r w:rsidR="00A765F1" w:rsidRPr="009E7E9F">
        <w:rPr>
          <w:rFonts w:asciiTheme="minorHAnsi" w:eastAsia="Times New Roman" w:hAnsiTheme="minorHAnsi" w:cstheme="minorHAnsi"/>
          <w:b/>
          <w:color w:val="auto"/>
          <w:sz w:val="24"/>
          <w:szCs w:val="24"/>
        </w:rPr>
        <w:t>D</w:t>
      </w:r>
      <w:r w:rsidR="00A765F1">
        <w:rPr>
          <w:rFonts w:asciiTheme="minorHAnsi" w:eastAsia="Times New Roman" w:hAnsiTheme="minorHAnsi" w:cstheme="minorHAnsi"/>
          <w:b/>
          <w:color w:val="auto"/>
          <w:sz w:val="24"/>
          <w:szCs w:val="24"/>
        </w:rPr>
        <w:t>iversity and Demographics.</w:t>
      </w:r>
      <w:bookmarkEnd w:id="2"/>
      <w:r w:rsidRPr="009E7E9F">
        <w:rPr>
          <w:rFonts w:asciiTheme="minorHAnsi" w:eastAsia="Times New Roman" w:hAnsiTheme="minorHAnsi" w:cstheme="minorHAnsi"/>
          <w:b/>
          <w:color w:val="auto"/>
          <w:sz w:val="24"/>
          <w:szCs w:val="24"/>
        </w:rPr>
        <w:t xml:space="preserve"> </w:t>
      </w:r>
    </w:p>
    <w:p w14:paraId="49D9B4A8" w14:textId="30FBDCB3" w:rsidR="3C42F9B3" w:rsidRPr="009E7E9F" w:rsidRDefault="00277BEB" w:rsidP="005835BE">
      <w:pPr>
        <w:spacing w:line="360" w:lineRule="auto"/>
        <w:rPr>
          <w:rFonts w:eastAsia="Times New Roman" w:cstheme="minorHAnsi"/>
          <w:sz w:val="24"/>
          <w:szCs w:val="24"/>
        </w:rPr>
      </w:pPr>
      <w:r w:rsidRPr="00277BEB">
        <w:rPr>
          <w:rFonts w:eastAsia="Times New Roman" w:cstheme="minorHAnsi"/>
          <w:sz w:val="24"/>
          <w:szCs w:val="24"/>
        </w:rPr>
        <w:t xml:space="preserve">An immigrant is someone who moves to live in another country. Immigration is the act of relocating to a new location with the intention of establishing a permanent residence </w:t>
      </w:r>
      <w:r w:rsidRPr="00277BEB">
        <w:rPr>
          <w:rFonts w:eastAsia="Times New Roman" w:cstheme="minorHAnsi"/>
          <w:sz w:val="24"/>
          <w:szCs w:val="24"/>
        </w:rPr>
        <w:t>there.</w:t>
      </w:r>
      <w:r w:rsidR="3C42F9B3" w:rsidRPr="009E7E9F">
        <w:rPr>
          <w:rFonts w:eastAsia="Times New Roman" w:cstheme="minorHAnsi"/>
          <w:sz w:val="24"/>
          <w:szCs w:val="24"/>
        </w:rPr>
        <w:t xml:space="preserve"> </w:t>
      </w:r>
      <w:r w:rsidR="0027768D" w:rsidRPr="0027768D">
        <w:rPr>
          <w:rFonts w:eastAsia="Times New Roman" w:cstheme="minorHAnsi"/>
          <w:sz w:val="24"/>
          <w:szCs w:val="24"/>
        </w:rPr>
        <w:t xml:space="preserve">A person's decision to immigrate may be affected by a number of factors, such as the possibility of job, the need to leave a dangerous situation, environmental concerns, the desire to improve one's education, or the desire to live close to </w:t>
      </w:r>
      <w:r w:rsidR="009E760D" w:rsidRPr="0027768D">
        <w:rPr>
          <w:rFonts w:eastAsia="Times New Roman" w:cstheme="minorHAnsi"/>
          <w:sz w:val="24"/>
          <w:szCs w:val="24"/>
        </w:rPr>
        <w:t>family</w:t>
      </w:r>
      <w:r w:rsidR="009E760D">
        <w:rPr>
          <w:rFonts w:eastAsia="Times New Roman" w:cstheme="minorHAnsi"/>
          <w:sz w:val="24"/>
          <w:szCs w:val="24"/>
        </w:rPr>
        <w:t>. A</w:t>
      </w:r>
      <w:r w:rsidR="3C42F9B3" w:rsidRPr="009E7E9F">
        <w:rPr>
          <w:rFonts w:eastAsia="Times New Roman" w:cstheme="minorHAnsi"/>
          <w:sz w:val="24"/>
          <w:szCs w:val="24"/>
        </w:rPr>
        <w:t xml:space="preserve"> person who resides in a country other than their country of birth is known as an immigrant. </w:t>
      </w:r>
      <w:r w:rsidR="001D014A" w:rsidRPr="001D014A">
        <w:rPr>
          <w:rFonts w:eastAsia="Times New Roman" w:cstheme="minorHAnsi"/>
          <w:sz w:val="24"/>
          <w:szCs w:val="24"/>
        </w:rPr>
        <w:t xml:space="preserve">The individual will always be regarded as an international migrant, regardless of whether they have obtained citizenship in the country of destination, served in the military, wed a native, or have another status. In 2021, there were </w:t>
      </w:r>
      <w:r w:rsidR="001D014A" w:rsidRPr="001D014A">
        <w:rPr>
          <w:rFonts w:eastAsia="Times New Roman" w:cstheme="minorHAnsi"/>
          <w:sz w:val="24"/>
          <w:szCs w:val="24"/>
        </w:rPr>
        <w:lastRenderedPageBreak/>
        <w:t>896,000 Indian citizens living in the UK, which was the largest non-British population. The second-largest ethnic group was Polish, which accounted for 682,000 individuals.</w:t>
      </w:r>
    </w:p>
    <w:p w14:paraId="3FF46C42" w14:textId="4F48D700" w:rsidR="0DE24B09"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 xml:space="preserve">The British Indian community is a minority group that comprises of citizens of the United Kingdom whose ancestral roots and origins are from India. Currently, the UK's largest ethnically diverse group is British Indians. The community includes people who are born in England with Indian origin and those that migrate from India to the UK. Currently, there are about 1.5 million people with Indian descent living in the UK, making them the largest ethnic minority within the UK. India is a diverse nation made up of many ethnic groups. In the UK, the British Indian community comprises of several ethnic subgroups with Indian Punjabis accounting for 45% of the total population. The other 2 large sun groups are the Indian Bengalis and the Gujaratis. Smaller subgroups are the Tamalis and Goans. According to the census conducted in 2011 for England and Wales, Hinduism was the most prevalent religion in the British Indian community with 49% Indians practicing it. The other three religions completing the four most prevalent religions are Sikhism, </w:t>
      </w:r>
      <w:r w:rsidR="00A765F1" w:rsidRPr="009E7E9F">
        <w:rPr>
          <w:rFonts w:eastAsia="Times New Roman" w:cstheme="minorHAnsi"/>
          <w:sz w:val="24"/>
          <w:szCs w:val="24"/>
        </w:rPr>
        <w:t>Islam,</w:t>
      </w:r>
      <w:r w:rsidRPr="009E7E9F">
        <w:rPr>
          <w:rFonts w:eastAsia="Times New Roman" w:cstheme="minorHAnsi"/>
          <w:sz w:val="24"/>
          <w:szCs w:val="24"/>
        </w:rPr>
        <w:t xml:space="preserve"> and Christianity in that order. The lates demographics report that British Indians make around 2.3% of the entire UK population. The population of Indians is approximated at 1.6 million, an increase from the number recorder in the 2011 census at 1.4 million. London hosts the largest population of British Indians with over half a million. Leicester also has a large population number of British Indians. The Indian cuisine is quite popular around the UK. The hybrid dish, chicken tikka masala has earned global recognition and popularity and can be found in the recipes of almost all top hotels. The dish originated from Punjabi India. There </w:t>
      </w:r>
      <w:r w:rsidR="00E27417" w:rsidRPr="009E7E9F">
        <w:rPr>
          <w:rFonts w:eastAsia="Times New Roman" w:cstheme="minorHAnsi"/>
          <w:sz w:val="24"/>
          <w:szCs w:val="24"/>
        </w:rPr>
        <w:t>exist</w:t>
      </w:r>
      <w:r w:rsidR="008F0CF2">
        <w:rPr>
          <w:rFonts w:eastAsia="Times New Roman" w:cstheme="minorHAnsi"/>
          <w:sz w:val="24"/>
          <w:szCs w:val="24"/>
        </w:rPr>
        <w:t xml:space="preserve"> </w:t>
      </w:r>
      <w:r w:rsidRPr="009E7E9F">
        <w:rPr>
          <w:rFonts w:eastAsia="Times New Roman" w:cstheme="minorHAnsi"/>
          <w:sz w:val="24"/>
          <w:szCs w:val="24"/>
        </w:rPr>
        <w:t>over 9,000 Indian restaurants across the United Kingdom. The sari, which is widely worn by women as part of the native dress, is the most well-known article of clothing associated with India. The sari is an unstitched, typically vibrant piece of fabric that can range in length from four to nine meters. It goes well with a tailored shirt. Running into a sari at model runways for fashion shows in the UK is a very likely event.</w:t>
      </w:r>
    </w:p>
    <w:p w14:paraId="1EE9EC42" w14:textId="77777777" w:rsidR="00C74060" w:rsidRPr="009E7E9F" w:rsidRDefault="00C74060" w:rsidP="005835BE">
      <w:pPr>
        <w:spacing w:line="360" w:lineRule="auto"/>
        <w:rPr>
          <w:rFonts w:eastAsia="Times New Roman" w:cstheme="minorHAnsi"/>
          <w:b/>
          <w:sz w:val="24"/>
          <w:szCs w:val="24"/>
        </w:rPr>
      </w:pPr>
      <w:r w:rsidRPr="009E7E9F">
        <w:rPr>
          <w:rFonts w:eastAsia="Times New Roman" w:cstheme="minorHAnsi"/>
          <w:b/>
          <w:sz w:val="24"/>
          <w:szCs w:val="24"/>
        </w:rPr>
        <w:br w:type="page"/>
      </w:r>
    </w:p>
    <w:p w14:paraId="0F195002" w14:textId="77777777" w:rsidR="0DE24B09" w:rsidRPr="009E7E9F" w:rsidRDefault="3C42F9B3" w:rsidP="005835BE">
      <w:pPr>
        <w:pStyle w:val="Heading1"/>
        <w:spacing w:line="360" w:lineRule="auto"/>
        <w:rPr>
          <w:rFonts w:asciiTheme="minorHAnsi" w:eastAsia="Times New Roman" w:hAnsiTheme="minorHAnsi" w:cstheme="minorHAnsi"/>
          <w:b/>
          <w:color w:val="auto"/>
          <w:sz w:val="24"/>
          <w:szCs w:val="24"/>
        </w:rPr>
      </w:pPr>
      <w:bookmarkStart w:id="3" w:name="_Toc108016383"/>
      <w:r w:rsidRPr="009E7E9F">
        <w:rPr>
          <w:rFonts w:asciiTheme="minorHAnsi" w:eastAsia="Times New Roman" w:hAnsiTheme="minorHAnsi" w:cstheme="minorHAnsi"/>
          <w:b/>
          <w:color w:val="auto"/>
          <w:sz w:val="24"/>
          <w:szCs w:val="24"/>
        </w:rPr>
        <w:lastRenderedPageBreak/>
        <w:t>ISSUES FACED BY THE COMMUNITY</w:t>
      </w:r>
      <w:bookmarkEnd w:id="3"/>
    </w:p>
    <w:p w14:paraId="591F20C3" w14:textId="6502EC6F" w:rsidR="3C42F9B3" w:rsidRPr="009E7E9F" w:rsidRDefault="3C42F9B3" w:rsidP="005835BE">
      <w:pPr>
        <w:pStyle w:val="Heading2"/>
        <w:spacing w:line="360" w:lineRule="auto"/>
        <w:rPr>
          <w:rFonts w:asciiTheme="minorHAnsi" w:eastAsia="Times New Roman" w:hAnsiTheme="minorHAnsi" w:cstheme="minorHAnsi"/>
          <w:b/>
          <w:color w:val="auto"/>
          <w:sz w:val="24"/>
          <w:szCs w:val="24"/>
        </w:rPr>
      </w:pPr>
      <w:bookmarkStart w:id="4" w:name="_Toc108016384"/>
      <w:r w:rsidRPr="009E7E9F">
        <w:rPr>
          <w:rFonts w:asciiTheme="minorHAnsi" w:eastAsia="Times New Roman" w:hAnsiTheme="minorHAnsi" w:cstheme="minorHAnsi"/>
          <w:b/>
          <w:color w:val="auto"/>
          <w:sz w:val="24"/>
          <w:szCs w:val="24"/>
        </w:rPr>
        <w:t>S</w:t>
      </w:r>
      <w:r w:rsidR="008F0CF2">
        <w:rPr>
          <w:rFonts w:asciiTheme="minorHAnsi" w:eastAsia="Times New Roman" w:hAnsiTheme="minorHAnsi" w:cstheme="minorHAnsi"/>
          <w:b/>
          <w:color w:val="auto"/>
          <w:sz w:val="24"/>
          <w:szCs w:val="24"/>
        </w:rPr>
        <w:t>uccess of the Community</w:t>
      </w:r>
      <w:r w:rsidR="00782B0A">
        <w:rPr>
          <w:rFonts w:asciiTheme="minorHAnsi" w:eastAsia="Times New Roman" w:hAnsiTheme="minorHAnsi" w:cstheme="minorHAnsi"/>
          <w:b/>
          <w:color w:val="auto"/>
          <w:sz w:val="24"/>
          <w:szCs w:val="24"/>
        </w:rPr>
        <w:t>:</w:t>
      </w:r>
      <w:r w:rsidR="008F0CF2">
        <w:rPr>
          <w:rFonts w:asciiTheme="minorHAnsi" w:eastAsia="Times New Roman" w:hAnsiTheme="minorHAnsi" w:cstheme="minorHAnsi"/>
          <w:b/>
          <w:color w:val="auto"/>
          <w:sz w:val="24"/>
          <w:szCs w:val="24"/>
        </w:rPr>
        <w:t xml:space="preserve">                  </w:t>
      </w:r>
      <w:bookmarkEnd w:id="4"/>
    </w:p>
    <w:p w14:paraId="1A38AFFC" w14:textId="77777777" w:rsidR="0DE24B09"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 xml:space="preserve">Before we review the issues faced by this community, it is worth to note that of all the ethnic groups within the United Kingdom, British Indians do the best among them. The community is at times seen to be doing better than the White British population. However, the success of the Indian community has a dark history. A recent report revealed that the Indian diaspora is the wealthiest yet very unequal ethnic minority group. The report goes further to put the success of the British Indian community into context. It states that for every three Indian households, the third home falls in the wealthiest bracket. A massive 35% of the Indian households compared to a shy 24% of white British falls in the wealthiest bracket. The report also reported that Indian students performed relatively better in schools as compared to the Whit British. Having discussed the success of the Indian community, we shall now discuss the issues faced. The British Indian community faces austerity from the government as well as racism. These two issues shall be discussed in the following passages. </w:t>
      </w:r>
    </w:p>
    <w:p w14:paraId="0BC4138B" w14:textId="3A6BF583" w:rsidR="3C42F9B3" w:rsidRPr="00A70080" w:rsidRDefault="3C42F9B3" w:rsidP="005835BE">
      <w:pPr>
        <w:spacing w:line="360" w:lineRule="auto"/>
        <w:rPr>
          <w:rFonts w:eastAsia="Times New Roman" w:cstheme="minorHAnsi"/>
          <w:b/>
          <w:bCs/>
          <w:sz w:val="24"/>
          <w:szCs w:val="24"/>
        </w:rPr>
      </w:pPr>
      <w:r w:rsidRPr="00A70080">
        <w:rPr>
          <w:rFonts w:eastAsia="Times New Roman" w:cstheme="minorHAnsi"/>
          <w:b/>
          <w:bCs/>
          <w:sz w:val="24"/>
          <w:szCs w:val="24"/>
        </w:rPr>
        <w:t>A</w:t>
      </w:r>
      <w:r w:rsidR="00782B0A">
        <w:rPr>
          <w:rFonts w:eastAsia="Times New Roman" w:cstheme="minorHAnsi"/>
          <w:b/>
          <w:bCs/>
          <w:sz w:val="24"/>
          <w:szCs w:val="24"/>
        </w:rPr>
        <w:t>usterity:</w:t>
      </w:r>
    </w:p>
    <w:p w14:paraId="7C2E696C" w14:textId="1DC71F71" w:rsidR="0DE24B09" w:rsidRPr="009E7E9F" w:rsidRDefault="002A50B0" w:rsidP="005835BE">
      <w:pPr>
        <w:spacing w:line="360" w:lineRule="auto"/>
        <w:rPr>
          <w:rFonts w:eastAsia="Times New Roman" w:cstheme="minorHAnsi"/>
          <w:sz w:val="24"/>
          <w:szCs w:val="24"/>
        </w:rPr>
      </w:pPr>
      <w:r w:rsidRPr="009E7E9F">
        <w:rPr>
          <w:rFonts w:eastAsia="Times New Roman" w:cstheme="minorHAnsi"/>
          <w:sz w:val="24"/>
          <w:szCs w:val="24"/>
        </w:rPr>
        <w:t>To</w:t>
      </w:r>
      <w:r w:rsidR="3C42F9B3" w:rsidRPr="009E7E9F">
        <w:rPr>
          <w:rFonts w:eastAsia="Times New Roman" w:cstheme="minorHAnsi"/>
          <w:sz w:val="24"/>
          <w:szCs w:val="24"/>
        </w:rPr>
        <w:t xml:space="preserve"> lowering the level of public sector debt, a government may implement a variety of fiscal policies referred to as austerity measures. A major risk of default or being unable to fulfil the required payment on its commitments exists when a government's public debt reaches this level. Austerity measures are then implemented at that point. The three basic types of austerity plans are tax increases to finance spending, tax increases combined with cutting non-essential government services, and tax reductions combined with spending reductions. The success of austerity is still debatable. While advocates contend that hefty deficits can suffocate the </w:t>
      </w:r>
      <w:r w:rsidR="008B7455" w:rsidRPr="009E7E9F">
        <w:rPr>
          <w:rFonts w:eastAsia="Times New Roman" w:cstheme="minorHAnsi"/>
          <w:sz w:val="24"/>
          <w:szCs w:val="24"/>
        </w:rPr>
        <w:t>economy, detractors</w:t>
      </w:r>
      <w:r w:rsidR="3C42F9B3" w:rsidRPr="009E7E9F">
        <w:rPr>
          <w:rFonts w:eastAsia="Times New Roman" w:cstheme="minorHAnsi"/>
          <w:sz w:val="24"/>
          <w:szCs w:val="24"/>
        </w:rPr>
        <w:t xml:space="preserve"> contend that government programs are the only option to make up for falling consumer spending during a recession. Evidence suggests that since 2010, the UK government's austerity measures have had a disproportionately negative impact on the Asian and Black populations. The poorest Asian households have suffered the most from these losses, seeing a shocking 20 percent decline in living standards since 2010. According to the report, women were the group most affected by the austerity measures. The austerity measures included reductions in welfare spending, cancellation of plans to build schools, reductions in </w:t>
      </w:r>
      <w:r w:rsidR="3C42F9B3" w:rsidRPr="009E7E9F">
        <w:rPr>
          <w:rFonts w:eastAsia="Times New Roman" w:cstheme="minorHAnsi"/>
          <w:sz w:val="24"/>
          <w:szCs w:val="24"/>
        </w:rPr>
        <w:lastRenderedPageBreak/>
        <w:t>funding for local governments, and an increase in VAT. Additionally reduced was the amount spent on the police, courts, and prisons. People of colour, especially women of colour, were disproportionately negatively impacted by austerity. Up until recently, they were still the victims of unfair harm. This was because black and Asian women's unemployment rates were greater and that they were more likely than women of other races to work for the government or in hazardous, low-paying jobs. (Clarke et al., 2016)</w:t>
      </w:r>
    </w:p>
    <w:p w14:paraId="1B8F61B4" w14:textId="4FA21DAB" w:rsidR="3C42F9B3" w:rsidRPr="00782B0A" w:rsidRDefault="3C42F9B3" w:rsidP="005835BE">
      <w:pPr>
        <w:spacing w:line="360" w:lineRule="auto"/>
        <w:rPr>
          <w:rFonts w:eastAsia="Times New Roman" w:cstheme="minorHAnsi"/>
          <w:b/>
          <w:bCs/>
          <w:sz w:val="24"/>
          <w:szCs w:val="24"/>
        </w:rPr>
      </w:pPr>
      <w:r w:rsidRPr="00782B0A">
        <w:rPr>
          <w:rFonts w:eastAsia="Times New Roman" w:cstheme="minorHAnsi"/>
          <w:b/>
          <w:bCs/>
          <w:sz w:val="24"/>
          <w:szCs w:val="24"/>
        </w:rPr>
        <w:t>R</w:t>
      </w:r>
      <w:r w:rsidR="00782B0A">
        <w:rPr>
          <w:rFonts w:eastAsia="Times New Roman" w:cstheme="minorHAnsi"/>
          <w:b/>
          <w:bCs/>
          <w:sz w:val="24"/>
          <w:szCs w:val="24"/>
        </w:rPr>
        <w:t>acism</w:t>
      </w:r>
      <w:r w:rsidR="00622F91">
        <w:rPr>
          <w:rFonts w:eastAsia="Times New Roman" w:cstheme="minorHAnsi"/>
          <w:b/>
          <w:bCs/>
          <w:sz w:val="24"/>
          <w:szCs w:val="24"/>
        </w:rPr>
        <w:t>:</w:t>
      </w:r>
    </w:p>
    <w:p w14:paraId="66A3E777" w14:textId="77777777" w:rsidR="0DE24B09"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 xml:space="preserve">According to Miles, (2004) racism is a problem that affects everyone in a social setting where it is articulated and supports discriminatory practices. The concept of racism, also referred to as racialism, holds that there are numerous biologically distinct racial groups of people, that these groups differ from one another in terms of morality, intelligence, and other cultural and behavioural traits, and that some racial groups are inherently superior to others. Immigration patterns and unemployment rates </w:t>
      </w:r>
      <w:bookmarkStart w:id="5" w:name="_Int_Nu4aBIg9"/>
      <w:r w:rsidRPr="009E7E9F">
        <w:rPr>
          <w:rFonts w:eastAsia="Times New Roman" w:cstheme="minorHAnsi"/>
          <w:sz w:val="24"/>
          <w:szCs w:val="24"/>
        </w:rPr>
        <w:t>in a given</w:t>
      </w:r>
      <w:bookmarkEnd w:id="5"/>
      <w:r w:rsidRPr="009E7E9F">
        <w:rPr>
          <w:rFonts w:eastAsia="Times New Roman" w:cstheme="minorHAnsi"/>
          <w:sz w:val="24"/>
          <w:szCs w:val="24"/>
        </w:rPr>
        <w:t xml:space="preserve"> area have both been connected to racial differences. According to research, the number of instances when locals attacked real or imagined foreigners out of racism may have grown as a result of Brexit. Indian Americans enjoy a better level of financial and professional success than many other immigrant groups in the nation. Despite this, they have not been shielded from the forces of intolerance by their accomplishments. Indians born in the United Kingdom report experiencing prejudice at a considerably higher rate than those who were born overseas who are British Indians. This is one of the most interesting survey results. This is accurate regardless of the bias, which may be based on skin tone, gender, or religion. Over 80% of minority groups have been affected by the Brexit as they reported experiencing increased hate crimes.</w:t>
      </w:r>
    </w:p>
    <w:p w14:paraId="38F3BF76" w14:textId="77777777" w:rsidR="0DE24B09" w:rsidRPr="009E7E9F" w:rsidRDefault="3C42F9B3" w:rsidP="005835BE">
      <w:pPr>
        <w:spacing w:line="360" w:lineRule="auto"/>
        <w:rPr>
          <w:rStyle w:val="Heading1Char"/>
          <w:rFonts w:asciiTheme="minorHAnsi" w:eastAsia="Times New Roman" w:hAnsiTheme="minorHAnsi" w:cstheme="minorHAnsi"/>
          <w:b/>
          <w:color w:val="auto"/>
          <w:sz w:val="24"/>
          <w:szCs w:val="24"/>
        </w:rPr>
      </w:pPr>
      <w:bookmarkStart w:id="6" w:name="_Toc108016385"/>
      <w:r w:rsidRPr="009E7E9F">
        <w:rPr>
          <w:rStyle w:val="Heading1Char"/>
          <w:rFonts w:asciiTheme="minorHAnsi" w:eastAsia="Times New Roman" w:hAnsiTheme="minorHAnsi" w:cstheme="minorHAnsi"/>
          <w:b/>
          <w:color w:val="auto"/>
          <w:sz w:val="24"/>
          <w:szCs w:val="24"/>
        </w:rPr>
        <w:t>COMMUNITY DEVELOPMENT APPROACHES</w:t>
      </w:r>
      <w:bookmarkEnd w:id="6"/>
      <w:r w:rsidRPr="009E7E9F">
        <w:rPr>
          <w:rStyle w:val="Heading1Char"/>
          <w:rFonts w:asciiTheme="minorHAnsi" w:eastAsia="Times New Roman" w:hAnsiTheme="minorHAnsi" w:cstheme="minorHAnsi"/>
          <w:b/>
          <w:color w:val="auto"/>
          <w:sz w:val="24"/>
          <w:szCs w:val="24"/>
        </w:rPr>
        <w:t xml:space="preserve"> </w:t>
      </w:r>
    </w:p>
    <w:p w14:paraId="7A04D5AD" w14:textId="3363B7A4" w:rsidR="0DE24B09" w:rsidRPr="009E7E9F" w:rsidRDefault="3C42F9B3" w:rsidP="005835BE">
      <w:pPr>
        <w:pStyle w:val="Heading2"/>
        <w:spacing w:line="360" w:lineRule="auto"/>
        <w:rPr>
          <w:rFonts w:asciiTheme="minorHAnsi" w:eastAsia="Times New Roman" w:hAnsiTheme="minorHAnsi" w:cstheme="minorHAnsi"/>
          <w:b/>
          <w:color w:val="auto"/>
          <w:sz w:val="24"/>
          <w:szCs w:val="24"/>
        </w:rPr>
      </w:pPr>
      <w:bookmarkStart w:id="7" w:name="_Toc108016386"/>
      <w:r w:rsidRPr="009E7E9F">
        <w:rPr>
          <w:rFonts w:asciiTheme="minorHAnsi" w:eastAsia="Times New Roman" w:hAnsiTheme="minorHAnsi" w:cstheme="minorHAnsi"/>
          <w:b/>
          <w:color w:val="auto"/>
          <w:sz w:val="24"/>
          <w:szCs w:val="24"/>
        </w:rPr>
        <w:t>U</w:t>
      </w:r>
      <w:r w:rsidR="00030DB0">
        <w:rPr>
          <w:rFonts w:asciiTheme="minorHAnsi" w:eastAsia="Times New Roman" w:hAnsiTheme="minorHAnsi" w:cstheme="minorHAnsi"/>
          <w:b/>
          <w:color w:val="auto"/>
          <w:sz w:val="24"/>
          <w:szCs w:val="24"/>
        </w:rPr>
        <w:t>nderstanding Community Development</w:t>
      </w:r>
      <w:r w:rsidR="00EC26A2">
        <w:rPr>
          <w:rFonts w:asciiTheme="minorHAnsi" w:eastAsia="Times New Roman" w:hAnsiTheme="minorHAnsi" w:cstheme="minorHAnsi"/>
          <w:b/>
          <w:color w:val="auto"/>
          <w:sz w:val="24"/>
          <w:szCs w:val="24"/>
        </w:rPr>
        <w:t xml:space="preserve"> Approaches:</w:t>
      </w:r>
      <w:r w:rsidR="00030DB0">
        <w:rPr>
          <w:rFonts w:asciiTheme="minorHAnsi" w:eastAsia="Times New Roman" w:hAnsiTheme="minorHAnsi" w:cstheme="minorHAnsi"/>
          <w:b/>
          <w:color w:val="auto"/>
          <w:sz w:val="24"/>
          <w:szCs w:val="24"/>
        </w:rPr>
        <w:t xml:space="preserve">      </w:t>
      </w:r>
      <w:bookmarkEnd w:id="7"/>
    </w:p>
    <w:p w14:paraId="26863673" w14:textId="77777777" w:rsidR="0DE24B09"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 xml:space="preserve">In a developing community, people get together to work on topics that are significant to them. It admits that certain people, communities, and groups are subjected to marginalization and oppression as a result of society's underlying structures. Since community development enables groups with a sense of place and identity to use their own resources to improve living </w:t>
      </w:r>
      <w:r w:rsidRPr="009E7E9F">
        <w:rPr>
          <w:rFonts w:eastAsia="Times New Roman" w:cstheme="minorHAnsi"/>
          <w:sz w:val="24"/>
          <w:szCs w:val="24"/>
        </w:rPr>
        <w:lastRenderedPageBreak/>
        <w:t>conditions in their local communities, people benefit from it. In order to improve services and decision-making, it also makes it easier for communities and governmental organizations to work together. The principles of social justice, equality, and respect for difference form the foundation of community development. Community development, which aims to redress inequities in power and welfare, is primarily concerned with inclusion, human rights, social justice, equity, and equality. It is a constructive adjustment and a value-based strategy. Strategies for community development that work People's lives can be bettered through community development, as well as those of social organizations. Asset-based, participatory, problem-solving, needs-based, power-conflict-based, welfare-based, and rights-based approaches are a few of the techniques that can be used for community development. Community development leads to community empowerment, which makes communities stronger and more cohesive.</w:t>
      </w:r>
    </w:p>
    <w:p w14:paraId="05E3A323" w14:textId="1D31E36C" w:rsidR="3C42F9B3" w:rsidRPr="009E7E9F" w:rsidRDefault="3C42F9B3" w:rsidP="005835BE">
      <w:pPr>
        <w:pStyle w:val="Heading2"/>
        <w:spacing w:line="360" w:lineRule="auto"/>
        <w:rPr>
          <w:rFonts w:asciiTheme="minorHAnsi" w:eastAsia="Times New Roman" w:hAnsiTheme="minorHAnsi" w:cstheme="minorHAnsi"/>
          <w:b/>
          <w:color w:val="auto"/>
          <w:sz w:val="24"/>
          <w:szCs w:val="24"/>
        </w:rPr>
      </w:pPr>
      <w:bookmarkStart w:id="8" w:name="_Toc108016387"/>
      <w:r w:rsidRPr="009E7E9F">
        <w:rPr>
          <w:rFonts w:asciiTheme="minorHAnsi" w:eastAsia="Times New Roman" w:hAnsiTheme="minorHAnsi" w:cstheme="minorHAnsi"/>
          <w:b/>
          <w:color w:val="auto"/>
          <w:sz w:val="24"/>
          <w:szCs w:val="24"/>
        </w:rPr>
        <w:t>U</w:t>
      </w:r>
      <w:r w:rsidR="00EC26A2">
        <w:rPr>
          <w:rFonts w:asciiTheme="minorHAnsi" w:eastAsia="Times New Roman" w:hAnsiTheme="minorHAnsi" w:cstheme="minorHAnsi"/>
          <w:b/>
          <w:color w:val="auto"/>
          <w:sz w:val="24"/>
          <w:szCs w:val="24"/>
        </w:rPr>
        <w:t>se of Community Development Approaches</w:t>
      </w:r>
      <w:r w:rsidR="00D57365">
        <w:rPr>
          <w:rFonts w:asciiTheme="minorHAnsi" w:eastAsia="Times New Roman" w:hAnsiTheme="minorHAnsi" w:cstheme="minorHAnsi"/>
          <w:b/>
          <w:color w:val="auto"/>
          <w:sz w:val="24"/>
          <w:szCs w:val="24"/>
        </w:rPr>
        <w:t>:</w:t>
      </w:r>
      <w:r w:rsidR="00EC26A2">
        <w:rPr>
          <w:rFonts w:asciiTheme="minorHAnsi" w:eastAsia="Times New Roman" w:hAnsiTheme="minorHAnsi" w:cstheme="minorHAnsi"/>
          <w:b/>
          <w:color w:val="auto"/>
          <w:sz w:val="24"/>
          <w:szCs w:val="24"/>
        </w:rPr>
        <w:t xml:space="preserve"> </w:t>
      </w:r>
      <w:bookmarkEnd w:id="8"/>
    </w:p>
    <w:p w14:paraId="08F62287" w14:textId="77777777" w:rsidR="3C42F9B3"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An approach to community development known as the "rights-based approach" is one that is based on abiding by the legal requirements included in the scope of international human rights as well as the ideals and principles that guide these treaties and conventions. This strategy aims to improve the ability of those in positions of responsibility to uphold, defend, and guarantee human rights while also addressing how to handle growing complexity by considering how people interact with political and social structures. The benefit of this strategy is that it promotes a wholistic perspective on results and results that are gender equal. This strategy is very beneficial when addressing the racism issue.</w:t>
      </w:r>
    </w:p>
    <w:p w14:paraId="659739FB" w14:textId="52110FEF" w:rsidR="3C42F9B3"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 xml:space="preserve">Another community development approach that might be helpful in our context Is the needs-based approach. This approach is generally defined as a model that focuses on the community's needs, </w:t>
      </w:r>
      <w:r w:rsidR="00C54B09" w:rsidRPr="009E7E9F">
        <w:rPr>
          <w:rFonts w:eastAsia="Times New Roman" w:cstheme="minorHAnsi"/>
          <w:sz w:val="24"/>
          <w:szCs w:val="24"/>
        </w:rPr>
        <w:t>deficiencies,</w:t>
      </w:r>
      <w:r w:rsidRPr="009E7E9F">
        <w:rPr>
          <w:rFonts w:eastAsia="Times New Roman" w:cstheme="minorHAnsi"/>
          <w:sz w:val="24"/>
          <w:szCs w:val="24"/>
        </w:rPr>
        <w:t xml:space="preserve"> and problems. Unlike the rights-based approach which emphasizes on the realization of rights and recognizes that rights are always obligations of the state, the needs-based approach puts more emphasis on the needs and recognizes that needs are valid claims. This approach is useful in addressing the issue on austerity.</w:t>
      </w:r>
    </w:p>
    <w:p w14:paraId="75984113" w14:textId="77777777" w:rsidR="3C42F9B3" w:rsidRPr="009E7E9F" w:rsidRDefault="3C42F9B3" w:rsidP="005835BE">
      <w:pPr>
        <w:spacing w:line="360" w:lineRule="auto"/>
        <w:rPr>
          <w:rFonts w:eastAsia="Times New Roman" w:cstheme="minorHAnsi"/>
          <w:sz w:val="24"/>
          <w:szCs w:val="24"/>
          <w:lang w:val="en-US"/>
        </w:rPr>
      </w:pPr>
      <w:r w:rsidRPr="009E7E9F">
        <w:rPr>
          <w:rFonts w:eastAsia="Times New Roman" w:cstheme="minorHAnsi"/>
          <w:sz w:val="24"/>
          <w:szCs w:val="24"/>
        </w:rPr>
        <w:lastRenderedPageBreak/>
        <w:t xml:space="preserve">Social networks and social media are increasingly widely used as crucial community development tools to reach a wide audience, rapidly disseminate information, improve communications, and create connections. We </w:t>
      </w:r>
      <w:bookmarkStart w:id="9" w:name="_Int_5qPE0FQi"/>
      <w:r w:rsidRPr="009E7E9F">
        <w:rPr>
          <w:rFonts w:eastAsia="Times New Roman" w:cstheme="minorHAnsi"/>
          <w:sz w:val="24"/>
          <w:szCs w:val="24"/>
        </w:rPr>
        <w:t>have the opportunity to</w:t>
      </w:r>
      <w:bookmarkEnd w:id="9"/>
      <w:r w:rsidRPr="009E7E9F">
        <w:rPr>
          <w:rFonts w:eastAsia="Times New Roman" w:cstheme="minorHAnsi"/>
          <w:sz w:val="24"/>
          <w:szCs w:val="24"/>
        </w:rPr>
        <w:t xml:space="preserve"> understand how an online community is established and maintained thanks to social media data. Using information obtained through social media, practitioners can actively take part in community development and address regional issues. Additionally, social media platforms allow for widespread information sharing, and greater transparency and accountability can strengthen community members' trust. (</w:t>
      </w:r>
      <w:r w:rsidRPr="009E7E9F">
        <w:rPr>
          <w:rFonts w:eastAsia="Times New Roman" w:cstheme="minorHAnsi"/>
          <w:sz w:val="24"/>
          <w:szCs w:val="24"/>
          <w:lang w:val="en-US"/>
        </w:rPr>
        <w:t>Billings, 2000)</w:t>
      </w:r>
    </w:p>
    <w:p w14:paraId="6D056F82" w14:textId="49E197D3" w:rsidR="0DE24B09" w:rsidRPr="009E7E9F" w:rsidRDefault="3C42F9B3" w:rsidP="005835BE">
      <w:pPr>
        <w:pStyle w:val="Heading1"/>
        <w:spacing w:line="360" w:lineRule="auto"/>
        <w:rPr>
          <w:rFonts w:asciiTheme="minorHAnsi" w:eastAsia="Times New Roman" w:hAnsiTheme="minorHAnsi" w:cstheme="minorHAnsi"/>
          <w:b/>
          <w:color w:val="auto"/>
          <w:sz w:val="24"/>
          <w:szCs w:val="24"/>
        </w:rPr>
      </w:pPr>
      <w:bookmarkStart w:id="10" w:name="_Toc108016388"/>
      <w:r w:rsidRPr="009E7E9F">
        <w:rPr>
          <w:rFonts w:asciiTheme="minorHAnsi" w:eastAsia="Times New Roman" w:hAnsiTheme="minorHAnsi" w:cstheme="minorHAnsi"/>
          <w:b/>
          <w:color w:val="auto"/>
          <w:sz w:val="24"/>
          <w:szCs w:val="24"/>
        </w:rPr>
        <w:t>C</w:t>
      </w:r>
      <w:r w:rsidR="00D57365">
        <w:rPr>
          <w:rFonts w:asciiTheme="minorHAnsi" w:eastAsia="Times New Roman" w:hAnsiTheme="minorHAnsi" w:cstheme="minorHAnsi"/>
          <w:b/>
          <w:color w:val="auto"/>
          <w:sz w:val="24"/>
          <w:szCs w:val="24"/>
        </w:rPr>
        <w:t xml:space="preserve">onclusion:     </w:t>
      </w:r>
      <w:bookmarkEnd w:id="10"/>
    </w:p>
    <w:p w14:paraId="0493C6F1" w14:textId="77777777" w:rsidR="3C42F9B3"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t>A community is defined as the links, commitments, identities, and interests that unite individuals or foster pride in a place, an item, a way of life, or an activity. Geographic or place-based communities are usually distinguished from those founded on interests, identities, or affinities since each situation may call for a different strategy for attracting new members. Children, women, the elderly, individuals with disabilities, members of ethnic minorities, those who travel, are imprisoned, hospital patients, those who reside in care facilities, as well as those who are jobless or homeless, can all be part of a community. As part of the community development process, people band together to act on issues that are significant to them. The immigrant community was the subject of the report, with the British Indian community in the UK receiving special attention. The neighbourhood deals with problems including prejudice and austerity. The community has been significantly impacted by these causes, yet despite the problems, it has continued to do better in the UK. To address racism and austerity, respectively, the suggested community development techniques are needs-based and rights-based.</w:t>
      </w:r>
    </w:p>
    <w:p w14:paraId="3443B0A4" w14:textId="77777777" w:rsidR="3C42F9B3" w:rsidRPr="009E7E9F" w:rsidRDefault="3C42F9B3" w:rsidP="005835BE">
      <w:pPr>
        <w:spacing w:line="360" w:lineRule="auto"/>
        <w:rPr>
          <w:rFonts w:eastAsia="Times New Roman" w:cstheme="minorHAnsi"/>
          <w:sz w:val="24"/>
          <w:szCs w:val="24"/>
        </w:rPr>
      </w:pPr>
      <w:r w:rsidRPr="009E7E9F">
        <w:rPr>
          <w:rFonts w:eastAsia="Times New Roman" w:cstheme="minorHAnsi"/>
          <w:sz w:val="24"/>
          <w:szCs w:val="24"/>
        </w:rPr>
        <w:br w:type="page"/>
      </w:r>
    </w:p>
    <w:p w14:paraId="23DC5A0C" w14:textId="25AC7BC7" w:rsidR="3C42F9B3" w:rsidRPr="009E7E9F" w:rsidRDefault="3C42F9B3" w:rsidP="005835BE">
      <w:pPr>
        <w:spacing w:line="360" w:lineRule="auto"/>
        <w:rPr>
          <w:rFonts w:eastAsia="Times New Roman" w:cstheme="minorHAnsi"/>
          <w:b/>
          <w:sz w:val="24"/>
          <w:szCs w:val="24"/>
        </w:rPr>
      </w:pPr>
      <w:bookmarkStart w:id="11" w:name="_Toc108016389"/>
      <w:r w:rsidRPr="009E7E9F">
        <w:rPr>
          <w:rStyle w:val="Heading1Char"/>
          <w:rFonts w:asciiTheme="minorHAnsi" w:hAnsiTheme="minorHAnsi" w:cstheme="minorHAnsi"/>
          <w:b/>
          <w:color w:val="auto"/>
          <w:sz w:val="24"/>
          <w:szCs w:val="24"/>
        </w:rPr>
        <w:lastRenderedPageBreak/>
        <w:t>R</w:t>
      </w:r>
      <w:bookmarkEnd w:id="11"/>
      <w:r w:rsidR="005835BE">
        <w:rPr>
          <w:rStyle w:val="Heading1Char"/>
          <w:rFonts w:asciiTheme="minorHAnsi" w:hAnsiTheme="minorHAnsi" w:cstheme="minorHAnsi"/>
          <w:b/>
          <w:color w:val="auto"/>
          <w:sz w:val="24"/>
          <w:szCs w:val="24"/>
        </w:rPr>
        <w:t>eferences:</w:t>
      </w:r>
    </w:p>
    <w:p w14:paraId="5777495D"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 Borjas, G.J., 2018. The economics of immigration. In </w:t>
      </w:r>
      <w:r w:rsidRPr="009E7E9F">
        <w:rPr>
          <w:rFonts w:eastAsia="Times New Roman" w:cstheme="minorHAnsi"/>
          <w:i/>
          <w:iCs/>
          <w:sz w:val="24"/>
          <w:szCs w:val="24"/>
          <w:lang w:val="en-US"/>
        </w:rPr>
        <w:t>Interdisciplinary Perspectives on the New Immigration</w:t>
      </w:r>
      <w:r w:rsidRPr="009E7E9F">
        <w:rPr>
          <w:rFonts w:eastAsia="Times New Roman" w:cstheme="minorHAnsi"/>
          <w:sz w:val="24"/>
          <w:szCs w:val="24"/>
          <w:lang w:val="en-US"/>
        </w:rPr>
        <w:t xml:space="preserve"> (pp. 1-52). Routledge.</w:t>
      </w:r>
    </w:p>
    <w:p w14:paraId="164647CF" w14:textId="32930A80"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Atkinson, W., Roberts, S. and Savage, M. eds., 2012. </w:t>
      </w:r>
      <w:r w:rsidRPr="009E7E9F">
        <w:rPr>
          <w:rFonts w:eastAsia="Times New Roman" w:cstheme="minorHAnsi"/>
          <w:i/>
          <w:iCs/>
          <w:sz w:val="24"/>
          <w:szCs w:val="24"/>
          <w:lang w:val="en-US"/>
        </w:rPr>
        <w:t xml:space="preserve">Class inequality in austerity Britain: Power, </w:t>
      </w:r>
      <w:r w:rsidR="008E5A7D" w:rsidRPr="009E7E9F">
        <w:rPr>
          <w:rFonts w:eastAsia="Times New Roman" w:cstheme="minorHAnsi"/>
          <w:i/>
          <w:iCs/>
          <w:sz w:val="24"/>
          <w:szCs w:val="24"/>
          <w:lang w:val="en-US"/>
        </w:rPr>
        <w:t>difference,</w:t>
      </w:r>
      <w:r w:rsidRPr="009E7E9F">
        <w:rPr>
          <w:rFonts w:eastAsia="Times New Roman" w:cstheme="minorHAnsi"/>
          <w:i/>
          <w:iCs/>
          <w:sz w:val="24"/>
          <w:szCs w:val="24"/>
          <w:lang w:val="en-US"/>
        </w:rPr>
        <w:t xml:space="preserve"> and suffering</w:t>
      </w:r>
      <w:r w:rsidRPr="009E7E9F">
        <w:rPr>
          <w:rFonts w:eastAsia="Times New Roman" w:cstheme="minorHAnsi"/>
          <w:sz w:val="24"/>
          <w:szCs w:val="24"/>
          <w:lang w:val="en-US"/>
        </w:rPr>
        <w:t>. Springer.</w:t>
      </w:r>
    </w:p>
    <w:p w14:paraId="213D8D91"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Billings, J.R., 2000. Community development: a critical review of approaches to evaluation. </w:t>
      </w:r>
      <w:r w:rsidRPr="009E7E9F">
        <w:rPr>
          <w:rFonts w:eastAsia="Times New Roman" w:cstheme="minorHAnsi"/>
          <w:i/>
          <w:iCs/>
          <w:sz w:val="24"/>
          <w:szCs w:val="24"/>
          <w:lang w:val="en-US"/>
        </w:rPr>
        <w:t>Journal of Advanced Nursing</w:t>
      </w:r>
      <w:r w:rsidRPr="009E7E9F">
        <w:rPr>
          <w:rFonts w:eastAsia="Times New Roman" w:cstheme="minorHAnsi"/>
          <w:sz w:val="24"/>
          <w:szCs w:val="24"/>
          <w:lang w:val="en-US"/>
        </w:rPr>
        <w:t xml:space="preserve">, </w:t>
      </w:r>
      <w:r w:rsidRPr="009E7E9F">
        <w:rPr>
          <w:rFonts w:eastAsia="Times New Roman" w:cstheme="minorHAnsi"/>
          <w:i/>
          <w:iCs/>
          <w:sz w:val="24"/>
          <w:szCs w:val="24"/>
          <w:lang w:val="en-US"/>
        </w:rPr>
        <w:t>31</w:t>
      </w:r>
      <w:r w:rsidRPr="009E7E9F">
        <w:rPr>
          <w:rFonts w:eastAsia="Times New Roman" w:cstheme="minorHAnsi"/>
          <w:sz w:val="24"/>
          <w:szCs w:val="24"/>
          <w:lang w:val="en-US"/>
        </w:rPr>
        <w:t>(2), pp.472-480.</w:t>
      </w:r>
    </w:p>
    <w:p w14:paraId="516CC473"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Cabaj, M., &amp; Weaver, L. (2016). </w:t>
      </w:r>
      <w:r w:rsidRPr="009E7E9F">
        <w:rPr>
          <w:rFonts w:eastAsia="Times New Roman" w:cstheme="minorHAnsi"/>
          <w:i/>
          <w:iCs/>
          <w:sz w:val="24"/>
          <w:szCs w:val="24"/>
          <w:lang w:val="en-US"/>
        </w:rPr>
        <w:t>Collective impact 3.0: An evolving framework for community change</w:t>
      </w:r>
      <w:r w:rsidRPr="009E7E9F">
        <w:rPr>
          <w:rFonts w:eastAsia="Times New Roman" w:cstheme="minorHAnsi"/>
          <w:sz w:val="24"/>
          <w:szCs w:val="24"/>
          <w:lang w:val="en-US"/>
        </w:rPr>
        <w:t>. Canada: Tamarack Institute.</w:t>
      </w:r>
    </w:p>
    <w:p w14:paraId="54B94246"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Campbell, D., Pyett, P., &amp; McCarthy, L. (2007). Community development interventions to improve Aboriginal health: Building an evidence base. </w:t>
      </w:r>
      <w:r w:rsidRPr="009E7E9F">
        <w:rPr>
          <w:rFonts w:eastAsia="Times New Roman" w:cstheme="minorHAnsi"/>
          <w:i/>
          <w:iCs/>
          <w:sz w:val="24"/>
          <w:szCs w:val="24"/>
          <w:lang w:val="en-US"/>
        </w:rPr>
        <w:t>Health Sociology Review</w:t>
      </w:r>
      <w:r w:rsidRPr="009E7E9F">
        <w:rPr>
          <w:rFonts w:eastAsia="Times New Roman" w:cstheme="minorHAnsi"/>
          <w:sz w:val="24"/>
          <w:szCs w:val="24"/>
          <w:lang w:val="en-US"/>
        </w:rPr>
        <w:t>,</w:t>
      </w:r>
      <w:r w:rsidRPr="009E7E9F">
        <w:rPr>
          <w:rFonts w:eastAsia="Times New Roman" w:cstheme="minorHAnsi"/>
          <w:i/>
          <w:iCs/>
          <w:sz w:val="24"/>
          <w:szCs w:val="24"/>
          <w:lang w:val="en-US"/>
        </w:rPr>
        <w:t xml:space="preserve"> 16</w:t>
      </w:r>
      <w:r w:rsidRPr="009E7E9F">
        <w:rPr>
          <w:rFonts w:eastAsia="Times New Roman" w:cstheme="minorHAnsi"/>
          <w:sz w:val="24"/>
          <w:szCs w:val="24"/>
          <w:lang w:val="en-US"/>
        </w:rPr>
        <w:t>, 304-314.</w:t>
      </w:r>
    </w:p>
    <w:p w14:paraId="623050BE" w14:textId="6E8A5450"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Christens, B. D., &amp;</w:t>
      </w:r>
      <w:r w:rsidR="00D57365">
        <w:rPr>
          <w:rFonts w:eastAsia="Times New Roman" w:cstheme="minorHAnsi"/>
          <w:sz w:val="24"/>
          <w:szCs w:val="24"/>
          <w:lang w:val="en-US"/>
        </w:rPr>
        <w:t xml:space="preserve"> </w:t>
      </w:r>
      <w:r w:rsidRPr="009E7E9F">
        <w:rPr>
          <w:rFonts w:eastAsia="Times New Roman" w:cstheme="minorHAnsi"/>
          <w:sz w:val="24"/>
          <w:szCs w:val="24"/>
          <w:lang w:val="en-US"/>
        </w:rPr>
        <w:t xml:space="preserve">Inzeo, P. T. (2015). Widening the view: Situating collective impact among frameworks for community-led change. </w:t>
      </w:r>
      <w:r w:rsidRPr="009E7E9F">
        <w:rPr>
          <w:rFonts w:eastAsia="Times New Roman" w:cstheme="minorHAnsi"/>
          <w:i/>
          <w:iCs/>
          <w:sz w:val="24"/>
          <w:szCs w:val="24"/>
          <w:lang w:val="en-US"/>
        </w:rPr>
        <w:t>Community Development</w:t>
      </w:r>
      <w:r w:rsidRPr="009E7E9F">
        <w:rPr>
          <w:rFonts w:eastAsia="Times New Roman" w:cstheme="minorHAnsi"/>
          <w:sz w:val="24"/>
          <w:szCs w:val="24"/>
          <w:lang w:val="en-US"/>
        </w:rPr>
        <w:t>,</w:t>
      </w:r>
      <w:r w:rsidRPr="009E7E9F">
        <w:rPr>
          <w:rFonts w:eastAsia="Times New Roman" w:cstheme="minorHAnsi"/>
          <w:i/>
          <w:iCs/>
          <w:sz w:val="24"/>
          <w:szCs w:val="24"/>
          <w:lang w:val="en-US"/>
        </w:rPr>
        <w:t xml:space="preserve"> 46</w:t>
      </w:r>
      <w:r w:rsidRPr="009E7E9F">
        <w:rPr>
          <w:rFonts w:eastAsia="Times New Roman" w:cstheme="minorHAnsi"/>
          <w:sz w:val="24"/>
          <w:szCs w:val="24"/>
          <w:lang w:val="en-US"/>
        </w:rPr>
        <w:t>(4), 420-435.</w:t>
      </w:r>
    </w:p>
    <w:p w14:paraId="729676A4"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Clarke, H.D., Kellner, P., Stewart, M.C., Twyman, J. and Whiteley, P., 2016. </w:t>
      </w:r>
      <w:r w:rsidRPr="009E7E9F">
        <w:rPr>
          <w:rFonts w:eastAsia="Times New Roman" w:cstheme="minorHAnsi"/>
          <w:i/>
          <w:iCs/>
          <w:sz w:val="24"/>
          <w:szCs w:val="24"/>
          <w:lang w:val="en-US"/>
        </w:rPr>
        <w:t>Austerity and political choice in Britain</w:t>
      </w:r>
      <w:r w:rsidRPr="009E7E9F">
        <w:rPr>
          <w:rFonts w:eastAsia="Times New Roman" w:cstheme="minorHAnsi"/>
          <w:sz w:val="24"/>
          <w:szCs w:val="24"/>
          <w:lang w:val="en-US"/>
        </w:rPr>
        <w:t>. Basingstoke: Palgrave Macmillan.</w:t>
      </w:r>
    </w:p>
    <w:p w14:paraId="115267D1"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Dooris, M., &amp; Heritage, Z. (2013). Healthy cities: Facilitating the active participation and empowerment of local people. </w:t>
      </w:r>
      <w:r w:rsidRPr="009E7E9F">
        <w:rPr>
          <w:rFonts w:eastAsia="Times New Roman" w:cstheme="minorHAnsi"/>
          <w:i/>
          <w:iCs/>
          <w:sz w:val="24"/>
          <w:szCs w:val="24"/>
          <w:lang w:val="en-US"/>
        </w:rPr>
        <w:t>Journal of Urban Health</w:t>
      </w:r>
      <w:r w:rsidRPr="009E7E9F">
        <w:rPr>
          <w:rFonts w:eastAsia="Times New Roman" w:cstheme="minorHAnsi"/>
          <w:sz w:val="24"/>
          <w:szCs w:val="24"/>
          <w:lang w:val="en-US"/>
        </w:rPr>
        <w:t xml:space="preserve">, </w:t>
      </w:r>
      <w:r w:rsidRPr="009E7E9F">
        <w:rPr>
          <w:rFonts w:eastAsia="Times New Roman" w:cstheme="minorHAnsi"/>
          <w:i/>
          <w:iCs/>
          <w:sz w:val="24"/>
          <w:szCs w:val="24"/>
          <w:lang w:val="en-US"/>
        </w:rPr>
        <w:t>90</w:t>
      </w:r>
      <w:r w:rsidRPr="009E7E9F">
        <w:rPr>
          <w:rFonts w:eastAsia="Times New Roman" w:cstheme="minorHAnsi"/>
          <w:sz w:val="24"/>
          <w:szCs w:val="24"/>
          <w:lang w:val="en-US"/>
        </w:rPr>
        <w:t>(1), 74-91.</w:t>
      </w:r>
    </w:p>
    <w:p w14:paraId="216588AE"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Gilchrist, A. (2003). Community development in the UK — possibilities and paradoxes. </w:t>
      </w:r>
      <w:r w:rsidRPr="009E7E9F">
        <w:rPr>
          <w:rFonts w:eastAsia="Times New Roman" w:cstheme="minorHAnsi"/>
          <w:i/>
          <w:iCs/>
          <w:sz w:val="24"/>
          <w:szCs w:val="24"/>
          <w:lang w:val="en-US"/>
        </w:rPr>
        <w:t>Community Development Journal</w:t>
      </w:r>
      <w:r w:rsidRPr="009E7E9F">
        <w:rPr>
          <w:rFonts w:eastAsia="Times New Roman" w:cstheme="minorHAnsi"/>
          <w:sz w:val="24"/>
          <w:szCs w:val="24"/>
          <w:lang w:val="en-US"/>
        </w:rPr>
        <w:t xml:space="preserve">, [online] 38(1), pp.16–25. Available at: </w:t>
      </w:r>
      <w:hyperlink r:id="rId8">
        <w:r w:rsidRPr="00605E63">
          <w:rPr>
            <w:rStyle w:val="Hyperlink"/>
            <w:rFonts w:eastAsia="Times New Roman" w:cstheme="minorHAnsi"/>
            <w:color w:val="auto"/>
            <w:sz w:val="24"/>
            <w:szCs w:val="24"/>
            <w:u w:val="none"/>
            <w:lang w:val="en-US"/>
          </w:rPr>
          <w:t>https://www.jstor.org/stable/44257723</w:t>
        </w:r>
      </w:hyperlink>
      <w:r w:rsidRPr="00605E63">
        <w:rPr>
          <w:rFonts w:eastAsia="Times New Roman" w:cstheme="minorHAnsi"/>
          <w:sz w:val="24"/>
          <w:szCs w:val="24"/>
          <w:lang w:val="en-US"/>
        </w:rPr>
        <w:t>.</w:t>
      </w:r>
    </w:p>
    <w:p w14:paraId="4F394730"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Higgins, D. J. (2010). </w:t>
      </w:r>
      <w:r w:rsidRPr="009E7E9F">
        <w:rPr>
          <w:rFonts w:eastAsia="Times New Roman" w:cstheme="minorHAnsi"/>
          <w:i/>
          <w:iCs/>
          <w:sz w:val="24"/>
          <w:szCs w:val="24"/>
          <w:lang w:val="en-US"/>
        </w:rPr>
        <w:t>Community development approaches to safety and wellbeing of Indigenous children.</w:t>
      </w:r>
      <w:r w:rsidRPr="009E7E9F">
        <w:rPr>
          <w:rFonts w:eastAsia="Times New Roman" w:cstheme="minorHAnsi"/>
          <w:sz w:val="24"/>
          <w:szCs w:val="24"/>
          <w:lang w:val="en-US"/>
        </w:rPr>
        <w:t xml:space="preserve"> Closing the Gap Clearinghouse. Canberra &amp; Melbourne: Australian Institute of Health and Welfare &amp; Australian Institute of Family Studies.</w:t>
      </w:r>
    </w:p>
    <w:p w14:paraId="636CDD51" w14:textId="3B17A1D1"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Ife, J. (2016). </w:t>
      </w:r>
      <w:r w:rsidRPr="009E7E9F">
        <w:rPr>
          <w:rFonts w:eastAsia="Times New Roman" w:cstheme="minorHAnsi"/>
          <w:i/>
          <w:iCs/>
          <w:sz w:val="24"/>
          <w:szCs w:val="24"/>
          <w:lang w:val="en-US"/>
        </w:rPr>
        <w:t xml:space="preserve">Community development in an uncertain world: Vision, </w:t>
      </w:r>
      <w:r w:rsidR="00605E63" w:rsidRPr="009E7E9F">
        <w:rPr>
          <w:rFonts w:eastAsia="Times New Roman" w:cstheme="minorHAnsi"/>
          <w:i/>
          <w:iCs/>
          <w:sz w:val="24"/>
          <w:szCs w:val="24"/>
          <w:lang w:val="en-US"/>
        </w:rPr>
        <w:t>analysis,</w:t>
      </w:r>
      <w:r w:rsidRPr="009E7E9F">
        <w:rPr>
          <w:rFonts w:eastAsia="Times New Roman" w:cstheme="minorHAnsi"/>
          <w:i/>
          <w:iCs/>
          <w:sz w:val="24"/>
          <w:szCs w:val="24"/>
          <w:lang w:val="en-US"/>
        </w:rPr>
        <w:t xml:space="preserve"> and practice </w:t>
      </w:r>
      <w:r w:rsidRPr="009E7E9F">
        <w:rPr>
          <w:rFonts w:eastAsia="Times New Roman" w:cstheme="minorHAnsi"/>
          <w:sz w:val="24"/>
          <w:szCs w:val="24"/>
          <w:lang w:val="en-US"/>
        </w:rPr>
        <w:t>(2nd ed.). Port Melbourne: Cambridge University Press.</w:t>
      </w:r>
    </w:p>
    <w:p w14:paraId="6273674E"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Kania, J., &amp; Kramer, M. (2011). Collective Impact. </w:t>
      </w:r>
      <w:r w:rsidRPr="009E7E9F">
        <w:rPr>
          <w:rFonts w:eastAsia="Times New Roman" w:cstheme="minorHAnsi"/>
          <w:i/>
          <w:iCs/>
          <w:sz w:val="24"/>
          <w:szCs w:val="24"/>
          <w:lang w:val="en-US"/>
        </w:rPr>
        <w:t>Stanford Social Innovation Review</w:t>
      </w:r>
      <w:r w:rsidRPr="009E7E9F">
        <w:rPr>
          <w:rFonts w:eastAsia="Times New Roman" w:cstheme="minorHAnsi"/>
          <w:sz w:val="24"/>
          <w:szCs w:val="24"/>
          <w:lang w:val="en-US"/>
        </w:rPr>
        <w:t>,</w:t>
      </w:r>
      <w:r w:rsidRPr="009E7E9F">
        <w:rPr>
          <w:rFonts w:eastAsia="Times New Roman" w:cstheme="minorHAnsi"/>
          <w:i/>
          <w:iCs/>
          <w:sz w:val="24"/>
          <w:szCs w:val="24"/>
          <w:lang w:val="en-US"/>
        </w:rPr>
        <w:t xml:space="preserve"> Winter</w:t>
      </w:r>
      <w:r w:rsidRPr="009E7E9F">
        <w:rPr>
          <w:rFonts w:eastAsia="Times New Roman" w:cstheme="minorHAnsi"/>
          <w:sz w:val="24"/>
          <w:szCs w:val="24"/>
          <w:lang w:val="en-US"/>
        </w:rPr>
        <w:t>, 36-41.</w:t>
      </w:r>
    </w:p>
    <w:p w14:paraId="004F1759"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lastRenderedPageBreak/>
        <w:t xml:space="preserve">Kenny, S. (2007). </w:t>
      </w:r>
      <w:r w:rsidRPr="009E7E9F">
        <w:rPr>
          <w:rFonts w:eastAsia="Times New Roman" w:cstheme="minorHAnsi"/>
          <w:i/>
          <w:iCs/>
          <w:sz w:val="24"/>
          <w:szCs w:val="24"/>
          <w:lang w:val="en-US"/>
        </w:rPr>
        <w:t>Developing Communities for the Future</w:t>
      </w:r>
      <w:r w:rsidRPr="009E7E9F">
        <w:rPr>
          <w:rFonts w:eastAsia="Times New Roman" w:cstheme="minorHAnsi"/>
          <w:sz w:val="24"/>
          <w:szCs w:val="24"/>
          <w:lang w:val="en-US"/>
        </w:rPr>
        <w:t xml:space="preserve"> (3rd ed.). South Melbourne: Thompson</w:t>
      </w:r>
    </w:p>
    <w:p w14:paraId="753F560B"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Kretzman, J. P., &amp; McKnight, J. L. (2005) </w:t>
      </w:r>
      <w:r w:rsidRPr="009E7E9F">
        <w:rPr>
          <w:rFonts w:eastAsia="Times New Roman" w:cstheme="minorHAnsi"/>
          <w:i/>
          <w:iCs/>
          <w:sz w:val="24"/>
          <w:szCs w:val="24"/>
          <w:lang w:val="en-US"/>
        </w:rPr>
        <w:t>Discovering community power: A guide to mobilizing local assets and your organization's capacity.</w:t>
      </w:r>
      <w:r w:rsidRPr="009E7E9F">
        <w:rPr>
          <w:rFonts w:eastAsia="Times New Roman" w:cstheme="minorHAnsi"/>
          <w:sz w:val="24"/>
          <w:szCs w:val="24"/>
          <w:lang w:val="en-US"/>
        </w:rPr>
        <w:t xml:space="preserve"> Illinois: ABCD Institute.</w:t>
      </w:r>
    </w:p>
    <w:p w14:paraId="19D4E45A"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Labonte, R. (1999). Community, community development and the forming of authentic partnerships: Some critical reflections. In M. Minkler (Ed.), </w:t>
      </w:r>
      <w:r w:rsidRPr="009E7E9F">
        <w:rPr>
          <w:rFonts w:eastAsia="Times New Roman" w:cstheme="minorHAnsi"/>
          <w:i/>
          <w:iCs/>
          <w:sz w:val="24"/>
          <w:szCs w:val="24"/>
          <w:lang w:val="en-US"/>
        </w:rPr>
        <w:t>Community Organising and Community Building for Health</w:t>
      </w:r>
      <w:r w:rsidRPr="009E7E9F">
        <w:rPr>
          <w:rFonts w:eastAsia="Times New Roman" w:cstheme="minorHAnsi"/>
          <w:sz w:val="24"/>
          <w:szCs w:val="24"/>
          <w:lang w:val="en-US"/>
        </w:rPr>
        <w:t>. New Brunswick: Rutgers University Press.</w:t>
      </w:r>
    </w:p>
    <w:p w14:paraId="17491868"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Ledwith, M., 2020. </w:t>
      </w:r>
      <w:r w:rsidRPr="009E7E9F">
        <w:rPr>
          <w:rFonts w:eastAsia="Times New Roman" w:cstheme="minorHAnsi"/>
          <w:i/>
          <w:iCs/>
          <w:sz w:val="24"/>
          <w:szCs w:val="24"/>
          <w:lang w:val="en-US"/>
        </w:rPr>
        <w:t>Community development: A critical approach</w:t>
      </w:r>
      <w:r w:rsidRPr="009E7E9F">
        <w:rPr>
          <w:rFonts w:eastAsia="Times New Roman" w:cstheme="minorHAnsi"/>
          <w:sz w:val="24"/>
          <w:szCs w:val="24"/>
          <w:lang w:val="en-US"/>
        </w:rPr>
        <w:t>. Policy Press.</w:t>
      </w:r>
    </w:p>
    <w:p w14:paraId="6A39FABC"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McDonald, M. (2011). </w:t>
      </w:r>
      <w:r w:rsidRPr="009E7E9F">
        <w:rPr>
          <w:rFonts w:eastAsia="Times New Roman" w:cstheme="minorHAnsi"/>
          <w:i/>
          <w:iCs/>
          <w:sz w:val="24"/>
          <w:szCs w:val="24"/>
          <w:lang w:val="en-US"/>
        </w:rPr>
        <w:t>What role can child and family services play in enhancing opportunities for parents and families: Exploring the concepts of social exclusion and social inclusion</w:t>
      </w:r>
      <w:r w:rsidRPr="009E7E9F">
        <w:rPr>
          <w:rFonts w:eastAsia="Times New Roman" w:cstheme="minorHAnsi"/>
          <w:sz w:val="24"/>
          <w:szCs w:val="24"/>
          <w:lang w:val="en-US"/>
        </w:rPr>
        <w:t>. Melbourne: Australian Institute of Family Studies.</w:t>
      </w:r>
    </w:p>
    <w:p w14:paraId="4D54FDE6"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Miles, R., 2004. </w:t>
      </w:r>
      <w:r w:rsidRPr="009E7E9F">
        <w:rPr>
          <w:rFonts w:eastAsia="Times New Roman" w:cstheme="minorHAnsi"/>
          <w:i/>
          <w:iCs/>
          <w:sz w:val="24"/>
          <w:szCs w:val="24"/>
          <w:lang w:val="en-US"/>
        </w:rPr>
        <w:t>Racism</w:t>
      </w:r>
      <w:r w:rsidRPr="009E7E9F">
        <w:rPr>
          <w:rFonts w:eastAsia="Times New Roman" w:cstheme="minorHAnsi"/>
          <w:sz w:val="24"/>
          <w:szCs w:val="24"/>
          <w:lang w:val="en-US"/>
        </w:rPr>
        <w:t>. Routledge.</w:t>
      </w:r>
    </w:p>
    <w:p w14:paraId="509D4735" w14:textId="77777777" w:rsidR="00C70995" w:rsidRPr="009E7E9F" w:rsidRDefault="00C70995" w:rsidP="005835BE">
      <w:pPr>
        <w:pStyle w:val="ListParagraph"/>
        <w:numPr>
          <w:ilvl w:val="0"/>
          <w:numId w:val="1"/>
        </w:numPr>
        <w:spacing w:line="360" w:lineRule="auto"/>
        <w:rPr>
          <w:rFonts w:eastAsia="Times New Roman" w:cstheme="minorHAnsi"/>
          <w:sz w:val="24"/>
          <w:szCs w:val="24"/>
          <w:lang w:val="en-US"/>
        </w:rPr>
      </w:pPr>
      <w:r w:rsidRPr="009E7E9F">
        <w:rPr>
          <w:rFonts w:eastAsia="Times New Roman" w:cstheme="minorHAnsi"/>
          <w:sz w:val="24"/>
          <w:szCs w:val="24"/>
          <w:lang w:val="en-US"/>
        </w:rPr>
        <w:t xml:space="preserve">Phillips, R. and Pittman, R., 2008. </w:t>
      </w:r>
      <w:r w:rsidRPr="009E7E9F">
        <w:rPr>
          <w:rFonts w:eastAsia="Times New Roman" w:cstheme="minorHAnsi"/>
          <w:i/>
          <w:iCs/>
          <w:sz w:val="24"/>
          <w:szCs w:val="24"/>
          <w:lang w:val="en-US"/>
        </w:rPr>
        <w:t>An introduction to community development</w:t>
      </w:r>
      <w:r w:rsidRPr="009E7E9F">
        <w:rPr>
          <w:rFonts w:eastAsia="Times New Roman" w:cstheme="minorHAnsi"/>
          <w:sz w:val="24"/>
          <w:szCs w:val="24"/>
          <w:lang w:val="en-US"/>
        </w:rPr>
        <w:t>. Routledge.</w:t>
      </w:r>
    </w:p>
    <w:p w14:paraId="3CC19040"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Price-Robertson, R. (2011). </w:t>
      </w:r>
      <w:r w:rsidRPr="009E7E9F">
        <w:rPr>
          <w:rFonts w:eastAsia="Times New Roman" w:cstheme="minorHAnsi"/>
          <w:i/>
          <w:iCs/>
          <w:sz w:val="24"/>
          <w:szCs w:val="24"/>
          <w:lang w:val="en-US"/>
        </w:rPr>
        <w:t>What is community disadvantage? Understanding the issues, overcoming the problem</w:t>
      </w:r>
      <w:r w:rsidRPr="009E7E9F">
        <w:rPr>
          <w:rFonts w:eastAsia="Times New Roman" w:cstheme="minorHAnsi"/>
          <w:sz w:val="24"/>
          <w:szCs w:val="24"/>
          <w:lang w:val="en-US"/>
        </w:rPr>
        <w:t>. Melbourne: Australian Institute of Family Studies.</w:t>
      </w:r>
    </w:p>
    <w:p w14:paraId="68C7B27A" w14:textId="77777777" w:rsidR="00C70995" w:rsidRPr="009E7E9F" w:rsidRDefault="00C70995" w:rsidP="005835BE">
      <w:pPr>
        <w:pStyle w:val="ListParagraph"/>
        <w:numPr>
          <w:ilvl w:val="0"/>
          <w:numId w:val="1"/>
        </w:numPr>
        <w:spacing w:line="360" w:lineRule="auto"/>
        <w:rPr>
          <w:rFonts w:eastAsia="Times New Roman" w:cstheme="minorHAnsi"/>
          <w:sz w:val="24"/>
          <w:szCs w:val="24"/>
        </w:rPr>
      </w:pPr>
      <w:r w:rsidRPr="009E7E9F">
        <w:rPr>
          <w:rFonts w:eastAsia="Times New Roman" w:cstheme="minorHAnsi"/>
          <w:sz w:val="24"/>
          <w:szCs w:val="24"/>
          <w:lang w:val="en-US"/>
        </w:rPr>
        <w:t xml:space="preserve">Wallerstein, N. (2006). </w:t>
      </w:r>
      <w:r w:rsidRPr="009E7E9F">
        <w:rPr>
          <w:rFonts w:eastAsia="Times New Roman" w:cstheme="minorHAnsi"/>
          <w:i/>
          <w:iCs/>
          <w:sz w:val="24"/>
          <w:szCs w:val="24"/>
          <w:lang w:val="en-US"/>
        </w:rPr>
        <w:t>What is the evidence on effectiveness of empowerment to improve health?</w:t>
      </w:r>
      <w:r w:rsidRPr="009E7E9F">
        <w:rPr>
          <w:rFonts w:eastAsia="Times New Roman" w:cstheme="minorHAnsi"/>
          <w:sz w:val="24"/>
          <w:szCs w:val="24"/>
          <w:lang w:val="en-US"/>
        </w:rPr>
        <w:t xml:space="preserve"> Copenhagen: World Health Organization.</w:t>
      </w:r>
    </w:p>
    <w:p w14:paraId="5016DA3F" w14:textId="77777777" w:rsidR="3C42F9B3" w:rsidRPr="009E7E9F" w:rsidRDefault="3C42F9B3" w:rsidP="005835BE">
      <w:pPr>
        <w:spacing w:line="360" w:lineRule="auto"/>
        <w:rPr>
          <w:rFonts w:eastAsia="Times New Roman" w:cstheme="minorHAnsi"/>
          <w:sz w:val="24"/>
          <w:szCs w:val="24"/>
        </w:rPr>
      </w:pPr>
    </w:p>
    <w:p w14:paraId="17BF7A42" w14:textId="77777777" w:rsidR="3C42F9B3" w:rsidRPr="009E7E9F" w:rsidRDefault="3C42F9B3" w:rsidP="005835BE">
      <w:pPr>
        <w:spacing w:line="360" w:lineRule="auto"/>
        <w:rPr>
          <w:rFonts w:eastAsia="Times New Roman" w:cstheme="minorHAnsi"/>
          <w:sz w:val="24"/>
          <w:szCs w:val="24"/>
        </w:rPr>
      </w:pPr>
    </w:p>
    <w:sectPr w:rsidR="3C42F9B3" w:rsidRPr="009E7E9F" w:rsidSect="004C589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FFDC8" w14:textId="77777777" w:rsidR="00E17F35" w:rsidRDefault="00E17F35" w:rsidP="00AA4F52">
      <w:pPr>
        <w:spacing w:after="0" w:line="240" w:lineRule="auto"/>
      </w:pPr>
      <w:r>
        <w:separator/>
      </w:r>
    </w:p>
  </w:endnote>
  <w:endnote w:type="continuationSeparator" w:id="0">
    <w:p w14:paraId="6ADAC8C0" w14:textId="77777777" w:rsidR="00E17F35" w:rsidRDefault="00E17F35" w:rsidP="00AA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47719"/>
      <w:docPartObj>
        <w:docPartGallery w:val="Page Numbers (Bottom of Page)"/>
        <w:docPartUnique/>
      </w:docPartObj>
    </w:sdtPr>
    <w:sdtEndPr/>
    <w:sdtContent>
      <w:p w14:paraId="3816FE8C" w14:textId="77777777" w:rsidR="00AA4F52" w:rsidRDefault="006E7FBC">
        <w:pPr>
          <w:pStyle w:val="Footer"/>
          <w:jc w:val="center"/>
        </w:pPr>
        <w:r>
          <w:fldChar w:fldCharType="begin"/>
        </w:r>
        <w:r>
          <w:instrText xml:space="preserve"> PAGE   \* MERGEFORMAT </w:instrText>
        </w:r>
        <w:r>
          <w:fldChar w:fldCharType="separate"/>
        </w:r>
        <w:r w:rsidR="00C70995">
          <w:rPr>
            <w:noProof/>
          </w:rPr>
          <w:t>9</w:t>
        </w:r>
        <w:r>
          <w:rPr>
            <w:noProof/>
          </w:rPr>
          <w:fldChar w:fldCharType="end"/>
        </w:r>
      </w:p>
    </w:sdtContent>
  </w:sdt>
  <w:p w14:paraId="65300DBC" w14:textId="77777777" w:rsidR="00AA4F52" w:rsidRDefault="00AA4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7D040" w14:textId="77777777" w:rsidR="00E17F35" w:rsidRDefault="00E17F35" w:rsidP="00AA4F52">
      <w:pPr>
        <w:spacing w:after="0" w:line="240" w:lineRule="auto"/>
      </w:pPr>
      <w:r>
        <w:separator/>
      </w:r>
    </w:p>
  </w:footnote>
  <w:footnote w:type="continuationSeparator" w:id="0">
    <w:p w14:paraId="5E67672A" w14:textId="77777777" w:rsidR="00E17F35" w:rsidRDefault="00E17F35" w:rsidP="00AA4F5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qSXT1B2n19COf" int2:id="pNTzJENE">
      <int2:state int2:value="Rejected" int2:type="LegacyProofing"/>
    </int2:textHash>
    <int2:bookmark int2:bookmarkName="_Int_5qPE0FQi" int2:invalidationBookmarkName="" int2:hashCode="yzTipuc7IIhEGQ" int2:id="IHEN1UQr">
      <int2:state int2:value="Rejected" int2:type="LegacyProofing"/>
    </int2:bookmark>
    <int2:bookmark int2:bookmarkName="_Int_Nu4aBIg9" int2:invalidationBookmarkName="" int2:hashCode="Dvj+hORBXaM3mO" int2:id="QEhvSpxR">
      <int2:state int2:value="Rejected" int2:type="LegacyProofing"/>
    </int2:bookmark>
    <int2:bookmark int2:bookmarkName="_Int_ciMwN9Ek" int2:invalidationBookmarkName="" int2:hashCode="O5kmEhgwu0yuom" int2:id="yLNpCrZs">
      <int2:state int2:value="Rejected" int2:type="LegacyProofing"/>
    </int2:bookmark>
    <int2:bookmark int2:bookmarkName="_Int_BGeowpiB" int2:invalidationBookmarkName="" int2:hashCode="Yy6RHq78PCJ1KI" int2:id="w4RKLj9m">
      <int2:state int2:value="Rejected" int2:type="LegacyProofing"/>
    </int2:bookmark>
    <int2:bookmark int2:bookmarkName="_Int_daNehyn1" int2:invalidationBookmarkName="" int2:hashCode="TWjI8TRZwO20BQ" int2:id="4bGFxux3">
      <int2:state int2:value="Rejected" int2:type="LegacyProofing"/>
    </int2:bookmark>
    <int2:bookmark int2:bookmarkName="_Int_EGZoslw6" int2:invalidationBookmarkName="" int2:hashCode="jT6lEszJbPJUsb" int2:id="cfqiqCHH">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503AA"/>
    <w:multiLevelType w:val="hybridMultilevel"/>
    <w:tmpl w:val="6B04D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0163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EB0F1BA"/>
    <w:rsid w:val="00030DB0"/>
    <w:rsid w:val="000B364E"/>
    <w:rsid w:val="00116FF3"/>
    <w:rsid w:val="001B1AFF"/>
    <w:rsid w:val="001D014A"/>
    <w:rsid w:val="0027768D"/>
    <w:rsid w:val="00277BEB"/>
    <w:rsid w:val="00284DAC"/>
    <w:rsid w:val="002A50B0"/>
    <w:rsid w:val="002E1802"/>
    <w:rsid w:val="003F097D"/>
    <w:rsid w:val="004C5891"/>
    <w:rsid w:val="00545AA7"/>
    <w:rsid w:val="00562392"/>
    <w:rsid w:val="005835BE"/>
    <w:rsid w:val="005B2CCD"/>
    <w:rsid w:val="00605E63"/>
    <w:rsid w:val="0062090D"/>
    <w:rsid w:val="00622F91"/>
    <w:rsid w:val="00782B0A"/>
    <w:rsid w:val="007A3ED5"/>
    <w:rsid w:val="008B7455"/>
    <w:rsid w:val="008E5A7D"/>
    <w:rsid w:val="008F0CF2"/>
    <w:rsid w:val="00985B60"/>
    <w:rsid w:val="009E41C0"/>
    <w:rsid w:val="009E760D"/>
    <w:rsid w:val="009E7E9F"/>
    <w:rsid w:val="00A70080"/>
    <w:rsid w:val="00A765F1"/>
    <w:rsid w:val="00A827EA"/>
    <w:rsid w:val="00AA4F52"/>
    <w:rsid w:val="00AA7708"/>
    <w:rsid w:val="00B52743"/>
    <w:rsid w:val="00B57C9C"/>
    <w:rsid w:val="00C026E0"/>
    <w:rsid w:val="00C54B09"/>
    <w:rsid w:val="00C70995"/>
    <w:rsid w:val="00C74060"/>
    <w:rsid w:val="00D01FB3"/>
    <w:rsid w:val="00D05D05"/>
    <w:rsid w:val="00D57365"/>
    <w:rsid w:val="00DC6587"/>
    <w:rsid w:val="00DF7220"/>
    <w:rsid w:val="00E17F35"/>
    <w:rsid w:val="00E27417"/>
    <w:rsid w:val="00EC26A2"/>
    <w:rsid w:val="00F56BFE"/>
    <w:rsid w:val="00FA5B99"/>
    <w:rsid w:val="0DE24B09"/>
    <w:rsid w:val="1EB0F1BA"/>
    <w:rsid w:val="3C42F9B3"/>
    <w:rsid w:val="6927F9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9500"/>
  <w15:docId w15:val="{2ACE30B6-F71C-434F-98DC-3FDCC9ADA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DE24B09"/>
    <w:rPr>
      <w:lang w:val="en-GB"/>
    </w:rPr>
  </w:style>
  <w:style w:type="paragraph" w:styleId="Heading1">
    <w:name w:val="heading 1"/>
    <w:basedOn w:val="Normal"/>
    <w:next w:val="Normal"/>
    <w:link w:val="Heading1Char"/>
    <w:uiPriority w:val="9"/>
    <w:qFormat/>
    <w:rsid w:val="0DE24B0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DE24B0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DE24B0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DE24B0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DE24B0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DE24B0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DE24B0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DE24B0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DE24B0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DE24B0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DE24B09"/>
    <w:rPr>
      <w:rFonts w:eastAsiaTheme="minorEastAsia"/>
      <w:color w:val="5A5A5A"/>
    </w:rPr>
  </w:style>
  <w:style w:type="paragraph" w:styleId="Quote">
    <w:name w:val="Quote"/>
    <w:basedOn w:val="Normal"/>
    <w:next w:val="Normal"/>
    <w:link w:val="QuoteChar"/>
    <w:uiPriority w:val="29"/>
    <w:qFormat/>
    <w:rsid w:val="0DE24B0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DE24B09"/>
    <w:pPr>
      <w:spacing w:before="360" w:after="360"/>
      <w:ind w:left="864" w:right="864"/>
      <w:jc w:val="center"/>
    </w:pPr>
    <w:rPr>
      <w:i/>
      <w:iCs/>
      <w:color w:val="4472C4" w:themeColor="accent1"/>
    </w:rPr>
  </w:style>
  <w:style w:type="paragraph" w:styleId="ListParagraph">
    <w:name w:val="List Paragraph"/>
    <w:basedOn w:val="Normal"/>
    <w:uiPriority w:val="34"/>
    <w:qFormat/>
    <w:rsid w:val="0DE24B09"/>
    <w:pPr>
      <w:ind w:left="720"/>
      <w:contextualSpacing/>
    </w:pPr>
  </w:style>
  <w:style w:type="character" w:customStyle="1" w:styleId="Heading1Char">
    <w:name w:val="Heading 1 Char"/>
    <w:basedOn w:val="DefaultParagraphFont"/>
    <w:link w:val="Heading1"/>
    <w:uiPriority w:val="9"/>
    <w:rsid w:val="0DE24B0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DE24B0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DE24B0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DE24B0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DE24B0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DE24B0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DE24B0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DE24B0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DE24B0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DE24B0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DE24B0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DE24B0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DE24B09"/>
    <w:rPr>
      <w:i/>
      <w:iCs/>
      <w:noProof w:val="0"/>
      <w:color w:val="4472C4" w:themeColor="accent1"/>
      <w:lang w:val="en-GB"/>
    </w:rPr>
  </w:style>
  <w:style w:type="paragraph" w:styleId="TOC1">
    <w:name w:val="toc 1"/>
    <w:basedOn w:val="Normal"/>
    <w:next w:val="Normal"/>
    <w:uiPriority w:val="39"/>
    <w:unhideWhenUsed/>
    <w:rsid w:val="0DE24B09"/>
    <w:pPr>
      <w:spacing w:after="100"/>
    </w:pPr>
  </w:style>
  <w:style w:type="paragraph" w:styleId="TOC2">
    <w:name w:val="toc 2"/>
    <w:basedOn w:val="Normal"/>
    <w:next w:val="Normal"/>
    <w:uiPriority w:val="39"/>
    <w:unhideWhenUsed/>
    <w:rsid w:val="0DE24B09"/>
    <w:pPr>
      <w:spacing w:after="100"/>
      <w:ind w:left="220"/>
    </w:pPr>
  </w:style>
  <w:style w:type="paragraph" w:styleId="TOC3">
    <w:name w:val="toc 3"/>
    <w:basedOn w:val="Normal"/>
    <w:next w:val="Normal"/>
    <w:uiPriority w:val="39"/>
    <w:unhideWhenUsed/>
    <w:rsid w:val="0DE24B09"/>
    <w:pPr>
      <w:spacing w:after="100"/>
      <w:ind w:left="440"/>
    </w:pPr>
  </w:style>
  <w:style w:type="paragraph" w:styleId="TOC4">
    <w:name w:val="toc 4"/>
    <w:basedOn w:val="Normal"/>
    <w:next w:val="Normal"/>
    <w:uiPriority w:val="39"/>
    <w:unhideWhenUsed/>
    <w:rsid w:val="0DE24B09"/>
    <w:pPr>
      <w:spacing w:after="100"/>
      <w:ind w:left="660"/>
    </w:pPr>
  </w:style>
  <w:style w:type="paragraph" w:styleId="TOC5">
    <w:name w:val="toc 5"/>
    <w:basedOn w:val="Normal"/>
    <w:next w:val="Normal"/>
    <w:uiPriority w:val="39"/>
    <w:unhideWhenUsed/>
    <w:rsid w:val="0DE24B09"/>
    <w:pPr>
      <w:spacing w:after="100"/>
      <w:ind w:left="880"/>
    </w:pPr>
  </w:style>
  <w:style w:type="paragraph" w:styleId="TOC6">
    <w:name w:val="toc 6"/>
    <w:basedOn w:val="Normal"/>
    <w:next w:val="Normal"/>
    <w:uiPriority w:val="39"/>
    <w:unhideWhenUsed/>
    <w:rsid w:val="0DE24B09"/>
    <w:pPr>
      <w:spacing w:after="100"/>
      <w:ind w:left="1100"/>
    </w:pPr>
  </w:style>
  <w:style w:type="paragraph" w:styleId="TOC7">
    <w:name w:val="toc 7"/>
    <w:basedOn w:val="Normal"/>
    <w:next w:val="Normal"/>
    <w:uiPriority w:val="39"/>
    <w:unhideWhenUsed/>
    <w:rsid w:val="0DE24B09"/>
    <w:pPr>
      <w:spacing w:after="100"/>
      <w:ind w:left="1320"/>
    </w:pPr>
  </w:style>
  <w:style w:type="paragraph" w:styleId="TOC8">
    <w:name w:val="toc 8"/>
    <w:basedOn w:val="Normal"/>
    <w:next w:val="Normal"/>
    <w:uiPriority w:val="39"/>
    <w:unhideWhenUsed/>
    <w:rsid w:val="0DE24B09"/>
    <w:pPr>
      <w:spacing w:after="100"/>
      <w:ind w:left="1540"/>
    </w:pPr>
  </w:style>
  <w:style w:type="paragraph" w:styleId="TOC9">
    <w:name w:val="toc 9"/>
    <w:basedOn w:val="Normal"/>
    <w:next w:val="Normal"/>
    <w:uiPriority w:val="39"/>
    <w:unhideWhenUsed/>
    <w:rsid w:val="0DE24B09"/>
    <w:pPr>
      <w:spacing w:after="100"/>
      <w:ind w:left="1760"/>
    </w:pPr>
  </w:style>
  <w:style w:type="paragraph" w:styleId="EndnoteText">
    <w:name w:val="endnote text"/>
    <w:basedOn w:val="Normal"/>
    <w:link w:val="EndnoteTextChar"/>
    <w:uiPriority w:val="99"/>
    <w:semiHidden/>
    <w:unhideWhenUsed/>
    <w:rsid w:val="0DE24B09"/>
    <w:pPr>
      <w:spacing w:after="0"/>
    </w:pPr>
    <w:rPr>
      <w:sz w:val="20"/>
      <w:szCs w:val="20"/>
    </w:rPr>
  </w:style>
  <w:style w:type="character" w:customStyle="1" w:styleId="EndnoteTextChar">
    <w:name w:val="Endnote Text Char"/>
    <w:basedOn w:val="DefaultParagraphFont"/>
    <w:link w:val="EndnoteText"/>
    <w:uiPriority w:val="99"/>
    <w:semiHidden/>
    <w:rsid w:val="0DE24B09"/>
    <w:rPr>
      <w:noProof w:val="0"/>
      <w:sz w:val="20"/>
      <w:szCs w:val="20"/>
      <w:lang w:val="en-GB"/>
    </w:rPr>
  </w:style>
  <w:style w:type="paragraph" w:styleId="Footer">
    <w:name w:val="footer"/>
    <w:basedOn w:val="Normal"/>
    <w:link w:val="FooterChar"/>
    <w:uiPriority w:val="99"/>
    <w:unhideWhenUsed/>
    <w:rsid w:val="0DE24B09"/>
    <w:pPr>
      <w:tabs>
        <w:tab w:val="center" w:pos="4680"/>
        <w:tab w:val="right" w:pos="9360"/>
      </w:tabs>
      <w:spacing w:after="0"/>
    </w:pPr>
  </w:style>
  <w:style w:type="character" w:customStyle="1" w:styleId="FooterChar">
    <w:name w:val="Footer Char"/>
    <w:basedOn w:val="DefaultParagraphFont"/>
    <w:link w:val="Footer"/>
    <w:uiPriority w:val="99"/>
    <w:rsid w:val="0DE24B09"/>
    <w:rPr>
      <w:noProof w:val="0"/>
      <w:lang w:val="en-GB"/>
    </w:rPr>
  </w:style>
  <w:style w:type="paragraph" w:styleId="FootnoteText">
    <w:name w:val="footnote text"/>
    <w:basedOn w:val="Normal"/>
    <w:link w:val="FootnoteTextChar"/>
    <w:uiPriority w:val="99"/>
    <w:semiHidden/>
    <w:unhideWhenUsed/>
    <w:rsid w:val="0DE24B09"/>
    <w:pPr>
      <w:spacing w:after="0"/>
    </w:pPr>
    <w:rPr>
      <w:sz w:val="20"/>
      <w:szCs w:val="20"/>
    </w:rPr>
  </w:style>
  <w:style w:type="character" w:customStyle="1" w:styleId="FootnoteTextChar">
    <w:name w:val="Footnote Text Char"/>
    <w:basedOn w:val="DefaultParagraphFont"/>
    <w:link w:val="FootnoteText"/>
    <w:uiPriority w:val="99"/>
    <w:semiHidden/>
    <w:rsid w:val="0DE24B09"/>
    <w:rPr>
      <w:noProof w:val="0"/>
      <w:sz w:val="20"/>
      <w:szCs w:val="20"/>
      <w:lang w:val="en-GB"/>
    </w:rPr>
  </w:style>
  <w:style w:type="paragraph" w:styleId="Header">
    <w:name w:val="header"/>
    <w:basedOn w:val="Normal"/>
    <w:link w:val="HeaderChar"/>
    <w:uiPriority w:val="99"/>
    <w:unhideWhenUsed/>
    <w:rsid w:val="0DE24B09"/>
    <w:pPr>
      <w:tabs>
        <w:tab w:val="center" w:pos="4680"/>
        <w:tab w:val="right" w:pos="9360"/>
      </w:tabs>
      <w:spacing w:after="0"/>
    </w:pPr>
  </w:style>
  <w:style w:type="character" w:customStyle="1" w:styleId="HeaderChar">
    <w:name w:val="Header Char"/>
    <w:basedOn w:val="DefaultParagraphFont"/>
    <w:link w:val="Header"/>
    <w:uiPriority w:val="99"/>
    <w:rsid w:val="0DE24B09"/>
    <w:rPr>
      <w:noProof w:val="0"/>
      <w:lang w:val="en-GB"/>
    </w:rPr>
  </w:style>
  <w:style w:type="character" w:styleId="Hyperlink">
    <w:name w:val="Hyperlink"/>
    <w:basedOn w:val="DefaultParagraphFont"/>
    <w:uiPriority w:val="99"/>
    <w:unhideWhenUsed/>
    <w:rsid w:val="004C5891"/>
    <w:rPr>
      <w:color w:val="0563C1" w:themeColor="hyperlink"/>
      <w:u w:val="single"/>
    </w:rPr>
  </w:style>
  <w:style w:type="paragraph" w:styleId="TOCHeading">
    <w:name w:val="TOC Heading"/>
    <w:basedOn w:val="Heading1"/>
    <w:next w:val="Normal"/>
    <w:uiPriority w:val="39"/>
    <w:semiHidden/>
    <w:unhideWhenUsed/>
    <w:qFormat/>
    <w:rsid w:val="00AA7708"/>
    <w:pPr>
      <w:keepLines/>
      <w:spacing w:before="480" w:line="276" w:lineRule="auto"/>
      <w:outlineLvl w:val="9"/>
    </w:pPr>
    <w:rPr>
      <w:b/>
      <w:bCs/>
      <w:sz w:val="28"/>
      <w:szCs w:val="28"/>
      <w:lang w:val="en-US"/>
    </w:rPr>
  </w:style>
  <w:style w:type="paragraph" w:styleId="BalloonText">
    <w:name w:val="Balloon Text"/>
    <w:basedOn w:val="Normal"/>
    <w:link w:val="BalloonTextChar"/>
    <w:uiPriority w:val="99"/>
    <w:semiHidden/>
    <w:unhideWhenUsed/>
    <w:rsid w:val="00AA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70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4257723"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39F9D-F516-4DAE-A3BE-872D1F24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2530</Words>
  <Characters>14424</Characters>
  <Application>Microsoft Office Word</Application>
  <DocSecurity>0</DocSecurity>
  <Lines>120</Lines>
  <Paragraphs>33</Paragraphs>
  <ScaleCrop>false</ScaleCrop>
  <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winfrey ***Diane</cp:lastModifiedBy>
  <cp:revision>2</cp:revision>
  <dcterms:created xsi:type="dcterms:W3CDTF">2022-08-22T14:55:00Z</dcterms:created>
  <dcterms:modified xsi:type="dcterms:W3CDTF">2022-08-22T14:55:00Z</dcterms:modified>
</cp:coreProperties>
</file>