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A0E150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750F5">
              <w:rPr>
                <w:rFonts w:ascii="Times New Roman" w:hAnsi="Times New Roman" w:cs="Times New Roman"/>
                <w:b/>
                <w:color w:val="auto"/>
                <w:sz w:val="48"/>
              </w:rPr>
              <w:t>Lowri Elen Owen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72168B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750F5">
              <w:t xml:space="preserve"> </w:t>
            </w:r>
            <w:r w:rsidR="003750F5" w:rsidRPr="003750F5">
              <w:rPr>
                <w:rFonts w:ascii="Times New Roman" w:hAnsi="Times New Roman" w:cs="Times New Roman"/>
                <w:b/>
                <w:color w:val="auto"/>
                <w:sz w:val="48"/>
              </w:rPr>
              <w:t>2432840@student.uwtsd.ac.uk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9CC3959" w:rsidR="0085230E" w:rsidRPr="005D3F07" w:rsidRDefault="003750F5" w:rsidP="005D3F07">
            <w:pPr>
              <w:overflowPunct/>
              <w:autoSpaceDE/>
              <w:autoSpaceDN/>
              <w:adjustRightInd/>
              <w:ind w:right="-957"/>
              <w:textAlignment w:val="auto"/>
              <w:rPr>
                <w:rFonts w:ascii="Times New Roman" w:hAnsi="Times New Roman" w:cs="Times New Roman"/>
                <w:b/>
                <w:color w:val="auto"/>
                <w:sz w:val="48"/>
              </w:rPr>
            </w:pPr>
            <w:r w:rsidRPr="003750F5">
              <w:rPr>
                <w:rFonts w:ascii="Times New Roman" w:hAnsi="Times New Roman" w:cs="Times New Roman"/>
                <w:b/>
                <w:color w:val="auto"/>
                <w:sz w:val="48"/>
              </w:rPr>
              <w:t>2432840</w:t>
            </w: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02D8EE8B" w14:textId="77777777" w:rsidR="003750F5" w:rsidRPr="003750F5" w:rsidRDefault="003750F5" w:rsidP="003750F5">
            <w:pPr>
              <w:jc w:val="both"/>
              <w:rPr>
                <w:iCs/>
                <w:sz w:val="24"/>
                <w:szCs w:val="24"/>
              </w:rPr>
            </w:pPr>
            <w:r w:rsidRPr="003750F5">
              <w:rPr>
                <w:iCs/>
                <w:sz w:val="24"/>
                <w:szCs w:val="24"/>
              </w:rPr>
              <w:t>Introduction</w:t>
            </w:r>
          </w:p>
          <w:p w14:paraId="5743ED09" w14:textId="77777777" w:rsidR="003750F5" w:rsidRPr="003750F5" w:rsidRDefault="003750F5" w:rsidP="003750F5">
            <w:pPr>
              <w:jc w:val="both"/>
              <w:rPr>
                <w:iCs/>
                <w:sz w:val="24"/>
                <w:szCs w:val="24"/>
              </w:rPr>
            </w:pPr>
            <w:r w:rsidRPr="003750F5">
              <w:rPr>
                <w:iCs/>
                <w:sz w:val="24"/>
                <w:szCs w:val="24"/>
              </w:rPr>
              <w:t xml:space="preserve">This case study will aim to critically reflect on an assessment that was recently undertaken in my role as a social worker within children’s services. It will aim to explore the legislative framework in relation to safeguarding children, critically reflect upon applying analysis including the power dynamics, collaborative working and possible tensions and conflicts that arise, explore the dimensions of working in Wales and to consider two models that underpin professional practice and to reflect on working on complex cases and making professional decisions. </w:t>
            </w:r>
          </w:p>
          <w:p w14:paraId="63E9685B" w14:textId="77777777" w:rsidR="003750F5" w:rsidRPr="003750F5" w:rsidRDefault="003750F5" w:rsidP="003750F5">
            <w:pPr>
              <w:jc w:val="both"/>
              <w:rPr>
                <w:iCs/>
                <w:sz w:val="24"/>
                <w:szCs w:val="24"/>
              </w:rPr>
            </w:pPr>
          </w:p>
          <w:p w14:paraId="0C556618" w14:textId="77777777" w:rsidR="003750F5" w:rsidRPr="003750F5" w:rsidRDefault="003750F5" w:rsidP="003750F5">
            <w:pPr>
              <w:jc w:val="both"/>
              <w:rPr>
                <w:iCs/>
                <w:sz w:val="24"/>
                <w:szCs w:val="24"/>
              </w:rPr>
            </w:pPr>
            <w:r w:rsidRPr="003750F5">
              <w:rPr>
                <w:iCs/>
                <w:sz w:val="24"/>
                <w:szCs w:val="24"/>
              </w:rPr>
              <w:t xml:space="preserve">(1) and (2) are white British young children aged 2 and 5 who live with their mother (3) in a rural area of Wales. The children’s parents are separated, they have some contact with their </w:t>
            </w:r>
            <w:proofErr w:type="gramStart"/>
            <w:r w:rsidRPr="003750F5">
              <w:rPr>
                <w:iCs/>
                <w:sz w:val="24"/>
                <w:szCs w:val="24"/>
              </w:rPr>
              <w:t>father</w:t>
            </w:r>
            <w:proofErr w:type="gramEnd"/>
            <w:r w:rsidRPr="003750F5">
              <w:rPr>
                <w:iCs/>
                <w:sz w:val="24"/>
                <w:szCs w:val="24"/>
              </w:rPr>
              <w:t xml:space="preserve"> but this is sporadic. 1 has additional learning needs and is non-speaking. The family came to the attention of social services due to concerns around 3’s mental health and substance misuse. The children were initially allocated for a care and support assessment, under Part 3 Section 21 of the Social Services and Wellbeing (Wales) Act (2014) (SSWBA, 2014).  The SSWBA (2014) places duty on the local authority to assess and meet the needs of children for care and support. The SSWBA (2014) clearly states that when a local authority has reason to believe that a child needs care and support, beyond what is provided by the family, they have a duty to assess and to identify what those needs are.</w:t>
            </w:r>
          </w:p>
          <w:p w14:paraId="433A63EF" w14:textId="77777777" w:rsidR="003750F5" w:rsidRPr="003750F5" w:rsidRDefault="003750F5" w:rsidP="003750F5">
            <w:pPr>
              <w:jc w:val="both"/>
              <w:rPr>
                <w:iCs/>
                <w:sz w:val="24"/>
                <w:szCs w:val="24"/>
              </w:rPr>
            </w:pPr>
            <w:r w:rsidRPr="003750F5">
              <w:rPr>
                <w:iCs/>
                <w:sz w:val="24"/>
                <w:szCs w:val="24"/>
              </w:rPr>
              <w:t xml:space="preserve">The SSWBA (2014) is a Wales only legislation. Other United Kingdom (UK) countries have similar legislation, for example in England they have the Care Act (2014). </w:t>
            </w:r>
          </w:p>
          <w:p w14:paraId="3218B106" w14:textId="77777777" w:rsidR="003750F5" w:rsidRPr="003750F5" w:rsidRDefault="003750F5" w:rsidP="003750F5">
            <w:pPr>
              <w:jc w:val="both"/>
              <w:rPr>
                <w:iCs/>
                <w:sz w:val="24"/>
                <w:szCs w:val="24"/>
              </w:rPr>
            </w:pPr>
            <w:r w:rsidRPr="003750F5">
              <w:rPr>
                <w:iCs/>
                <w:sz w:val="24"/>
                <w:szCs w:val="24"/>
              </w:rPr>
              <w:lastRenderedPageBreak/>
              <w:t xml:space="preserve">In preparation for the initial contact with the family, I looked through the children’s files to ascertain background information (Beckett, 2010). There was an up-to-date chronology on the children’s files which gave insight into the family functioning. Dyke (2019) argues that reading a chronology ensures that social workers are fully up to </w:t>
            </w:r>
            <w:proofErr w:type="gramStart"/>
            <w:r w:rsidRPr="003750F5">
              <w:rPr>
                <w:iCs/>
                <w:sz w:val="24"/>
                <w:szCs w:val="24"/>
              </w:rPr>
              <w:t>date</w:t>
            </w:r>
            <w:proofErr w:type="gramEnd"/>
            <w:r w:rsidRPr="003750F5">
              <w:rPr>
                <w:iCs/>
                <w:sz w:val="24"/>
                <w:szCs w:val="24"/>
              </w:rPr>
              <w:t xml:space="preserve"> which is vital in identifying patterns and risks, which is strongly aligned with applying analysis to inform interventions. </w:t>
            </w:r>
          </w:p>
          <w:p w14:paraId="784C0DEA" w14:textId="77777777" w:rsidR="003750F5" w:rsidRPr="003750F5" w:rsidRDefault="003750F5" w:rsidP="003750F5">
            <w:pPr>
              <w:jc w:val="both"/>
              <w:rPr>
                <w:iCs/>
                <w:sz w:val="24"/>
                <w:szCs w:val="24"/>
              </w:rPr>
            </w:pPr>
            <w:r w:rsidRPr="003750F5">
              <w:rPr>
                <w:iCs/>
                <w:sz w:val="24"/>
                <w:szCs w:val="24"/>
              </w:rPr>
              <w:t>The initial visit was arranged via phone call. From file it was evident that 3 was not aware that a referral had been submitted to the department regarding her children and therefore would not be expecting contact from the local authority. It has been found that a telephone call is more respectful and person-centred in comparison to sending a letter (Leigh and Lang, 2018). Arranging an initial visit via phone call allows the individual to speak with the social worker directly, be involved in decision making regarding arranging a visit and have any questions they may have answered immediately, all of which helps reduce anxiety and supports effective collaborative working (Leigh and Lang, 2018). Adopting a person-centred approach is vital to social work as it empowers individuals, promoting equality and respect (Sanderson et al., 2004).</w:t>
            </w:r>
          </w:p>
          <w:p w14:paraId="18BEC8F0" w14:textId="77777777" w:rsidR="003750F5" w:rsidRPr="003750F5" w:rsidRDefault="003750F5" w:rsidP="003750F5">
            <w:pPr>
              <w:jc w:val="both"/>
              <w:rPr>
                <w:iCs/>
                <w:sz w:val="24"/>
                <w:szCs w:val="24"/>
              </w:rPr>
            </w:pPr>
            <w:r w:rsidRPr="003750F5">
              <w:rPr>
                <w:iCs/>
                <w:sz w:val="24"/>
                <w:szCs w:val="24"/>
              </w:rPr>
              <w:t>At the beginning of the phone call, the Active Offer was made, where I introduced myself bilingually as per the requirement under the More Than Just Words Framework 2022. Prys et al (2021) states that making the Active Offer ensures that individuals can communicate in their preferred language without the need of having to ask. Additionally, the More Than Just Words (2022) strategic framework for Wales highlights that the Active Offer ensures that the responsibility is not on the individual to have to ask for services through the medium of Welsh, instead it places duty on the service to ensure that a Welsh service is provided (SSBWA, 2014). This ‘Active Offer’ is a Wales only policy, however Thompson (2022) argues that similar policies do exist in European Union (EU) countries and globally, meaning that individuals can access services in their language of choice (SSWBA, 2014).</w:t>
            </w:r>
          </w:p>
          <w:p w14:paraId="6A2F6DA3" w14:textId="77777777" w:rsidR="003750F5" w:rsidRPr="003750F5" w:rsidRDefault="003750F5" w:rsidP="003750F5">
            <w:pPr>
              <w:jc w:val="both"/>
              <w:rPr>
                <w:iCs/>
                <w:sz w:val="24"/>
                <w:szCs w:val="24"/>
              </w:rPr>
            </w:pPr>
          </w:p>
          <w:p w14:paraId="388DE6E0" w14:textId="77777777" w:rsidR="003750F5" w:rsidRPr="003750F5" w:rsidRDefault="003750F5" w:rsidP="003750F5">
            <w:pPr>
              <w:jc w:val="both"/>
              <w:rPr>
                <w:iCs/>
                <w:sz w:val="24"/>
                <w:szCs w:val="24"/>
              </w:rPr>
            </w:pPr>
            <w:r w:rsidRPr="003750F5">
              <w:rPr>
                <w:iCs/>
                <w:sz w:val="24"/>
                <w:szCs w:val="24"/>
              </w:rPr>
              <w:t xml:space="preserve">The family are Welsh speaking and therefore wished to communicate in Welsh. Prys et al (2021) clearly highlights that language is power and that the use of a preferred language can facilitate comfort, confidence and openness. Additionally, Madoc-Jones and </w:t>
            </w:r>
            <w:proofErr w:type="spellStart"/>
            <w:r w:rsidRPr="003750F5">
              <w:rPr>
                <w:iCs/>
                <w:sz w:val="24"/>
                <w:szCs w:val="24"/>
              </w:rPr>
              <w:t>Dubberley</w:t>
            </w:r>
            <w:proofErr w:type="spellEnd"/>
            <w:r w:rsidRPr="003750F5">
              <w:rPr>
                <w:iCs/>
                <w:sz w:val="24"/>
                <w:szCs w:val="24"/>
              </w:rPr>
              <w:t xml:space="preserve"> (2005) found that a bilingual person who </w:t>
            </w:r>
            <w:proofErr w:type="gramStart"/>
            <w:r w:rsidRPr="003750F5">
              <w:rPr>
                <w:iCs/>
                <w:sz w:val="24"/>
                <w:szCs w:val="24"/>
              </w:rPr>
              <w:t>has the ability to</w:t>
            </w:r>
            <w:proofErr w:type="gramEnd"/>
            <w:r w:rsidRPr="003750F5">
              <w:rPr>
                <w:iCs/>
                <w:sz w:val="24"/>
                <w:szCs w:val="24"/>
              </w:rPr>
              <w:t xml:space="preserve"> communicate in a second language should not be automatically assumed as being able to engage on an equal basis with first language speaker of that language. This is aligned with the Welsh Language Measures (2011). Drakeford (1991) argues that Welsh is the dominant language in some part of Wales, and that individuals feel much more confident and comfortable discussing private matters in their mother’s tongue, with failure to provide this causing frustration and confusion. Therefore, it is argued that Welsh language services are not a matter of choice, but rather a matter of need (Drakeford, 1991).</w:t>
            </w:r>
          </w:p>
          <w:p w14:paraId="36DEDEFD" w14:textId="77777777" w:rsidR="003750F5" w:rsidRPr="003750F5" w:rsidRDefault="003750F5" w:rsidP="003750F5">
            <w:pPr>
              <w:jc w:val="both"/>
              <w:rPr>
                <w:iCs/>
                <w:sz w:val="24"/>
                <w:szCs w:val="24"/>
              </w:rPr>
            </w:pPr>
          </w:p>
          <w:p w14:paraId="1F1D71EB" w14:textId="77777777" w:rsidR="003750F5" w:rsidRPr="003750F5" w:rsidRDefault="003750F5" w:rsidP="003750F5">
            <w:pPr>
              <w:jc w:val="both"/>
              <w:rPr>
                <w:iCs/>
                <w:sz w:val="24"/>
                <w:szCs w:val="24"/>
              </w:rPr>
            </w:pPr>
          </w:p>
          <w:p w14:paraId="47A80E53" w14:textId="77777777" w:rsidR="003750F5" w:rsidRPr="003750F5" w:rsidRDefault="003750F5" w:rsidP="003750F5">
            <w:pPr>
              <w:jc w:val="both"/>
              <w:rPr>
                <w:iCs/>
                <w:sz w:val="24"/>
                <w:szCs w:val="24"/>
              </w:rPr>
            </w:pPr>
            <w:r w:rsidRPr="003750F5">
              <w:rPr>
                <w:iCs/>
                <w:sz w:val="24"/>
                <w:szCs w:val="24"/>
              </w:rPr>
              <w:t xml:space="preserve">During the initial phone call, 3 was not willing for a visit to be undertaken. It was clear from the file that there had been previous involvement with social services and therefore consideration needed to be taken that this may have been negative. This phone call proved to be challenging as there was a need to follow and balance the current legislations.  Section 1 of the Code of Professional Practice Wales (COPP), places duty on the local authority to respect the views and wishes of individuals (Social Care Wales, 2026), whilst under Part 3, Section 21 of the SSBWA (2014) places duty on the local authority to assess a child’s needs. Under section </w:t>
            </w:r>
            <w:r w:rsidRPr="003750F5">
              <w:rPr>
                <w:iCs/>
                <w:sz w:val="24"/>
                <w:szCs w:val="24"/>
              </w:rPr>
              <w:lastRenderedPageBreak/>
              <w:t xml:space="preserve">114 of the SSWBA (2014), anyone who has parental responsibility for a child under the age of 16 has the right to refuse an assessment. However, this can be overridden should the local authority suspect that the child is experiencing or is at risk of abuse, neglect or other kinds of harm, the local authority is content that the parent does not have capacity to make that choice, or if the local authority is satisfied that the child can make an informed decision and disagrees with the parent’s view.  Based on the evidence from the referral and the discussion with 3 over the phone, there was no evidence that any of these were applicable at this stage and therefore she had a right to refuse the assessment. </w:t>
            </w:r>
          </w:p>
          <w:p w14:paraId="153A6AB6" w14:textId="77777777" w:rsidR="003750F5" w:rsidRPr="003750F5" w:rsidRDefault="003750F5" w:rsidP="003750F5">
            <w:pPr>
              <w:jc w:val="both"/>
              <w:rPr>
                <w:iCs/>
                <w:sz w:val="24"/>
                <w:szCs w:val="24"/>
              </w:rPr>
            </w:pPr>
            <w:r w:rsidRPr="003750F5">
              <w:rPr>
                <w:iCs/>
                <w:sz w:val="24"/>
                <w:szCs w:val="24"/>
              </w:rPr>
              <w:t xml:space="preserve">The phone call involved listening to 3’s previous negative experience of social services. Levenson (2017) highlights that previous negative experience with social services has a profound impact on trust and engagement. It was important that I was respectful and empathetic during this conversation. Section 2 of the COPP places duty on the local authority to gain and maintain the trust and conﬁdence of individuals. The purpose of the visit and what the assessment entails was explained in full to 3 and she agreed for a visit to be undertaken. </w:t>
            </w:r>
          </w:p>
          <w:p w14:paraId="7D1C7273" w14:textId="77777777" w:rsidR="003750F5" w:rsidRPr="003750F5" w:rsidRDefault="003750F5" w:rsidP="003750F5">
            <w:pPr>
              <w:jc w:val="both"/>
              <w:rPr>
                <w:iCs/>
                <w:sz w:val="24"/>
                <w:szCs w:val="24"/>
              </w:rPr>
            </w:pPr>
          </w:p>
          <w:p w14:paraId="475F97AB" w14:textId="77777777" w:rsidR="003750F5" w:rsidRPr="003750F5" w:rsidRDefault="003750F5" w:rsidP="003750F5">
            <w:pPr>
              <w:jc w:val="both"/>
              <w:rPr>
                <w:iCs/>
                <w:sz w:val="24"/>
                <w:szCs w:val="24"/>
              </w:rPr>
            </w:pPr>
            <w:r w:rsidRPr="003750F5">
              <w:rPr>
                <w:iCs/>
                <w:sz w:val="24"/>
                <w:szCs w:val="24"/>
              </w:rPr>
              <w:t xml:space="preserve">The initial visit took place at the home address with the children present. The SSWBA (2014) places duty on the local authority to see the child when assessing their needs. </w:t>
            </w:r>
          </w:p>
          <w:p w14:paraId="394A588F" w14:textId="77777777" w:rsidR="003750F5" w:rsidRPr="003750F5" w:rsidRDefault="003750F5" w:rsidP="003750F5">
            <w:pPr>
              <w:jc w:val="both"/>
              <w:rPr>
                <w:iCs/>
                <w:sz w:val="24"/>
                <w:szCs w:val="24"/>
              </w:rPr>
            </w:pPr>
            <w:r w:rsidRPr="003750F5">
              <w:rPr>
                <w:iCs/>
                <w:sz w:val="24"/>
                <w:szCs w:val="24"/>
              </w:rPr>
              <w:t xml:space="preserve">During the initial visit, 3 was clearly anxious. Power dynamics in social work is widely recognised, yet often underestimated (Adams, 2017). Sakamoto et al (2005) found that individuals often feel a power imbalance between themselves and the worker as the social worker holds legal and professional authority. They highlight the impact of power imbalance in social work and how this can cause intimidation, fear and anxiety, all of which are strongly linked with dishonesty, mistrust and disengagement. Therefore, it is important to adopt a person-centred approach. Sanderson et al (2004) highlights that adopting a person-centred approach involves working collaboratively with individuals to empower them to identify their personal outcomes and to explore possible solutions. Additionally, a person-centred approach involves planning in partnership to address short- or long-term issues, agreeing risk management plans and agreeing plans where there is a risk of harm or abuse (Sanderson et al., 2004). Despite their being significant recognition of the implication of power dynamics and the importance of collaborative working, shared decision-making and empowerment, there is little recognition that in certain areas of social work, in particular child protection, that this is not always possible as mitigating the risk for children will always take priority. Therefore, it is argued that despite the importance of empowering individuals being embedded in social work, in certain situations, it often goes unrecognised that managing child protection cases often disempowers individuals (Adams, 2017).  </w:t>
            </w:r>
          </w:p>
          <w:p w14:paraId="74342CD4" w14:textId="77777777" w:rsidR="003750F5" w:rsidRPr="003750F5" w:rsidRDefault="003750F5" w:rsidP="003750F5">
            <w:pPr>
              <w:jc w:val="both"/>
              <w:rPr>
                <w:iCs/>
                <w:sz w:val="24"/>
                <w:szCs w:val="24"/>
              </w:rPr>
            </w:pPr>
            <w:r w:rsidRPr="003750F5">
              <w:rPr>
                <w:iCs/>
                <w:sz w:val="24"/>
                <w:szCs w:val="24"/>
              </w:rPr>
              <w:t xml:space="preserve">Despite this, it is argued that there are other ways to empower individuals, this includes open and honest conversations, avoiding the use of jargon, and reflective practice to take time to reflect on the worker’s own position, power and biases which all co-aligns with anti-oppressive practice (Adams, 2017). </w:t>
            </w:r>
          </w:p>
          <w:p w14:paraId="10A8BAC7" w14:textId="77777777" w:rsidR="003750F5" w:rsidRPr="003750F5" w:rsidRDefault="003750F5" w:rsidP="003750F5">
            <w:pPr>
              <w:jc w:val="both"/>
              <w:rPr>
                <w:iCs/>
                <w:sz w:val="24"/>
                <w:szCs w:val="24"/>
              </w:rPr>
            </w:pPr>
            <w:r w:rsidRPr="003750F5">
              <w:rPr>
                <w:iCs/>
                <w:sz w:val="24"/>
                <w:szCs w:val="24"/>
              </w:rPr>
              <w:t xml:space="preserve">During the home visit, a ‘What Matters Conversation’ took place. Social Workers have a duty under the SSWBA (2014) to ascertain what is important for individuals. This is a Wales only framework and is legally and structurally built into assessment processes, other countries in the UK have also adopted this approach, however this is often referred to as ‘What Matters to You’ (SSWBA, 2014). </w:t>
            </w:r>
          </w:p>
          <w:p w14:paraId="34121E37" w14:textId="77777777" w:rsidR="003750F5" w:rsidRPr="003750F5" w:rsidRDefault="003750F5" w:rsidP="003750F5">
            <w:pPr>
              <w:jc w:val="both"/>
              <w:rPr>
                <w:iCs/>
                <w:sz w:val="24"/>
                <w:szCs w:val="24"/>
              </w:rPr>
            </w:pPr>
          </w:p>
          <w:p w14:paraId="361DE71E" w14:textId="77777777" w:rsidR="003750F5" w:rsidRPr="003750F5" w:rsidRDefault="003750F5" w:rsidP="003750F5">
            <w:pPr>
              <w:jc w:val="both"/>
              <w:rPr>
                <w:iCs/>
                <w:sz w:val="24"/>
                <w:szCs w:val="24"/>
              </w:rPr>
            </w:pPr>
            <w:r w:rsidRPr="003750F5">
              <w:rPr>
                <w:iCs/>
                <w:sz w:val="24"/>
                <w:szCs w:val="24"/>
              </w:rPr>
              <w:lastRenderedPageBreak/>
              <w:t xml:space="preserve">It is argued that the ‘What Matter’s Conversation’ encourages workers to work with individuals as equals by shifting away from telling individuals what they need to instead perceiving them as experts in their own lives and placing them at the core of decision making, which is arguably an excellent way of adopting a person-centred approach (Symonds et al., 2020).  </w:t>
            </w:r>
          </w:p>
          <w:p w14:paraId="34383A26" w14:textId="77777777" w:rsidR="003750F5" w:rsidRPr="003750F5" w:rsidRDefault="003750F5" w:rsidP="003750F5">
            <w:pPr>
              <w:jc w:val="both"/>
              <w:rPr>
                <w:iCs/>
                <w:sz w:val="24"/>
                <w:szCs w:val="24"/>
              </w:rPr>
            </w:pPr>
          </w:p>
          <w:p w14:paraId="6C1B8BE2" w14:textId="77777777" w:rsidR="003750F5" w:rsidRPr="003750F5" w:rsidRDefault="003750F5" w:rsidP="003750F5">
            <w:pPr>
              <w:jc w:val="both"/>
              <w:rPr>
                <w:iCs/>
                <w:sz w:val="24"/>
                <w:szCs w:val="24"/>
              </w:rPr>
            </w:pPr>
            <w:r w:rsidRPr="003750F5">
              <w:rPr>
                <w:iCs/>
                <w:sz w:val="24"/>
                <w:szCs w:val="24"/>
              </w:rPr>
              <w:t>During the initial visit, conversations were held in relation to 3s use of substances. I am acutely aware that I hold my own personal biases around the use of substances and therefore needed to be mindful that this did not affect my professional judgement. Taylor (2017) found that personal bias can cause inaccurate risk assessment. Therefore, it was important that I reflected on my own personal views and ensured that my decision making in relation to this was evidence-based by following procedures. Featherston et al (2019) argues that it is not about eliminating bias but instead recognising it and reflecting on how such views could influence decision making. In contrast, it is widely acknowledged within research that not all biases are easily recognised. Emberton (2021) found that sometimes workers may hold views that affect their actions and decision making often without awareness, this is referred to as ‘unconscious bias’. Unconscious bias is particularly challenging in social work as it could influence decision making, which could have significant implications for individuals. Emberton (2021) argues whilst unconscious bias is easy to identify in others, it is often difficult to recognise within ourselves. It has been found that having unconscious bias is aligned with being human, however it is vital to learn to recognise the signs and take appropriate measures to overcome this. They argue that this includes reflecting on personal values, belief, views and responses, such as initial reaction, feelings and body language and taking opportunity to truly reflect on these during supervision (Emberton, 2021). This strongly aligns with anti-oppressive practice (Emberton, 2021).</w:t>
            </w:r>
          </w:p>
          <w:p w14:paraId="77D25343" w14:textId="77777777" w:rsidR="003750F5" w:rsidRPr="003750F5" w:rsidRDefault="003750F5" w:rsidP="003750F5">
            <w:pPr>
              <w:jc w:val="both"/>
              <w:rPr>
                <w:iCs/>
                <w:sz w:val="24"/>
                <w:szCs w:val="24"/>
              </w:rPr>
            </w:pPr>
            <w:r w:rsidRPr="003750F5">
              <w:rPr>
                <w:iCs/>
                <w:sz w:val="24"/>
                <w:szCs w:val="24"/>
              </w:rPr>
              <w:t>Initially, 3 disputed using any form of substances. This was despite there being a clear smell of substances on her presence. This led to having a difficult conversation and having to challenge her about her substance use, which caused great unease as I was uncertain as to how she would re-act. Weinberg and Banks (2019) argue that challenging individuals in social work can often come across as if the social worker is being difficult or trying to cause conflict. This highlights the importance of approaching such situations sensitively to avoid appearing confrontational. This was achieved by asking open-ended questions to seek clarification rather than use accusatory language (Lishman, 2020). Additionally, Weinberg and Banks (2019) argue that challenging individuals is vital to the safeguarding process, as taking information at face value can affect decision making.</w:t>
            </w:r>
          </w:p>
          <w:p w14:paraId="5AD11C69" w14:textId="77777777" w:rsidR="003750F5" w:rsidRPr="003750F5" w:rsidRDefault="003750F5" w:rsidP="003750F5">
            <w:pPr>
              <w:jc w:val="both"/>
              <w:rPr>
                <w:iCs/>
                <w:sz w:val="24"/>
                <w:szCs w:val="24"/>
              </w:rPr>
            </w:pPr>
            <w:r w:rsidRPr="003750F5">
              <w:rPr>
                <w:iCs/>
                <w:sz w:val="24"/>
                <w:szCs w:val="24"/>
              </w:rPr>
              <w:t xml:space="preserve">The Trauma Informed Theory can be applied to this practice.  This theory can be used to explain substance use (Bartholow and Huffman, 2023). This theory argues that previous traumatic life experiences such as exposure to adverse childhood experiences (ACES) may be a contributing factor as to why people misuse substances (Bartholow and Huffman, 2023). Applying this theory worked well to establish the </w:t>
            </w:r>
            <w:proofErr w:type="spellStart"/>
            <w:r w:rsidRPr="003750F5">
              <w:rPr>
                <w:iCs/>
                <w:sz w:val="24"/>
                <w:szCs w:val="24"/>
              </w:rPr>
              <w:t>route</w:t>
            </w:r>
            <w:proofErr w:type="spellEnd"/>
            <w:r w:rsidRPr="003750F5">
              <w:rPr>
                <w:iCs/>
                <w:sz w:val="24"/>
                <w:szCs w:val="24"/>
              </w:rPr>
              <w:t xml:space="preserve"> cause of 3’s substance uses through understanding her previous traumatic experiences. This theory has a clear focus on empowerment and collaboration (Levenson, 2017). Additionally, applying this theory minimised the risk of practicing in a judgemental manner as it focuses on identifying and understanding an individuals’ use of substances (Levenson, 2017). Despite this theory working well in this </w:t>
            </w:r>
            <w:proofErr w:type="gramStart"/>
            <w:r w:rsidRPr="003750F5">
              <w:rPr>
                <w:iCs/>
                <w:sz w:val="24"/>
                <w:szCs w:val="24"/>
              </w:rPr>
              <w:t>particular practice</w:t>
            </w:r>
            <w:proofErr w:type="gramEnd"/>
            <w:r w:rsidRPr="003750F5">
              <w:rPr>
                <w:iCs/>
                <w:sz w:val="24"/>
                <w:szCs w:val="24"/>
              </w:rPr>
              <w:t xml:space="preserve"> there are some limitations to consider, such as not all substance use is related to trauma, and therefore, this theory cannot be applied to all. </w:t>
            </w:r>
            <w:r w:rsidRPr="003750F5">
              <w:rPr>
                <w:iCs/>
                <w:sz w:val="24"/>
                <w:szCs w:val="24"/>
              </w:rPr>
              <w:lastRenderedPageBreak/>
              <w:t xml:space="preserve">Furthermore, applying this theory poses the risk of individuals failing to take accountability for their actions, which increases the risk of failing to make positive changes (Armstrong, 2023). </w:t>
            </w:r>
          </w:p>
          <w:p w14:paraId="233BD7B7" w14:textId="77777777" w:rsidR="003750F5" w:rsidRPr="003750F5" w:rsidRDefault="003750F5" w:rsidP="003750F5">
            <w:pPr>
              <w:jc w:val="both"/>
              <w:rPr>
                <w:iCs/>
                <w:sz w:val="24"/>
                <w:szCs w:val="24"/>
              </w:rPr>
            </w:pPr>
            <w:r w:rsidRPr="003750F5">
              <w:rPr>
                <w:iCs/>
                <w:sz w:val="24"/>
                <w:szCs w:val="24"/>
              </w:rPr>
              <w:t xml:space="preserve">As part of the initial visit, the children were seen, and consent was obtained from 3 for the children to be spoken to alone in a neutral setting </w:t>
            </w:r>
            <w:proofErr w:type="gramStart"/>
            <w:r w:rsidRPr="003750F5">
              <w:rPr>
                <w:iCs/>
                <w:sz w:val="24"/>
                <w:szCs w:val="24"/>
              </w:rPr>
              <w:t>at a later date</w:t>
            </w:r>
            <w:proofErr w:type="gramEnd"/>
            <w:r w:rsidRPr="003750F5">
              <w:rPr>
                <w:iCs/>
                <w:sz w:val="24"/>
                <w:szCs w:val="24"/>
              </w:rPr>
              <w:t>. During a care and support assessment, the social worker must obtain parental consent for children under the age of 16 years old to be spoken to (SSWBA, 2014).</w:t>
            </w:r>
          </w:p>
          <w:p w14:paraId="49CF4CB7" w14:textId="77777777" w:rsidR="003750F5" w:rsidRPr="003750F5" w:rsidRDefault="003750F5" w:rsidP="003750F5">
            <w:pPr>
              <w:jc w:val="both"/>
              <w:rPr>
                <w:iCs/>
                <w:sz w:val="24"/>
                <w:szCs w:val="24"/>
              </w:rPr>
            </w:pPr>
          </w:p>
          <w:p w14:paraId="30BEDC07" w14:textId="77777777" w:rsidR="003750F5" w:rsidRPr="003750F5" w:rsidRDefault="003750F5" w:rsidP="003750F5">
            <w:pPr>
              <w:jc w:val="both"/>
              <w:rPr>
                <w:iCs/>
                <w:sz w:val="24"/>
                <w:szCs w:val="24"/>
              </w:rPr>
            </w:pPr>
            <w:r w:rsidRPr="003750F5">
              <w:rPr>
                <w:iCs/>
                <w:sz w:val="24"/>
                <w:szCs w:val="24"/>
              </w:rPr>
              <w:t xml:space="preserve">As previously </w:t>
            </w:r>
            <w:proofErr w:type="gramStart"/>
            <w:r w:rsidRPr="003750F5">
              <w:rPr>
                <w:iCs/>
                <w:sz w:val="24"/>
                <w:szCs w:val="24"/>
              </w:rPr>
              <w:t>mentioned</w:t>
            </w:r>
            <w:proofErr w:type="gramEnd"/>
            <w:r w:rsidRPr="003750F5">
              <w:rPr>
                <w:iCs/>
                <w:sz w:val="24"/>
                <w:szCs w:val="24"/>
              </w:rPr>
              <w:t xml:space="preserve"> 1 has additional learning needs and is non-speaking, therefore it was not possible to ascertain his wishes, feelings and lived experiences verbally. However, observing him at home with Mum and at a different setting is crucial to identifying any changes to his behaviour that could indicate safeguarding concerns. Article 12 of the United Nations Convention on the Rights of the Child (1989) (UNCRC) clearly states that every child has a right to express their views. This is also reinforced in the SSWBA (2014) and the Wales Safeguarding Procedures (2019), Social Care Wales (2026).</w:t>
            </w:r>
          </w:p>
          <w:p w14:paraId="250BC054" w14:textId="77777777" w:rsidR="003750F5" w:rsidRPr="003750F5" w:rsidRDefault="003750F5" w:rsidP="003750F5">
            <w:pPr>
              <w:jc w:val="both"/>
              <w:rPr>
                <w:iCs/>
                <w:sz w:val="24"/>
                <w:szCs w:val="24"/>
              </w:rPr>
            </w:pPr>
            <w:r w:rsidRPr="003750F5">
              <w:rPr>
                <w:iCs/>
                <w:sz w:val="24"/>
                <w:szCs w:val="24"/>
              </w:rPr>
              <w:t xml:space="preserve">During the visit, 3 shared some difficulties with her mental health. It was important that I ensured active listening skills by maintaining good eye-contact, being mindful of my body language and paraphrasing the essence of what was being said (Huerta-Wong and Schoech, 2010). It was important that I applied the skills learnt during the collaborative communication training to practice. </w:t>
            </w:r>
          </w:p>
          <w:p w14:paraId="4EDE0A71" w14:textId="77777777" w:rsidR="003750F5" w:rsidRPr="003750F5" w:rsidRDefault="003750F5" w:rsidP="003750F5">
            <w:pPr>
              <w:jc w:val="both"/>
              <w:rPr>
                <w:iCs/>
                <w:sz w:val="24"/>
                <w:szCs w:val="24"/>
              </w:rPr>
            </w:pPr>
            <w:r w:rsidRPr="003750F5">
              <w:rPr>
                <w:iCs/>
                <w:sz w:val="24"/>
                <w:szCs w:val="24"/>
              </w:rPr>
              <w:t xml:space="preserve">During the initial visit, there was nothing to suggest that the children were at risk or suffering from significant harm. The Wales Safeguarding Procedures (2019) clearly states that there is no statutory definition of significant harm. However, under the Children’s Act (1989) harm is defined as the “ill treatment or the impairment of the health or development of the child” (Section 31, Children Act, 1989). Under the SSWBA (2014) social workers have a duty to recognise the indicators of abuse, neglect and harm.  Due to no evidence of this at the time, the care and support assessment commenced. </w:t>
            </w:r>
          </w:p>
          <w:p w14:paraId="3743662C" w14:textId="77777777" w:rsidR="003750F5" w:rsidRPr="003750F5" w:rsidRDefault="003750F5" w:rsidP="003750F5">
            <w:pPr>
              <w:jc w:val="both"/>
              <w:rPr>
                <w:iCs/>
                <w:sz w:val="24"/>
                <w:szCs w:val="24"/>
              </w:rPr>
            </w:pPr>
          </w:p>
          <w:p w14:paraId="2FB366A6" w14:textId="77777777" w:rsidR="003750F5" w:rsidRPr="003750F5" w:rsidRDefault="003750F5" w:rsidP="003750F5">
            <w:pPr>
              <w:jc w:val="both"/>
              <w:rPr>
                <w:iCs/>
                <w:sz w:val="24"/>
                <w:szCs w:val="24"/>
              </w:rPr>
            </w:pPr>
          </w:p>
          <w:p w14:paraId="1075BEC8" w14:textId="77777777" w:rsidR="003750F5" w:rsidRPr="003750F5" w:rsidRDefault="003750F5" w:rsidP="003750F5">
            <w:pPr>
              <w:jc w:val="both"/>
              <w:rPr>
                <w:iCs/>
                <w:sz w:val="24"/>
                <w:szCs w:val="24"/>
              </w:rPr>
            </w:pPr>
          </w:p>
          <w:p w14:paraId="1024B548" w14:textId="77777777" w:rsidR="003750F5" w:rsidRPr="003750F5" w:rsidRDefault="003750F5" w:rsidP="003750F5">
            <w:pPr>
              <w:jc w:val="both"/>
              <w:rPr>
                <w:iCs/>
                <w:sz w:val="24"/>
                <w:szCs w:val="24"/>
              </w:rPr>
            </w:pPr>
            <w:r w:rsidRPr="003750F5">
              <w:rPr>
                <w:iCs/>
                <w:sz w:val="24"/>
                <w:szCs w:val="24"/>
              </w:rPr>
              <w:t xml:space="preserve">In the days that followed, an anonymous report was received that 3 had physically assaulted both children. Under the Data Protection Act (2018), individuals have a right to remain anonymous when reporting concerns to social services. Therefore, to comply with this legislation, it was vital that the individuals’ details were not shared.  Due to this new information, a strategy meeting was held between Childrens services and the police. Under Part 7 of the SSWBA (2014) the local authority has a duty to hold a strategy discussion should there be concerns that a child is suffering or likely to suffer significant harm and determine if the threshold to initiate a Section 47 enquiry has been met. </w:t>
            </w:r>
            <w:proofErr w:type="gramStart"/>
            <w:r w:rsidRPr="003750F5">
              <w:rPr>
                <w:iCs/>
                <w:sz w:val="24"/>
                <w:szCs w:val="24"/>
              </w:rPr>
              <w:t>In order to</w:t>
            </w:r>
            <w:proofErr w:type="gramEnd"/>
            <w:r w:rsidRPr="003750F5">
              <w:rPr>
                <w:iCs/>
                <w:sz w:val="24"/>
                <w:szCs w:val="24"/>
              </w:rPr>
              <w:t xml:space="preserve"> meet the threshold to undertake a Section 47 enquiry, there must be agreement between agencies that there is reasonable cause to suspect that a child is suffering or likely to suffer significant harm (SSWBA, 2014). Additionally, in this meeting it should be discussed and agreed whether this enquiry should be undertaken by single agency (social services, or police) or joint agency (social services and police) (SSWBA, 2014).</w:t>
            </w:r>
          </w:p>
          <w:p w14:paraId="6B4B4E97" w14:textId="77777777" w:rsidR="003750F5" w:rsidRPr="003750F5" w:rsidRDefault="003750F5" w:rsidP="003750F5">
            <w:pPr>
              <w:jc w:val="both"/>
              <w:rPr>
                <w:iCs/>
                <w:sz w:val="24"/>
                <w:szCs w:val="24"/>
              </w:rPr>
            </w:pPr>
            <w:r w:rsidRPr="003750F5">
              <w:rPr>
                <w:iCs/>
                <w:sz w:val="24"/>
                <w:szCs w:val="24"/>
              </w:rPr>
              <w:t xml:space="preserve">In this instance, there was an agreement to commence to Section 47 proceedings, with this being a joint enquiry between Childrens services and the police. The reason for this being a joint enquiry alongside the police was due to physical punishment of a child being illegal in Wales. This legislation came into force in 2022. This legislation applies only to Wales and </w:t>
            </w:r>
            <w:r w:rsidRPr="003750F5">
              <w:rPr>
                <w:iCs/>
                <w:sz w:val="24"/>
                <w:szCs w:val="24"/>
              </w:rPr>
              <w:lastRenderedPageBreak/>
              <w:t xml:space="preserve">Scotland within the UK context, with England and Ireland allowing ‘reasonable’ punishment of children (Rowland et al., 2025). In 2025, some countries within the EU have also adopted this approach with 39 countries banning physical punishment of children- some countries globally such as Norway have also adopted this approach (UNICEF, 2025). Despite physical punishment of children not being illegal globally, Article 19 of the United Nations Convention of the child (1989) (UNCRC), states that every child has the right to be safe from violence. The UNCRC (1989) applies to 196 countries globally. </w:t>
            </w:r>
          </w:p>
          <w:p w14:paraId="4312E2FA" w14:textId="77777777" w:rsidR="003750F5" w:rsidRPr="003750F5" w:rsidRDefault="003750F5" w:rsidP="003750F5">
            <w:pPr>
              <w:jc w:val="both"/>
              <w:rPr>
                <w:iCs/>
                <w:sz w:val="24"/>
                <w:szCs w:val="24"/>
              </w:rPr>
            </w:pPr>
          </w:p>
          <w:p w14:paraId="469A6EDB" w14:textId="77777777" w:rsidR="003750F5" w:rsidRPr="003750F5" w:rsidRDefault="003750F5" w:rsidP="003750F5">
            <w:pPr>
              <w:jc w:val="both"/>
              <w:rPr>
                <w:iCs/>
                <w:sz w:val="24"/>
                <w:szCs w:val="24"/>
              </w:rPr>
            </w:pPr>
            <w:r w:rsidRPr="003750F5">
              <w:rPr>
                <w:iCs/>
                <w:sz w:val="24"/>
                <w:szCs w:val="24"/>
              </w:rPr>
              <w:t xml:space="preserve">Under Part 7 of the SSWBA (2014) the main purpose of a Section 47 enquiry is to establish the nature of the harm and whether it is significant.  I had previously attended the Section 47 training course, which gave me an insight into my role and that the role of the officer.  I am aware that under the Children’s Act (1989) the duty is on the social worker to lead the enquiry, and the police are involved to support with this when a crime has been alleged.  However, as this was the first opportunity to put that learning into practice, it caused great anxiety. I was open and honest with the officer that this was my first time undertaking a Section 47 enquiry. </w:t>
            </w:r>
            <w:proofErr w:type="spellStart"/>
            <w:r w:rsidRPr="003750F5">
              <w:rPr>
                <w:iCs/>
                <w:sz w:val="24"/>
                <w:szCs w:val="24"/>
              </w:rPr>
              <w:t>Braicu</w:t>
            </w:r>
            <w:proofErr w:type="spellEnd"/>
            <w:r w:rsidRPr="003750F5">
              <w:rPr>
                <w:iCs/>
                <w:sz w:val="24"/>
                <w:szCs w:val="24"/>
              </w:rPr>
              <w:t xml:space="preserve"> et al (2024) highlights that transparency is key for effective multi-agency working.</w:t>
            </w:r>
          </w:p>
          <w:p w14:paraId="2D9B9FD3" w14:textId="77777777" w:rsidR="003750F5" w:rsidRPr="003750F5" w:rsidRDefault="003750F5" w:rsidP="003750F5">
            <w:pPr>
              <w:jc w:val="both"/>
              <w:rPr>
                <w:iCs/>
                <w:sz w:val="24"/>
                <w:szCs w:val="24"/>
              </w:rPr>
            </w:pPr>
            <w:r w:rsidRPr="003750F5">
              <w:rPr>
                <w:iCs/>
                <w:sz w:val="24"/>
                <w:szCs w:val="24"/>
              </w:rPr>
              <w:t>In preparation of the enquiry, I met with the officer beforehand to discuss background information that we both held in relation to the family. The Data Protection Act (2018) and General Data Protection Regulation (GDPR) set out how personal data is shared between agencies. The local authority and the police have a duty to share personal information between one another when safeguarding children or adults. However, the Data Protection Act (2018) sets out clear guidelines that the information shared must be done so with clear purpose, be proportionate and done with the correct agency.</w:t>
            </w:r>
          </w:p>
          <w:p w14:paraId="464F3A71" w14:textId="77777777" w:rsidR="003750F5" w:rsidRPr="003750F5" w:rsidRDefault="003750F5" w:rsidP="003750F5">
            <w:pPr>
              <w:jc w:val="both"/>
              <w:rPr>
                <w:iCs/>
                <w:sz w:val="24"/>
                <w:szCs w:val="24"/>
              </w:rPr>
            </w:pPr>
            <w:r w:rsidRPr="003750F5">
              <w:rPr>
                <w:iCs/>
                <w:sz w:val="24"/>
                <w:szCs w:val="24"/>
              </w:rPr>
              <w:t>As part of the enquiry, the children were visited without parental consent. During Section 47 enquiries, there is no need to obtain parental consent for the children to be spoken to by social services (SSWBA, 2014).</w:t>
            </w:r>
          </w:p>
          <w:p w14:paraId="6881E441" w14:textId="77777777" w:rsidR="003750F5" w:rsidRPr="003750F5" w:rsidRDefault="003750F5" w:rsidP="003750F5">
            <w:pPr>
              <w:jc w:val="both"/>
              <w:rPr>
                <w:iCs/>
                <w:sz w:val="24"/>
                <w:szCs w:val="24"/>
              </w:rPr>
            </w:pPr>
            <w:r w:rsidRPr="003750F5">
              <w:rPr>
                <w:iCs/>
                <w:sz w:val="24"/>
                <w:szCs w:val="24"/>
              </w:rPr>
              <w:t xml:space="preserve">It was arranged before-hand that I would lead the direct work with the children, whilst the officer took notes of the discussion to ensure that the information was being documented accurately.  (SCW, 2025).  This ensured that both the officer and I was fully aware of our roles and duties. As </w:t>
            </w:r>
            <w:proofErr w:type="gramStart"/>
            <w:r w:rsidRPr="003750F5">
              <w:rPr>
                <w:iCs/>
                <w:sz w:val="24"/>
                <w:szCs w:val="24"/>
              </w:rPr>
              <w:t>mentioned  1</w:t>
            </w:r>
            <w:proofErr w:type="gramEnd"/>
            <w:r w:rsidRPr="003750F5">
              <w:rPr>
                <w:iCs/>
                <w:sz w:val="24"/>
                <w:szCs w:val="24"/>
              </w:rPr>
              <w:t xml:space="preserve"> is non-speaking, therefore there was a need to adapt my communication style to meet his needs (Carey and Doherty, 2018). </w:t>
            </w:r>
          </w:p>
          <w:p w14:paraId="5A1E7E55" w14:textId="77777777" w:rsidR="003750F5" w:rsidRPr="003750F5" w:rsidRDefault="003750F5" w:rsidP="003750F5">
            <w:pPr>
              <w:jc w:val="both"/>
              <w:rPr>
                <w:iCs/>
                <w:sz w:val="24"/>
                <w:szCs w:val="24"/>
              </w:rPr>
            </w:pPr>
            <w:r w:rsidRPr="003750F5">
              <w:rPr>
                <w:iCs/>
                <w:sz w:val="24"/>
                <w:szCs w:val="24"/>
              </w:rPr>
              <w:t xml:space="preserve">The children’s father was also included as part of the Section 47 enquiry, despite him not being a consistent figure in their lives, he holds parental responsibility of both children as he is named on the birth certificate. Under the SSWBA (2014) and the Children’s Act (1989) a person with parental responsibility is entitled to receive information about the child. It was agreed that he would care for the children until the Section 47 enquiry was concluded. </w:t>
            </w:r>
          </w:p>
          <w:p w14:paraId="5EE17239" w14:textId="77777777" w:rsidR="003750F5" w:rsidRPr="003750F5" w:rsidRDefault="003750F5" w:rsidP="003750F5">
            <w:pPr>
              <w:jc w:val="both"/>
              <w:rPr>
                <w:iCs/>
                <w:sz w:val="24"/>
                <w:szCs w:val="24"/>
              </w:rPr>
            </w:pPr>
            <w:r w:rsidRPr="003750F5">
              <w:rPr>
                <w:iCs/>
                <w:sz w:val="24"/>
                <w:szCs w:val="24"/>
              </w:rPr>
              <w:t xml:space="preserve">The Mother was also visited. It was important that despite the allegations made against her I did not treat her any differently, and that she was treated with respect and dignity as to ensure a person-centred approach (Adams, 2017). There were some difficulties during this visit as the mother was extremely angry and volatile, particularly as the children had been placed in the care of their father.  This did prove to be challenging as the anger directed felt personal and caused communication barriers. There was a need to validate 3’s voice, feelings and wishes as per the COPP but also balance this with accountability by not excusing volatile behaviours. </w:t>
            </w:r>
          </w:p>
          <w:p w14:paraId="09E7CB67" w14:textId="77777777" w:rsidR="003750F5" w:rsidRPr="003750F5" w:rsidRDefault="003750F5" w:rsidP="003750F5">
            <w:pPr>
              <w:jc w:val="both"/>
              <w:rPr>
                <w:iCs/>
                <w:sz w:val="24"/>
                <w:szCs w:val="24"/>
              </w:rPr>
            </w:pPr>
            <w:r w:rsidRPr="003750F5">
              <w:rPr>
                <w:iCs/>
                <w:sz w:val="24"/>
                <w:szCs w:val="24"/>
              </w:rPr>
              <w:lastRenderedPageBreak/>
              <w:t xml:space="preserve">This was overcome through applying the task centred model. Doel and Marsh (2017) argues that this is a goal orientated approach, which involves identifying the issue, setting a clear goal, developing an action plan and evaluating the result (Doel and Marsh, 2017). </w:t>
            </w:r>
          </w:p>
          <w:p w14:paraId="1C72E7F7" w14:textId="77777777" w:rsidR="003750F5" w:rsidRPr="003750F5" w:rsidRDefault="003750F5" w:rsidP="003750F5">
            <w:pPr>
              <w:jc w:val="both"/>
              <w:rPr>
                <w:iCs/>
                <w:sz w:val="24"/>
                <w:szCs w:val="24"/>
              </w:rPr>
            </w:pPr>
            <w:r w:rsidRPr="003750F5">
              <w:rPr>
                <w:iCs/>
                <w:sz w:val="24"/>
                <w:szCs w:val="24"/>
              </w:rPr>
              <w:t>The first step was to identify the issues which were easily identifiable. 3 was angry and upset that the children were no longer in her care.  The second stage was to set a goal, this involved working collaboratively to identify her end goal, which was to have the children back in her care. The third stage was to develop an action plan, this included agreeing on set days whereby contact between her and the children would commence. 3 lives in a rural area of Wales, whereby access to public transport is limited, therefore there was a need to agree on timings and locations that were suitable (Higgs and White, 1997).</w:t>
            </w:r>
          </w:p>
          <w:p w14:paraId="7F39B562" w14:textId="77777777" w:rsidR="003750F5" w:rsidRPr="003750F5" w:rsidRDefault="003750F5" w:rsidP="003750F5">
            <w:pPr>
              <w:jc w:val="both"/>
              <w:rPr>
                <w:iCs/>
                <w:sz w:val="24"/>
                <w:szCs w:val="24"/>
              </w:rPr>
            </w:pPr>
            <w:r w:rsidRPr="003750F5">
              <w:rPr>
                <w:iCs/>
                <w:sz w:val="24"/>
                <w:szCs w:val="24"/>
              </w:rPr>
              <w:t xml:space="preserve">The final stage of this model is to evaluate the action plan, which will be done gradually with the possibility of increasing contact. Doel and Marsh (2017) clearly state that there is no ‘pass’ or ‘fail’ with this model, rather, it is about documenting progress. This plan was reviewed weekly. </w:t>
            </w:r>
          </w:p>
          <w:p w14:paraId="63F07BD1" w14:textId="77777777" w:rsidR="003750F5" w:rsidRPr="003750F5" w:rsidRDefault="003750F5" w:rsidP="003750F5">
            <w:pPr>
              <w:jc w:val="both"/>
              <w:rPr>
                <w:iCs/>
                <w:sz w:val="24"/>
                <w:szCs w:val="24"/>
              </w:rPr>
            </w:pPr>
            <w:r w:rsidRPr="003750F5">
              <w:rPr>
                <w:iCs/>
                <w:sz w:val="24"/>
                <w:szCs w:val="24"/>
              </w:rPr>
              <w:t>Education and health were also included as part of the enquiry. It is vital that social workers include all agencies that are involved with the children (SSWBA, 2014). Article 8 of the Human Rights Act (1998) states that people have the right to a private family life, and considering the Data Protection Act (2018), it was important that the information I shared with these agencies was clear and proportionate.</w:t>
            </w:r>
          </w:p>
          <w:p w14:paraId="1BCAEDA6" w14:textId="77777777" w:rsidR="003750F5" w:rsidRPr="003750F5" w:rsidRDefault="003750F5" w:rsidP="003750F5">
            <w:pPr>
              <w:jc w:val="both"/>
              <w:rPr>
                <w:iCs/>
                <w:sz w:val="24"/>
                <w:szCs w:val="24"/>
              </w:rPr>
            </w:pPr>
            <w:r w:rsidRPr="003750F5">
              <w:rPr>
                <w:iCs/>
                <w:sz w:val="24"/>
                <w:szCs w:val="24"/>
              </w:rPr>
              <w:t xml:space="preserve">There were some barriers to engaging with the health service, this included their use of jargon which caused confusion. Hawkins et al (2001) argues that the use of jargon in social work can cause confusion which may lead to inaccurate risk assessment. They highlight that asking for clarification and explanations should be considered as a responsibility rather than a weakness. This was anxiety inducing due to fear of appearing incompetent, however under the COPP, social workers must take accountability for their work and take responsibility for developing knowledge. Therefore, it was vital that I asked for clarification and explanations to ensure that the practice was safe and accurate (Hawkins et al., 2001). </w:t>
            </w:r>
          </w:p>
          <w:p w14:paraId="530BC249" w14:textId="77777777" w:rsidR="003750F5" w:rsidRPr="003750F5" w:rsidRDefault="003750F5" w:rsidP="003750F5">
            <w:pPr>
              <w:jc w:val="both"/>
              <w:rPr>
                <w:iCs/>
                <w:sz w:val="24"/>
                <w:szCs w:val="24"/>
              </w:rPr>
            </w:pPr>
            <w:r w:rsidRPr="003750F5">
              <w:rPr>
                <w:iCs/>
                <w:sz w:val="24"/>
                <w:szCs w:val="24"/>
              </w:rPr>
              <w:t xml:space="preserve">Every discussion with parents, agencies and the children </w:t>
            </w:r>
            <w:proofErr w:type="gramStart"/>
            <w:r w:rsidRPr="003750F5">
              <w:rPr>
                <w:iCs/>
                <w:sz w:val="24"/>
                <w:szCs w:val="24"/>
              </w:rPr>
              <w:t>was</w:t>
            </w:r>
            <w:proofErr w:type="gramEnd"/>
            <w:r w:rsidRPr="003750F5">
              <w:rPr>
                <w:iCs/>
                <w:sz w:val="24"/>
                <w:szCs w:val="24"/>
              </w:rPr>
              <w:t xml:space="preserve"> recorded accurately, then transferred onto an electronic record keeping system on the child’s file in order to comply with local policy (SSWBA, 2014). This policy places duty on social workers to maintain up-to date, complete and accurate records (SSWBA, 2014). This allowed me to bring the information together in one place and identify patterns, risks, strengths, protective factors and any possible unmet needs which allowed me to make clear evidence-based decisions.</w:t>
            </w:r>
          </w:p>
          <w:p w14:paraId="05294137" w14:textId="77777777" w:rsidR="003750F5" w:rsidRPr="003750F5" w:rsidRDefault="003750F5" w:rsidP="003750F5">
            <w:pPr>
              <w:jc w:val="both"/>
              <w:rPr>
                <w:iCs/>
                <w:sz w:val="24"/>
                <w:szCs w:val="24"/>
              </w:rPr>
            </w:pPr>
            <w:r w:rsidRPr="003750F5">
              <w:rPr>
                <w:iCs/>
                <w:sz w:val="24"/>
                <w:szCs w:val="24"/>
              </w:rPr>
              <w:t xml:space="preserve">Based on the evidence, the outcome of the Section 47 was to convey to case conference. This decision was made within the 15 working day timeframe as highlighted under Part 7 of the SSWBA (2014) and Wales Safeguarding Procedures (2019). This was agreed jointly with the police officer. There were some disagreements initially, with the police officer </w:t>
            </w:r>
            <w:proofErr w:type="gramStart"/>
            <w:r w:rsidRPr="003750F5">
              <w:rPr>
                <w:iCs/>
                <w:sz w:val="24"/>
                <w:szCs w:val="24"/>
              </w:rPr>
              <w:t>being of the opinion that</w:t>
            </w:r>
            <w:proofErr w:type="gramEnd"/>
            <w:r w:rsidRPr="003750F5">
              <w:rPr>
                <w:iCs/>
                <w:sz w:val="24"/>
                <w:szCs w:val="24"/>
              </w:rPr>
              <w:t xml:space="preserve"> as there was no evidence of a crime being committed, the case should be closed. Walker (2018) argues that multi-agency working can be complex, although children’s best interests remain at the forefront of decision making, each agency will approach situations from a different perspective which can cause disagreement and friction (Walker, 2018). To overcome this barrier, the way in which this decision was reached was to evaluate the family’s history, their current situation, considering strengths and protective factors, the children’s lived experiences and information from all agencies. The decision to convey to case conference was outlined clearly to the police officer and justified by complying with the current legislations (Walker, 2018). </w:t>
            </w:r>
          </w:p>
          <w:p w14:paraId="1AB79487" w14:textId="77777777" w:rsidR="003750F5" w:rsidRPr="003750F5" w:rsidRDefault="003750F5" w:rsidP="003750F5">
            <w:pPr>
              <w:jc w:val="both"/>
              <w:rPr>
                <w:iCs/>
                <w:sz w:val="24"/>
                <w:szCs w:val="24"/>
              </w:rPr>
            </w:pPr>
            <w:r w:rsidRPr="003750F5">
              <w:rPr>
                <w:iCs/>
                <w:sz w:val="24"/>
                <w:szCs w:val="24"/>
              </w:rPr>
              <w:lastRenderedPageBreak/>
              <w:t xml:space="preserve">Under Section 3 of the Wales Safeguarding Procedures (2019) the purpose of the case conference is to share concerns and information that has been obtained from the Section 47 enquiry with family members and professionals who are actively involved with the children </w:t>
            </w:r>
            <w:proofErr w:type="gramStart"/>
            <w:r w:rsidRPr="003750F5">
              <w:rPr>
                <w:iCs/>
                <w:sz w:val="24"/>
                <w:szCs w:val="24"/>
              </w:rPr>
              <w:t>in order to</w:t>
            </w:r>
            <w:proofErr w:type="gramEnd"/>
            <w:r w:rsidRPr="003750F5">
              <w:rPr>
                <w:iCs/>
                <w:sz w:val="24"/>
                <w:szCs w:val="24"/>
              </w:rPr>
              <w:t xml:space="preserve"> make a decision about their safety, development and well-being. The SSWBA (2014) highlights that the role of the social worker in the conference is to consider the family functioning, background information, analyse the concerns and to identify strengths and protective factors. The social worker must then analyse this information and make a professional judgement if a child is either at risk of suffering abuse or harm. This is a collaborative decision, with other professionals having an important role to play which arises from their knowledge and expertise (Wales Safeguarding Procedures, 2019). Under the current legislation, each professional who attends the meeting must write a written report and this should be shared with the family prior to the conference (SSWBA, 2014). The case conference should last no more than two hours, and a unanimous decision must be reached as to whether the children are deemed to be suffering, or at risk of suffering, harm. Should this be the case, the children’s names will be placed on the local authority’s child protection register with a decision being made as to which category (Wales Safeguarding Procedures, 2019). It is important to consider that when a child’s name is placed on the child protection register, this does not automatically safeguard a child, instead the main purpose of the child protection register is to alert each professional that may be working with the children that there is a risk of harm or abuse (SSBWA, 2014).</w:t>
            </w:r>
          </w:p>
          <w:p w14:paraId="0FC9C5B4" w14:textId="77777777" w:rsidR="003750F5" w:rsidRPr="003750F5" w:rsidRDefault="003750F5" w:rsidP="003750F5">
            <w:pPr>
              <w:jc w:val="both"/>
              <w:rPr>
                <w:iCs/>
                <w:sz w:val="24"/>
                <w:szCs w:val="24"/>
              </w:rPr>
            </w:pPr>
            <w:r w:rsidRPr="003750F5">
              <w:rPr>
                <w:iCs/>
                <w:sz w:val="24"/>
                <w:szCs w:val="24"/>
              </w:rPr>
              <w:t>Following this decision, as per under Part 4 of the SSWBA (2014) there should be a clear care and support protection plan put in place which is mutually agreed by all. The main purpose of this plan is to ensure a child’s safety. This plan should be reviewed at least every 6 weeks in core group meetings with a view of ensuring that the protection plan is being delivered, progress being made and to identify risk (SSBWA, 2014).</w:t>
            </w:r>
          </w:p>
          <w:p w14:paraId="4AB248E1" w14:textId="77777777" w:rsidR="003750F5" w:rsidRPr="003750F5" w:rsidRDefault="003750F5" w:rsidP="003750F5">
            <w:pPr>
              <w:jc w:val="both"/>
              <w:rPr>
                <w:iCs/>
                <w:sz w:val="24"/>
                <w:szCs w:val="24"/>
              </w:rPr>
            </w:pPr>
          </w:p>
          <w:p w14:paraId="34A2CC4F" w14:textId="77777777" w:rsidR="003750F5" w:rsidRPr="003750F5" w:rsidRDefault="003750F5" w:rsidP="003750F5">
            <w:pPr>
              <w:jc w:val="both"/>
              <w:rPr>
                <w:iCs/>
                <w:sz w:val="24"/>
                <w:szCs w:val="24"/>
              </w:rPr>
            </w:pPr>
          </w:p>
          <w:p w14:paraId="6484D41B" w14:textId="77777777" w:rsidR="003750F5" w:rsidRPr="003750F5" w:rsidRDefault="003750F5" w:rsidP="003750F5">
            <w:pPr>
              <w:jc w:val="both"/>
              <w:rPr>
                <w:iCs/>
                <w:sz w:val="24"/>
                <w:szCs w:val="24"/>
              </w:rPr>
            </w:pPr>
            <w:r w:rsidRPr="003750F5">
              <w:rPr>
                <w:iCs/>
                <w:sz w:val="24"/>
                <w:szCs w:val="24"/>
              </w:rPr>
              <w:t>Conclusion</w:t>
            </w:r>
          </w:p>
          <w:p w14:paraId="56C9EEBE" w14:textId="77777777" w:rsidR="003750F5" w:rsidRPr="003750F5" w:rsidRDefault="003750F5" w:rsidP="003750F5">
            <w:pPr>
              <w:jc w:val="both"/>
              <w:rPr>
                <w:iCs/>
                <w:sz w:val="24"/>
                <w:szCs w:val="24"/>
              </w:rPr>
            </w:pPr>
            <w:r w:rsidRPr="003750F5">
              <w:rPr>
                <w:iCs/>
                <w:sz w:val="24"/>
                <w:szCs w:val="24"/>
              </w:rPr>
              <w:t xml:space="preserve">To summarise, working on this case has helped to develop my professional judgement as it required me to analyse </w:t>
            </w:r>
            <w:proofErr w:type="gramStart"/>
            <w:r w:rsidRPr="003750F5">
              <w:rPr>
                <w:iCs/>
                <w:sz w:val="24"/>
                <w:szCs w:val="24"/>
              </w:rPr>
              <w:t>all of</w:t>
            </w:r>
            <w:proofErr w:type="gramEnd"/>
            <w:r w:rsidRPr="003750F5">
              <w:rPr>
                <w:iCs/>
                <w:sz w:val="24"/>
                <w:szCs w:val="24"/>
              </w:rPr>
              <w:t xml:space="preserve"> the evidence within a multi-agency context. It encouraged me to consider differing opinions from a range of agencies and identify patterns to apply analysis to inform interventions. My role in the Section 47 involved considering the children’s lived experiences, protective factors, strengths, weaknesses, risks and unmet needs. This case encouraged me to seek clarification when jargon was used, challenge differing opinions and justify my decision making- which all contributed to my ability to make a professional judgment (Taylor and Whittaker, 2018). </w:t>
            </w:r>
          </w:p>
          <w:p w14:paraId="1BD8CE2F" w14:textId="77777777" w:rsidR="003750F5" w:rsidRPr="003750F5" w:rsidRDefault="003750F5" w:rsidP="003750F5">
            <w:pPr>
              <w:jc w:val="both"/>
              <w:rPr>
                <w:iCs/>
                <w:sz w:val="24"/>
                <w:szCs w:val="24"/>
              </w:rPr>
            </w:pPr>
          </w:p>
          <w:p w14:paraId="1225D23D" w14:textId="3AB307B5" w:rsidR="00D3203C" w:rsidRPr="003750F5" w:rsidRDefault="003750F5" w:rsidP="00FF7EBB">
            <w:pPr>
              <w:jc w:val="both"/>
              <w:rPr>
                <w:iCs/>
                <w:sz w:val="24"/>
                <w:szCs w:val="24"/>
              </w:rPr>
            </w:pPr>
            <w:r>
              <w:rPr>
                <w:iCs/>
                <w:sz w:val="24"/>
                <w:szCs w:val="24"/>
              </w:rPr>
              <w:t>WORD COUNT: 4376</w:t>
            </w: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82A17C" w14:textId="77777777" w:rsidR="00C22A2B" w:rsidRDefault="00C22A2B">
      <w:r>
        <w:separator/>
      </w:r>
    </w:p>
  </w:endnote>
  <w:endnote w:type="continuationSeparator" w:id="0">
    <w:p w14:paraId="57F8CB7E" w14:textId="77777777" w:rsidR="00C22A2B" w:rsidRDefault="00C22A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16D6D8" w14:textId="77777777" w:rsidR="00C22A2B" w:rsidRDefault="00C22A2B">
      <w:r>
        <w:separator/>
      </w:r>
    </w:p>
  </w:footnote>
  <w:footnote w:type="continuationSeparator" w:id="0">
    <w:p w14:paraId="3A3A9594" w14:textId="77777777" w:rsidR="00C22A2B" w:rsidRDefault="00C22A2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0F5"/>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3FA"/>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2A2B"/>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5B1E"/>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4558</Words>
  <Characters>24162</Characters>
  <Application>Microsoft Office Word</Application>
  <DocSecurity>0</DocSecurity>
  <Lines>335</Lines>
  <Paragraphs>61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Lowri Elen Owen (PLANT)</cp:lastModifiedBy>
  <cp:revision>2</cp:revision>
  <cp:lastPrinted>2020-02-11T19:20:00Z</cp:lastPrinted>
  <dcterms:created xsi:type="dcterms:W3CDTF">2026-02-23T16:57:00Z</dcterms:created>
  <dcterms:modified xsi:type="dcterms:W3CDTF">2026-02-23T16:57:00Z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