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71D9CB39" wp14:textId="55F0663A">
      <w:r w:rsidR="1FFAEE61">
        <w:rPr/>
        <w:t>Research Literacy: The Wellbeing of the UK Nursing and Midwifery Workforce</w:t>
      </w:r>
    </w:p>
    <w:p xmlns:wp14="http://schemas.microsoft.com/office/word/2010/wordml" w:rsidP="0952F76D" wp14:paraId="508AAE87" wp14:textId="2795F9DF">
      <w:pPr>
        <w:pStyle w:val="Normal"/>
      </w:pPr>
      <w:r w:rsidR="1FFAEE61">
        <w:rPr/>
        <w:t xml:space="preserve"> </w:t>
      </w:r>
    </w:p>
    <w:p xmlns:wp14="http://schemas.microsoft.com/office/word/2010/wordml" w:rsidP="0952F76D" wp14:paraId="4D3A689B" wp14:textId="24F177FA">
      <w:pPr>
        <w:pStyle w:val="Normal"/>
      </w:pPr>
      <w:r w:rsidR="1FFAEE61">
        <w:rPr/>
        <w:t xml:space="preserve">Student name: </w:t>
      </w:r>
      <w:r w:rsidR="173F0FA8">
        <w:rPr/>
        <w:t>Sojibur Rahman</w:t>
      </w:r>
    </w:p>
    <w:p xmlns:wp14="http://schemas.microsoft.com/office/word/2010/wordml" w:rsidP="0952F76D" wp14:paraId="60294CA6" wp14:textId="2BDE579D">
      <w:pPr>
        <w:pStyle w:val="Normal"/>
      </w:pPr>
      <w:r w:rsidR="1FFAEE61">
        <w:rPr/>
        <w:t xml:space="preserve">Student number: </w:t>
      </w:r>
      <w:r w:rsidR="17942A0D">
        <w:rPr/>
        <w:t>2542626</w:t>
      </w:r>
    </w:p>
    <w:p xmlns:wp14="http://schemas.microsoft.com/office/word/2010/wordml" w:rsidP="0952F76D" wp14:paraId="609DF88F" wp14:textId="4FD95CF6">
      <w:pPr>
        <w:pStyle w:val="Normal"/>
      </w:pPr>
      <w:r w:rsidR="1FFAEE61">
        <w:rPr/>
        <w:t>Programme: Certificate of Higher Education Skills for the Workplace (Health &amp; Social Care)</w:t>
      </w:r>
    </w:p>
    <w:p xmlns:wp14="http://schemas.microsoft.com/office/word/2010/wordml" w:rsidP="0952F76D" wp14:paraId="4FC2C0DE" wp14:textId="6094A3C5">
      <w:pPr>
        <w:pStyle w:val="Normal"/>
      </w:pPr>
      <w:r w:rsidR="1FFAEE61">
        <w:rPr/>
        <w:t>Module: LCHS4007 - Digital Skills and Research Methods</w:t>
      </w:r>
    </w:p>
    <w:p xmlns:wp14="http://schemas.microsoft.com/office/word/2010/wordml" w:rsidP="0952F76D" wp14:paraId="396FFB1A" wp14:textId="195B8E7F">
      <w:pPr>
        <w:pStyle w:val="Normal"/>
      </w:pPr>
      <w:r w:rsidR="1FFAEE61">
        <w:rPr/>
        <w:t xml:space="preserve">Lecturer: </w:t>
      </w:r>
      <w:r w:rsidR="508F7246">
        <w:rPr/>
        <w:t>Dr. Syafiq Zolkeply</w:t>
      </w:r>
    </w:p>
    <w:p xmlns:wp14="http://schemas.microsoft.com/office/word/2010/wordml" w:rsidP="0952F76D" wp14:paraId="3F575FCB" wp14:textId="59518C3C">
      <w:pPr>
        <w:pStyle w:val="Normal"/>
      </w:pPr>
      <w:r w:rsidR="1FFAEE61">
        <w:rPr/>
        <w:t>Main research paper: Couper et al. (2022)</w:t>
      </w:r>
    </w:p>
    <w:p xmlns:wp14="http://schemas.microsoft.com/office/word/2010/wordml" w:rsidP="0952F76D" wp14:paraId="79228BE0" wp14:textId="407DB7CD">
      <w:pPr>
        <w:pStyle w:val="Normal"/>
      </w:pPr>
      <w:r w:rsidR="1FFAEE61">
        <w:rPr/>
        <w:t>Main-body word count: 1490</w:t>
      </w:r>
    </w:p>
    <w:p xmlns:wp14="http://schemas.microsoft.com/office/word/2010/wordml" w:rsidP="0952F76D" wp14:paraId="4C96D44F" wp14:textId="41D3B6AF">
      <w:pPr>
        <w:pStyle w:val="Normal"/>
      </w:pPr>
      <w:r w:rsidR="1FFAEE61">
        <w:rPr/>
        <w:t>Submission date: 21 July 2026</w:t>
      </w:r>
    </w:p>
    <w:p xmlns:wp14="http://schemas.microsoft.com/office/word/2010/wordml" w:rsidP="0952F76D" wp14:paraId="62C946D4" wp14:textId="47E1185C">
      <w:pPr>
        <w:pStyle w:val="Normal"/>
      </w:pPr>
      <w:r w:rsidR="1FFAEE61">
        <w:rPr/>
        <w:t xml:space="preserve"> </w:t>
      </w:r>
    </w:p>
    <w:p xmlns:wp14="http://schemas.microsoft.com/office/word/2010/wordml" w:rsidP="0952F76D" wp14:paraId="0C13B98D" wp14:textId="5F485876">
      <w:pPr>
        <w:pStyle w:val="Normal"/>
      </w:pPr>
      <w:r w:rsidR="1FFAEE61">
        <w:rPr/>
        <w:t>Table of Contents</w:t>
      </w:r>
    </w:p>
    <w:p xmlns:wp14="http://schemas.microsoft.com/office/word/2010/wordml" w:rsidP="0952F76D" wp14:paraId="45F2D446" wp14:textId="0CECB93D">
      <w:pPr>
        <w:pStyle w:val="Normal"/>
      </w:pPr>
      <w:r w:rsidR="1FFAEE61">
        <w:rPr/>
        <w:t>1. Introducing the Research Paper and Topic Development 3</w:t>
      </w:r>
    </w:p>
    <w:p xmlns:wp14="http://schemas.microsoft.com/office/word/2010/wordml" w:rsidP="0952F76D" wp14:paraId="09469F00" wp14:textId="72A50DAF">
      <w:pPr>
        <w:pStyle w:val="Normal"/>
      </w:pPr>
      <w:r w:rsidR="1FFAEE61">
        <w:rPr/>
        <w:t>2. Understanding the Purpose and Research Question 4</w:t>
      </w:r>
    </w:p>
    <w:p xmlns:wp14="http://schemas.microsoft.com/office/word/2010/wordml" w:rsidP="0952F76D" wp14:paraId="110DCA8C" wp14:textId="3647E0F4">
      <w:pPr>
        <w:pStyle w:val="Normal"/>
      </w:pPr>
      <w:r w:rsidR="1FFAEE61">
        <w:rPr/>
        <w:t>3. Understanding and Evaluating the Research Methods 4</w:t>
      </w:r>
    </w:p>
    <w:p xmlns:wp14="http://schemas.microsoft.com/office/word/2010/wordml" w:rsidP="0952F76D" wp14:paraId="3C06833B" wp14:textId="493DE19B">
      <w:pPr>
        <w:pStyle w:val="Normal"/>
      </w:pPr>
      <w:r w:rsidR="1FFAEE61">
        <w:rPr/>
        <w:t>4. Conclusion and Reflection 6</w:t>
      </w:r>
    </w:p>
    <w:p xmlns:wp14="http://schemas.microsoft.com/office/word/2010/wordml" w:rsidP="0952F76D" wp14:paraId="4A63E4E0" wp14:textId="6E6A1E47">
      <w:pPr>
        <w:pStyle w:val="Normal"/>
      </w:pPr>
      <w:r w:rsidR="1FFAEE61">
        <w:rPr/>
        <w:t>Reference list 8</w:t>
      </w:r>
    </w:p>
    <w:p xmlns:wp14="http://schemas.microsoft.com/office/word/2010/wordml" w:rsidP="0952F76D" wp14:paraId="77CCB9A8" wp14:textId="72F34E89">
      <w:pPr>
        <w:pStyle w:val="Normal"/>
      </w:pPr>
      <w:r w:rsidR="1FFAEE61">
        <w:rPr/>
        <w:t xml:space="preserve"> </w:t>
      </w:r>
    </w:p>
    <w:p xmlns:wp14="http://schemas.microsoft.com/office/word/2010/wordml" w:rsidP="0952F76D" wp14:paraId="598E6FED" wp14:textId="7EB81765">
      <w:pPr>
        <w:pStyle w:val="Normal"/>
      </w:pPr>
      <w:r w:rsidR="1FFAEE61">
        <w:rPr/>
        <w:t>1. Introducing the Research Paper and Topic Development</w:t>
      </w:r>
    </w:p>
    <w:p xmlns:wp14="http://schemas.microsoft.com/office/word/2010/wordml" w:rsidP="0952F76D" wp14:paraId="2C47C7F3" wp14:textId="4BCA9754">
      <w:pPr>
        <w:pStyle w:val="Normal"/>
      </w:pPr>
      <w:r w:rsidR="1FFAEE61">
        <w:rPr/>
        <w:t>In this report, the study ‘The impact of COVID-19 on the wellbeing of the UK nursing and midwifery workforce during the first pandemic wave: A longitudinal survey study' by Keith Couper and ten colleagues, published in the International Journal of Nursing Studies in 2022 is examined. The paper aims to examine how the psychological impact of the pandemic has affected nurses and midwives and the personal and occupational factors that correlated with a score suggestive of probable post-traumatic stress disorder (PTSD) (Couper et al., 2022).</w:t>
      </w:r>
    </w:p>
    <w:p xmlns:wp14="http://schemas.microsoft.com/office/word/2010/wordml" w:rsidP="0952F76D" wp14:paraId="613085F3" wp14:textId="0BDD9A42">
      <w:pPr>
        <w:pStyle w:val="Normal"/>
      </w:pPr>
      <w:r w:rsidR="1FFAEE61">
        <w:rPr/>
        <w:t>The subject came about as a result of concerns over the way that infectious-disease emergencies increase the pressures already facing health services. A quick survey showed that health care workers (HCWs) who had frontline exposure, nursing jobs, lack of PPE and family-related concerns were more likely to have worse psychological outcomes (De Kock et al., 2021). Anxiety, depression and trauma-related symptoms was also found in early UK surveys after the first pandemic peak (Wanigasooriya et al., 2020; Gilleen et al., 2021). This worry was brought to the attention of frontline health and social care workers by Greene et al. (2021), who found that both occupational circumstances and personal characteristics were pertinent to various forms of distress. This led to an investigation of workplace factors that could be modified.</w:t>
      </w:r>
    </w:p>
    <w:p xmlns:wp14="http://schemas.microsoft.com/office/word/2010/wordml" w:rsidP="0952F76D" wp14:paraId="77294B3C" wp14:textId="43A69F97">
      <w:pPr>
        <w:pStyle w:val="Normal"/>
      </w:pPr>
      <w:r w:rsidR="1FFAEE61">
        <w:rPr/>
        <w:t>The research related to registered and unregistered workers in the UK nursing and midwifery workforce in various roles and settings. The eligible population, therefore, included staff from more than one hospital or clinical speciality, although the sample achieved was predominantly female, White, and adult registered nurses, Couper et al. (2022). Later qualitative research revealed that nurses reported rapid change, disruption and changed professional identity as part of their report of workforce wellbeing, not just changes in numerical symptom scores (Davey et al., 2022). Frontline professionals were also interviewed on the psychosocial impacts of providing care in extraordinary circumstances (Aughterson et al., 2021).</w:t>
      </w:r>
    </w:p>
    <w:p xmlns:wp14="http://schemas.microsoft.com/office/word/2010/wordml" w:rsidP="0952F76D" wp14:paraId="6D686AB3" wp14:textId="3604067B">
      <w:pPr>
        <w:pStyle w:val="Normal"/>
      </w:pPr>
      <w:r w:rsidR="1FFAEE61">
        <w:rPr/>
        <w:t>This issue is still relevant to UK health and social care as staff wellbeing impacts sickness absence rates, staff retention, continuity of care and being prepared for emergency situations. Based on evidence gathered in each of the six stages of the pandemic, the psychological wellbeing and work-related quality of life of UK health and social care workers have suffered over time (Neill et al., 2023). An understanding of the time of year when distress was highest, and what organisational factors were linked to distress, can help businesses to identify training, protection and support that is responsive to workforce needs.</w:t>
      </w:r>
    </w:p>
    <w:p xmlns:wp14="http://schemas.microsoft.com/office/word/2010/wordml" w:rsidP="0952F76D" wp14:paraId="2BADBF53" wp14:textId="1F014013">
      <w:pPr>
        <w:pStyle w:val="Normal"/>
      </w:pPr>
      <w:r w:rsidR="1FFAEE61">
        <w:rPr/>
        <w:t>2. Understanding the Purpose and Research Question</w:t>
      </w:r>
    </w:p>
    <w:p xmlns:wp14="http://schemas.microsoft.com/office/word/2010/wordml" w:rsidP="0952F76D" wp14:paraId="4C699836" wp14:textId="6B6CEEA3">
      <w:pPr>
        <w:pStyle w:val="Normal"/>
      </w:pPr>
      <w:r w:rsidR="1FFAEE61">
        <w:rPr/>
        <w:t>The study's purpose was to assess the psychological consequences of the initial wave of the COVID-19 pandemic on the UK nursing and midwifery workforce and identify variables that might be associated with likely PTSD (Couper et al., 2022). Its research question is formulated as: What happened to nurses' and midwives' psychological outcomes during the three stages (acceleration, peak, early recovery) and what individual and/or workplace factors predicted an Impact of Events Scale-Revised score of or equal to 33? This is an appropriate question that relates a measurable outcome to aspects that employers may have the potential to change, such as training, redeployment support and availability of protective equipment. It also allowed for comparison over time.</w:t>
      </w:r>
    </w:p>
    <w:p xmlns:wp14="http://schemas.microsoft.com/office/word/2010/wordml" w:rsidP="0952F76D" wp14:paraId="5961FEAC" wp14:textId="247638FE">
      <w:pPr>
        <w:pStyle w:val="Normal"/>
      </w:pPr>
      <w:r w:rsidR="1FFAEE61">
        <w:rPr/>
        <w:t>3. Understanding and Evaluating the Research Methods</w:t>
      </w:r>
    </w:p>
    <w:p xmlns:wp14="http://schemas.microsoft.com/office/word/2010/wordml" w:rsidP="0952F76D" wp14:paraId="20B1ADD5" wp14:textId="555A26E3">
      <w:pPr>
        <w:pStyle w:val="Normal"/>
      </w:pPr>
      <w:r w:rsidR="1FFAEE61">
        <w:rPr/>
        <w:t>Quantitative research collects data of numbers and applies statistical tools to describe trends, test relationships or estimate differences. Qualitative research, focusing on meanings and experiences, uses evidence that is not numerical, such as interviews; mixed-methods research intentionally combines both types of evidence. Cross-sectional studies collect variables at an arbitrary point in time and are quick and convenient for prevalence estimation, but their interpretation in terms of time and causality are constrained (Wang and Cheng, 2020). Qualitative interviews are useful for providing explanations for the experience of organisational pressures, as demonstrated by Aughterson et al. (2021), but are not useful for estimating prevalence in a population.</w:t>
      </w:r>
    </w:p>
    <w:p xmlns:wp14="http://schemas.microsoft.com/office/word/2010/wordml" w:rsidP="0952F76D" wp14:paraId="00BE4EA5" wp14:textId="1A493B83">
      <w:pPr>
        <w:pStyle w:val="Normal"/>
      </w:pPr>
      <w:r w:rsidR="1FFAEE61">
        <w:rPr/>
        <w:t>Couper et al. (2022) conducted a quantitative national online survey at three points in time: 2-14 April, 28 April-12 May and 30 July-20 August 2020. The authors call the design a longitudinal one for the pandemic trajectory. A total of 267 respondents, however, responded to all three surveys and 898 responded to two of the surveys. Thus the researchers considered each time point as a separate sample, and conducted their major analysis accordingly. So, difference at the level of the workforce did not always reflect the change within the person.</w:t>
      </w:r>
    </w:p>
    <w:p xmlns:wp14="http://schemas.microsoft.com/office/word/2010/wordml" w:rsidP="0952F76D" wp14:paraId="34DC83BE" wp14:textId="537984AF">
      <w:pPr>
        <w:pStyle w:val="Normal"/>
      </w:pPr>
      <w:r w:rsidR="1FFAEE61">
        <w:rPr/>
        <w:t>Primary data are those that are gathered for the specific study, while secondary data are those data already available and used for a different study. The choice of primary data was due to the fact that the team designed the questionnaire and administered it to the eligible population of UK nurses and midwives. A secondary study, on the other hand, could be based on a pre-existing source of occupational health and safety data, such as sickness absence data. Primary collection was used to ensure questions captured new issues around the pandemic and allowed for the use of established psychological scales. The drawback of this was the time requirement for recruitment and the burden and voluntary participation of the respondents.</w:t>
      </w:r>
    </w:p>
    <w:p xmlns:wp14="http://schemas.microsoft.com/office/word/2010/wordml" w:rsidP="0952F76D" wp14:paraId="073C0F80" wp14:textId="77A5FE3D">
      <w:pPr>
        <w:pStyle w:val="Normal"/>
      </w:pPr>
      <w:r w:rsidR="1FFAEE61">
        <w:rPr/>
        <w:t>The survey was housed in Qualtrics and advertised via social media, professional organisations, newsletters and the Nursing and Midwifery Council. At later stages, the previous participants who agreed to be contacted again were contacted by e-mail. The questionnaire was about 10-15 minutes and addressed demographics, professional experiences during the pandemic, personal impact, psychological supports and mental-health outcomes. The measures used at the third point were validated: Impact of Events Scale-Revised, and the Depression Anxiety Stress Scales-21, along with burnout and intention-to-leave measures. A total of 7,840 eligible responses were analysed across the three surveys (2,040, 3,638 and 2,162 respectively) (Couper et al., 2022). A major strength of this large national dataset was the ability to make comparisons between roles and circumstances.</w:t>
      </w:r>
    </w:p>
    <w:p xmlns:wp14="http://schemas.microsoft.com/office/word/2010/wordml" w:rsidP="0952F76D" wp14:paraId="74F42965" wp14:textId="3E57784E">
      <w:pPr>
        <w:pStyle w:val="Normal"/>
      </w:pPr>
      <w:r w:rsidR="1FFAEE61">
        <w:rPr/>
        <w:t>However, open links resulted in a self-selecting convenience sample, and an unknown response rate. Those who are distressed may have been particularly encouraged to respond and those who are exhausted or perhaps not have digital access as workers may have been overlooked. There was a lack of confidence in the estimates representing the full staff as non-White staff and healthcare assistants were under-represented. The survey also made some changes to questions as evidence surfaced, making them more relevant, and less completely comparable. The overall concern was backed up by other similar survey studies which found significant symptoms among healthcare workers in the United Kingdom (Wanigasooriya et al., 2020; Gilleen et al., 2021); however, this does not address the shared self-report and selection biases.</w:t>
      </w:r>
    </w:p>
    <w:p xmlns:wp14="http://schemas.microsoft.com/office/word/2010/wordml" w:rsidP="0952F76D" wp14:paraId="21A95D74" wp14:textId="7D94F490">
      <w:pPr>
        <w:pStyle w:val="Normal"/>
      </w:pPr>
      <w:r w:rsidR="1FFAEE61">
        <w:rPr/>
        <w:t>Data cleaning was performed in SPSS and modelling was done in Stata. The researchers summarised categorical variables with frequencies and percentages and continuous outcomes with means and confidence intervals or medians and interquartile ranges. They examined the reliability of the scale, correlations and differences across time. Multiple imputation by chained equations was used to account for missing responses, creating 20 imputed datasets. Finally, multivariable logistic regression was used to estimate relationships between explanatory variables and an Impact of Events Scale-Revised score ≥ 33 (Couper et al., 2022). Proper for the binary outcome and adjustment for multiple characteristics measured.</w:t>
      </w:r>
    </w:p>
    <w:p xmlns:wp14="http://schemas.microsoft.com/office/word/2010/wordml" w:rsidP="0952F76D" wp14:paraId="5C5AE7A0" wp14:textId="643F1ABC">
      <w:pPr>
        <w:pStyle w:val="Normal"/>
      </w:pPr>
      <w:r w:rsidR="1FFAEE61">
        <w:rPr/>
        <w:t>Probable PTSD was found in 44.6%, 37.1% and 29.3% of the respondents at the three points. These associations comprised personal and modifiable workplace factors, including insufficient redeployment training and poor confidence in workplace infection-control preparation (Couper et al., 2022). Additionally, Greene et al. (2021) detected different predictors of PTSD, depression and anxiety among UK frontline workers, further supporting the notion that workplace context is important. An association, however, does not imply causation that PTSD is a result of inadequate training. Some differences may be explained by residual confounding and by changes in samples, and concurrent reductions in hospital pressure, respectively. Furthermore, the cutoff score suggested, and did not diagnose, PTSD.</w:t>
      </w:r>
    </w:p>
    <w:p xmlns:wp14="http://schemas.microsoft.com/office/word/2010/wordml" w:rsidP="0952F76D" wp14:paraId="31DEE1E7" wp14:textId="00BFA333">
      <w:pPr>
        <w:pStyle w:val="Normal"/>
      </w:pPr>
      <w:r w:rsidR="1FFAEE61">
        <w:rPr/>
        <w:t>The method was appropriate as a quick, ready solution for measuring and quantifying a large workforce issue in an emergency. Credibility was enhanced by the use of validated instruments, repetition of collection, and openness with missing data and the regression analysis. At best, it says that serious distress was experienced frequently—and was statistically related to certain personal and organisational conditions—but not necessarily caused by any one condition. Qualitative evidence of resilience, identity and disruption provides explanation (Davey et al., 2022) and Blake et al., (2020) developed a digital support package to illustrate a practical response. A future study that incorporated a mixed methods approach and that followed the same individuals over time and interviewed key subgroups would provide both additional temporal evidence and knowledge of the conditions which support or hinder success.</w:t>
      </w:r>
    </w:p>
    <w:p xmlns:wp14="http://schemas.microsoft.com/office/word/2010/wordml" w:rsidP="0952F76D" wp14:paraId="43A19F72" wp14:textId="2879DB95">
      <w:pPr>
        <w:pStyle w:val="Normal"/>
      </w:pPr>
      <w:r w:rsidR="1FFAEE61">
        <w:rPr/>
        <w:t xml:space="preserve"> </w:t>
      </w:r>
    </w:p>
    <w:p xmlns:wp14="http://schemas.microsoft.com/office/word/2010/wordml" w:rsidP="0952F76D" wp14:paraId="3AE5BAE8" wp14:textId="05D41E92">
      <w:pPr>
        <w:pStyle w:val="Normal"/>
      </w:pPr>
      <w:r w:rsidR="1FFAEE61">
        <w:rPr/>
        <w:t>4. Conclusion and Reflection</w:t>
      </w:r>
    </w:p>
    <w:p xmlns:wp14="http://schemas.microsoft.com/office/word/2010/wordml" w:rsidP="0952F76D" wp14:paraId="0B51BD20" wp14:textId="7863A17F">
      <w:pPr>
        <w:pStyle w:val="Normal"/>
      </w:pPr>
      <w:r w:rsidR="1FFAEE61">
        <w:rPr/>
        <w:t>Three UK national online surveys conducted during the first wave of the pandemic and early recovery were used by Couper et al. (2022) to tackle an important question about the UK workforce. With the quantitative design, the researchers were able to estimate the psychological outcomes, compare the time points and look at associations through a multivariable logistic regression. Results found high prevalence of probable PTSD, and a significant decrease in probable PTSD prevalence, and a significant relationship with various personal and workplace factors. The strength of the study was the use of a large sample, validated scales and detailed statistical procedures. However, representativeness is restricted by self-selection, under representation of certain demographics, incomplete survey linkage and the use of screening measures, and causal interpretation and inferences of individual change are limited.</w:t>
      </w:r>
    </w:p>
    <w:p xmlns:wp14="http://schemas.microsoft.com/office/word/2010/wordml" w:rsidP="0952F76D" wp14:paraId="156C9462" wp14:textId="5CD6FA51">
      <w:pPr>
        <w:pStyle w:val="Normal"/>
      </w:pPr>
      <w:r w:rsidR="1FFAEE61">
        <w:rPr/>
        <w:t>The study is made more convincing by the wider literature but the wider literature does not make the study conclusive. Other UK surveys have indicated high levels of anxiety and depression symptoms, trauma symptoms, and other quantitative studies explained the disruptions that occurred behind these scores, while subsequent evidence indicated that there was further deterioration in aspects of work related wellbeing (Gilleen et al., 2021; Davey et al., 2022; Neill et al., 2023).</w:t>
      </w:r>
    </w:p>
    <w:p xmlns:wp14="http://schemas.microsoft.com/office/word/2010/wordml" w:rsidP="0952F76D" wp14:paraId="3369F4F3" wp14:textId="400D93FA">
      <w:pPr>
        <w:pStyle w:val="Normal"/>
      </w:pPr>
      <w:r w:rsidR="1FFAEE61">
        <w:rPr/>
        <w:t>Finishing this analysis helped me to learn how to separate the "spin" of a study from what the data will truly allow one to say. I gained knowledge about primary data and how to make tools for data collection link to variables, how to interpret odds ratios as association and how to question if samples really are longitudinal. Before taking headline percentages as true in the future study or work, I would verify the recruitment, missing data, validity of the measures, and alternatives explanations. In addition, I would use both statistical evidence and staff accounts when planning services as statistical scale scores give an indication about the scale and distribution of a problem while qualitative evidence provides an indication of what meaningful support should look like.</w:t>
      </w:r>
    </w:p>
    <w:p xmlns:wp14="http://schemas.microsoft.com/office/word/2010/wordml" w:rsidP="0952F76D" wp14:paraId="4AF15227" wp14:textId="42F6D1FB">
      <w:pPr>
        <w:pStyle w:val="Normal"/>
      </w:pPr>
      <w:r w:rsidR="1FFAEE61">
        <w:rPr/>
        <w:t xml:space="preserve"> </w:t>
      </w:r>
    </w:p>
    <w:p xmlns:wp14="http://schemas.microsoft.com/office/word/2010/wordml" w:rsidP="0952F76D" wp14:paraId="1B4A288F" wp14:textId="25C5E827">
      <w:pPr>
        <w:pStyle w:val="Normal"/>
      </w:pPr>
      <w:r w:rsidR="1FFAEE61">
        <w:rPr/>
        <w:t>Reference list</w:t>
      </w:r>
    </w:p>
    <w:p xmlns:wp14="http://schemas.microsoft.com/office/word/2010/wordml" w:rsidP="0952F76D" wp14:paraId="6E07152C" wp14:textId="7E2D919F">
      <w:pPr>
        <w:pStyle w:val="Normal"/>
      </w:pPr>
      <w:r w:rsidR="1FFAEE61">
        <w:rPr/>
        <w:t xml:space="preserve"> </w:t>
      </w:r>
    </w:p>
    <w:p xmlns:wp14="http://schemas.microsoft.com/office/word/2010/wordml" w:rsidP="0952F76D" wp14:paraId="6330CE19" wp14:textId="4FEAC4EB">
      <w:pPr>
        <w:pStyle w:val="Normal"/>
      </w:pPr>
      <w:r w:rsidR="1FFAEE61">
        <w:rPr/>
        <w:t>Aughterson, H., McKinlay, A.R., Fancourt, D. and Burton, A. (2021). Psychosocial impact on frontline health and social care professionals in the UK during the covid-19 pandemic: A qualitative interview study. BMJ open, [online] 11(2), p.e047353. doi:10.1136/bmjopen-2020-047353.</w:t>
      </w:r>
    </w:p>
    <w:p xmlns:wp14="http://schemas.microsoft.com/office/word/2010/wordml" w:rsidP="0952F76D" wp14:paraId="09B6E81A" wp14:textId="00414C86">
      <w:pPr>
        <w:pStyle w:val="Normal"/>
      </w:pPr>
      <w:r w:rsidR="1FFAEE61">
        <w:rPr/>
        <w:t xml:space="preserve"> </w:t>
      </w:r>
    </w:p>
    <w:p xmlns:wp14="http://schemas.microsoft.com/office/word/2010/wordml" w:rsidP="0952F76D" wp14:paraId="22B40E44" wp14:textId="479A570F">
      <w:pPr>
        <w:pStyle w:val="Normal"/>
      </w:pPr>
      <w:r w:rsidR="1FFAEE61">
        <w:rPr/>
        <w:t>Blake, H., Bermingham, F., Johnson, G. and Tabner, A. (2020). Mitigating the psychological impact of Covid-19 on healthcare workers: A digital learning package. International journal of Environmental research and public health, [online] 17(9), p.2997. doi:10.3390/ijerph17092997.</w:t>
      </w:r>
    </w:p>
    <w:p xmlns:wp14="http://schemas.microsoft.com/office/word/2010/wordml" w:rsidP="0952F76D" wp14:paraId="37B5B823" wp14:textId="4A9D329E">
      <w:pPr>
        <w:pStyle w:val="Normal"/>
      </w:pPr>
      <w:r w:rsidR="1FFAEE61">
        <w:rPr/>
        <w:t xml:space="preserve"> </w:t>
      </w:r>
    </w:p>
    <w:p xmlns:wp14="http://schemas.microsoft.com/office/word/2010/wordml" w:rsidP="0952F76D" wp14:paraId="0E87E3EF" wp14:textId="723B1513">
      <w:pPr>
        <w:pStyle w:val="Normal"/>
      </w:pPr>
      <w:r w:rsidR="1FFAEE61">
        <w:rPr/>
        <w:t>Couper, K., Murrells, T., Sanders, J., Anderson, J.E., Blake, H., Kelly, D., Kent, B., Maben, J., Rafferty, A.M., Taylor, R.M. and Harris, R. (2022). The impact of Covid-19 on the wellbeing of the UK nursing and midwifery workforce during the first pandemic wave: A longitudinal survey study. International journal of Nursing studies, [online] 127, p.104155. doi:10.1016/j.ijnurstu.2021.104155.</w:t>
      </w:r>
    </w:p>
    <w:p xmlns:wp14="http://schemas.microsoft.com/office/word/2010/wordml" w:rsidP="0952F76D" wp14:paraId="0B2F9617" wp14:textId="185034B0">
      <w:pPr>
        <w:pStyle w:val="Normal"/>
      </w:pPr>
      <w:r w:rsidR="1FFAEE61">
        <w:rPr/>
        <w:t xml:space="preserve"> </w:t>
      </w:r>
    </w:p>
    <w:p xmlns:wp14="http://schemas.microsoft.com/office/word/2010/wordml" w:rsidP="0952F76D" wp14:paraId="76D77557" wp14:textId="67520F7D">
      <w:pPr>
        <w:pStyle w:val="Normal"/>
      </w:pPr>
      <w:r w:rsidR="1FFAEE61">
        <w:rPr/>
        <w:t>Davey, Z., Srikesavan, C., Cipriani, A. and Henshall, C. (2022). Itis what we do: Experiences of UK nurses working during the covid-19 pandemic: Impact on practice, identity and resilience. Healthcare, [online] 10(9), p.1674. doi:10.3390/healthcare10091674.</w:t>
      </w:r>
    </w:p>
    <w:p xmlns:wp14="http://schemas.microsoft.com/office/word/2010/wordml" w:rsidP="0952F76D" wp14:paraId="28766EFA" wp14:textId="46F2C7A1">
      <w:pPr>
        <w:pStyle w:val="Normal"/>
      </w:pPr>
      <w:r w:rsidR="1FFAEE61">
        <w:rPr/>
        <w:t xml:space="preserve"> </w:t>
      </w:r>
    </w:p>
    <w:p xmlns:wp14="http://schemas.microsoft.com/office/word/2010/wordml" w:rsidP="0952F76D" wp14:paraId="529E12BF" wp14:textId="22A47064">
      <w:pPr>
        <w:pStyle w:val="Normal"/>
      </w:pPr>
      <w:r w:rsidR="1FFAEE61">
        <w:rPr/>
        <w:t>De Kock, J.H., Latham, H.A., Leslie, S.J., Grindle, M., Munoz, S.-A., Ellis, L., Polson, R. and O’Malley, C.M. (2021). A rapid review of the impact of Covid-19 on the mental health of Healthcare workers: Implications for supporting psychological Well-Being. BMC public health, [online] 21(1), p.104. doi:10.1186/s12889-020-10070-3.</w:t>
      </w:r>
    </w:p>
    <w:p xmlns:wp14="http://schemas.microsoft.com/office/word/2010/wordml" w:rsidP="0952F76D" wp14:paraId="3927D94C" wp14:textId="2FC2CD71">
      <w:pPr>
        <w:pStyle w:val="Normal"/>
      </w:pPr>
      <w:r w:rsidR="1FFAEE61">
        <w:rPr/>
        <w:t xml:space="preserve"> </w:t>
      </w:r>
    </w:p>
    <w:p xmlns:wp14="http://schemas.microsoft.com/office/word/2010/wordml" w:rsidP="0952F76D" wp14:paraId="19921FF2" wp14:textId="06041C22">
      <w:pPr>
        <w:pStyle w:val="Normal"/>
      </w:pPr>
      <w:r w:rsidR="1FFAEE61">
        <w:rPr/>
        <w:t>Gilleen, J., Santaolalla, A., Valdearenas, L., Salice, C. and Fusté, M. (2021). Impact of the covid-19 pandemic on the mental health and Well-Being of UK healthcare workers. BJPsych open, [online] 7(3), p.e88. doi:10.1192/bjo.2021.42.</w:t>
      </w:r>
    </w:p>
    <w:p xmlns:wp14="http://schemas.microsoft.com/office/word/2010/wordml" w:rsidP="0952F76D" wp14:paraId="09ADF329" wp14:textId="2FD8D2D0">
      <w:pPr>
        <w:pStyle w:val="Normal"/>
      </w:pPr>
      <w:r w:rsidR="1FFAEE61">
        <w:rPr/>
        <w:t xml:space="preserve"> </w:t>
      </w:r>
    </w:p>
    <w:p xmlns:wp14="http://schemas.microsoft.com/office/word/2010/wordml" w:rsidP="0952F76D" wp14:paraId="1361AA0D" wp14:textId="5F5B1B25">
      <w:pPr>
        <w:pStyle w:val="Normal"/>
      </w:pPr>
      <w:r w:rsidR="1FFAEE61">
        <w:rPr/>
        <w:t>Greene, T., Harju-Seppänen, J., Adeniji, M., Steel, C., Grey, N., Brewin, C.R., Bloomfield, M.A. and Billings, J. (2021). Predictors and rates of PTSD, depression and anxiety in UK frontline health and social care workers during Covid-19. European journal of psychotraumatology, [online] 12(1), p.1882781. doi:10.1080/20008198.2021.1882781.</w:t>
      </w:r>
    </w:p>
    <w:p xmlns:wp14="http://schemas.microsoft.com/office/word/2010/wordml" w:rsidP="0952F76D" wp14:paraId="42DBDFCA" wp14:textId="57A7EE56">
      <w:pPr>
        <w:pStyle w:val="Normal"/>
      </w:pPr>
      <w:r w:rsidR="1FFAEE61">
        <w:rPr/>
        <w:t xml:space="preserve"> </w:t>
      </w:r>
    </w:p>
    <w:p xmlns:wp14="http://schemas.microsoft.com/office/word/2010/wordml" w:rsidP="0952F76D" wp14:paraId="4C164662" wp14:textId="02AA0123">
      <w:pPr>
        <w:pStyle w:val="Normal"/>
      </w:pPr>
      <w:r w:rsidR="1FFAEE61">
        <w:rPr/>
        <w:t>Neill, R.D., McFadden, P., Manthorpe, J., Mallett, J., Currie, D., Schroder, H., Ravalier, J., Nicholl, P., Moriarty, J., McGrory, S., Naylor, R., Davies, H. and MacLochlainn, J. (2023). Changing responses during the covid-19 pandemic: A comparison of Psychological wellbeing and Work-Related quality of Life of UK health and social care workers. BioMed, [online] 3(3), pp.369--386. doi:10.3390/biomed3030030.</w:t>
      </w:r>
    </w:p>
    <w:p xmlns:wp14="http://schemas.microsoft.com/office/word/2010/wordml" w:rsidP="0952F76D" wp14:paraId="1DED1324" wp14:textId="7840F728">
      <w:pPr>
        <w:pStyle w:val="Normal"/>
      </w:pPr>
      <w:r w:rsidR="1FFAEE61">
        <w:rPr/>
        <w:t xml:space="preserve"> </w:t>
      </w:r>
    </w:p>
    <w:p xmlns:wp14="http://schemas.microsoft.com/office/word/2010/wordml" w:rsidP="0952F76D" wp14:paraId="2693E6EF" wp14:textId="5C9F63A3">
      <w:pPr>
        <w:pStyle w:val="Normal"/>
      </w:pPr>
      <w:r w:rsidR="1FFAEE61">
        <w:rPr/>
        <w:t>Wang, X. and Cheng, Z. (2020). Cross-Sectional studies: Strengths, weaknesses, and recommendations. Chest, [online] 158(1), pp.S65--S71. doi:10.1016/j.chest.2020.03.012.</w:t>
      </w:r>
    </w:p>
    <w:p xmlns:wp14="http://schemas.microsoft.com/office/word/2010/wordml" w:rsidP="0952F76D" wp14:paraId="19452E0E" wp14:textId="1AA14B40">
      <w:pPr>
        <w:pStyle w:val="Normal"/>
      </w:pPr>
      <w:r w:rsidR="1FFAEE61">
        <w:rPr/>
        <w:t xml:space="preserve"> </w:t>
      </w:r>
    </w:p>
    <w:p xmlns:wp14="http://schemas.microsoft.com/office/word/2010/wordml" w:rsidP="0952F76D" wp14:paraId="5E5787A5" wp14:textId="2B983E51">
      <w:pPr>
        <w:pStyle w:val="Normal"/>
      </w:pPr>
      <w:r w:rsidR="1FFAEE61">
        <w:rPr/>
        <w:t>Wanigasooriya, K., Palimar, P., Naumann, D.N., Ismail, K., Fellows, J.L., Logan, P., Thompson, C.V., Bermingham, H., Beggs, A.D. and Ismail, T. (2020). Mental health symptoms in a cohort of Hospital healthcare workers following the first peak of the covid-19 pandemic in the UK. BJPsych open, [online] 7(1), p.e24. doi:10.1192/bjo.2020.150.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1AA42D"/>
    <w:rsid w:val="0584DE63"/>
    <w:rsid w:val="0952F76D"/>
    <w:rsid w:val="173F0FA8"/>
    <w:rsid w:val="17942A0D"/>
    <w:rsid w:val="194F93AD"/>
    <w:rsid w:val="1FFAEE61"/>
    <w:rsid w:val="4474549B"/>
    <w:rsid w:val="4BDBF32D"/>
    <w:rsid w:val="508F7246"/>
    <w:rsid w:val="6C0CC080"/>
    <w:rsid w:val="7B1AA4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09324"/>
  <w15:chartTrackingRefBased/>
  <w15:docId w15:val="{11DF0EE2-4C99-4015-AFC4-B10D7AE567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Sojibur Rahman (2542626)</dc:creator>
  <keywords/>
  <dc:description/>
  <lastModifiedBy>Sojibur Rahman (2542626)</lastModifiedBy>
  <revision>2</revision>
  <dcterms:created xsi:type="dcterms:W3CDTF">2026-07-20T23:11:38.1832046Z</dcterms:created>
  <dcterms:modified xsi:type="dcterms:W3CDTF">2026-07-20T23:14:19.1714569Z</dcterms:modified>
</coreProperties>
</file>