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BACFD28" w14:textId="77777777" w:rsidR="000F2674" w:rsidRPr="007D5066" w:rsidRDefault="000F2674" w:rsidP="000F2674">
      <w:pPr>
        <w:pStyle w:val="s3"/>
        <w:spacing w:after="120"/>
        <w:jc w:val="center"/>
        <w:rPr>
          <w:rStyle w:val="s4"/>
          <w:rFonts w:ascii="Arial" w:hAnsi="Arial" w:cs="Arial"/>
          <w:b/>
          <w:bCs/>
          <w:color w:val="153D63" w:themeColor="text2" w:themeTint="E6"/>
          <w:sz w:val="32"/>
          <w:szCs w:val="32"/>
        </w:rPr>
      </w:pPr>
      <w:r w:rsidRPr="007D5066">
        <w:rPr>
          <w:rStyle w:val="s4"/>
          <w:rFonts w:ascii="Arial" w:hAnsi="Arial" w:cs="Arial"/>
          <w:b/>
          <w:bCs/>
          <w:color w:val="153D63" w:themeColor="text2" w:themeTint="E6"/>
          <w:sz w:val="32"/>
          <w:szCs w:val="32"/>
        </w:rPr>
        <w:t>University of Wales Trinity Saint David</w:t>
      </w:r>
    </w:p>
    <w:p w14:paraId="1678CB57" w14:textId="77777777" w:rsidR="000F2674" w:rsidRPr="007D5066" w:rsidRDefault="000F2674" w:rsidP="000F2674">
      <w:pPr>
        <w:pStyle w:val="s3"/>
        <w:spacing w:after="120"/>
        <w:jc w:val="center"/>
        <w:rPr>
          <w:rStyle w:val="s4"/>
          <w:rFonts w:ascii="Arial" w:hAnsi="Arial" w:cs="Arial"/>
          <w:b/>
          <w:bCs/>
          <w:color w:val="153D63" w:themeColor="text2" w:themeTint="E6"/>
        </w:rPr>
      </w:pPr>
    </w:p>
    <w:p w14:paraId="331D79FC" w14:textId="77777777" w:rsidR="000F2674" w:rsidRPr="007D5066" w:rsidRDefault="000F2674" w:rsidP="000F2674">
      <w:pPr>
        <w:pStyle w:val="s3"/>
        <w:spacing w:after="120"/>
        <w:jc w:val="center"/>
        <w:rPr>
          <w:rStyle w:val="s4"/>
          <w:rFonts w:ascii="Arial" w:hAnsi="Arial" w:cs="Arial"/>
          <w:b/>
          <w:bCs/>
          <w:color w:val="153D63" w:themeColor="text2" w:themeTint="E6"/>
          <w:sz w:val="28"/>
          <w:szCs w:val="28"/>
        </w:rPr>
      </w:pPr>
      <w:r w:rsidRPr="007D5066">
        <w:rPr>
          <w:rStyle w:val="s4"/>
          <w:rFonts w:ascii="Arial" w:hAnsi="Arial" w:cs="Arial"/>
          <w:b/>
          <w:bCs/>
          <w:color w:val="153D63" w:themeColor="text2" w:themeTint="E6"/>
          <w:sz w:val="28"/>
          <w:szCs w:val="28"/>
        </w:rPr>
        <w:t>Programme: BSc (Hons) Health and Social Care</w:t>
      </w:r>
    </w:p>
    <w:p w14:paraId="0CDD86ED" w14:textId="77777777" w:rsidR="000F2674" w:rsidRPr="007D5066" w:rsidRDefault="000F2674" w:rsidP="000F2674">
      <w:pPr>
        <w:pStyle w:val="s3"/>
        <w:spacing w:after="120"/>
        <w:jc w:val="center"/>
        <w:rPr>
          <w:rStyle w:val="s4"/>
          <w:rFonts w:ascii="Arial" w:hAnsi="Arial" w:cs="Arial"/>
          <w:b/>
          <w:bCs/>
          <w:color w:val="153D63" w:themeColor="text2" w:themeTint="E6"/>
          <w:sz w:val="28"/>
          <w:szCs w:val="28"/>
        </w:rPr>
      </w:pPr>
    </w:p>
    <w:p w14:paraId="298DE56D" w14:textId="77777777" w:rsidR="000F2674" w:rsidRPr="007D5066" w:rsidRDefault="000F2674" w:rsidP="000F2674">
      <w:pPr>
        <w:pStyle w:val="s3"/>
        <w:spacing w:after="120"/>
        <w:jc w:val="center"/>
        <w:rPr>
          <w:rStyle w:val="s4"/>
          <w:rFonts w:ascii="Arial" w:hAnsi="Arial" w:cs="Arial"/>
          <w:b/>
          <w:bCs/>
          <w:color w:val="153D63" w:themeColor="text2" w:themeTint="E6"/>
          <w:sz w:val="28"/>
          <w:szCs w:val="28"/>
        </w:rPr>
      </w:pPr>
      <w:r w:rsidRPr="007D5066">
        <w:rPr>
          <w:rStyle w:val="s4"/>
          <w:rFonts w:ascii="Arial" w:hAnsi="Arial" w:cs="Arial"/>
          <w:b/>
          <w:bCs/>
          <w:color w:val="153D63" w:themeColor="text2" w:themeTint="E6"/>
          <w:sz w:val="28"/>
          <w:szCs w:val="28"/>
        </w:rPr>
        <w:t>BMHP6027 – Empowering the Older Person</w:t>
      </w:r>
    </w:p>
    <w:p w14:paraId="43A74A55" w14:textId="77777777" w:rsidR="000F2674" w:rsidRPr="007D5066" w:rsidRDefault="000F2674" w:rsidP="000F2674">
      <w:pPr>
        <w:pStyle w:val="s3"/>
        <w:spacing w:after="120"/>
        <w:jc w:val="center"/>
        <w:rPr>
          <w:rStyle w:val="s4"/>
          <w:rFonts w:ascii="Arial" w:hAnsi="Arial" w:cs="Arial"/>
          <w:b/>
          <w:bCs/>
          <w:color w:val="153D63" w:themeColor="text2" w:themeTint="E6"/>
          <w:sz w:val="28"/>
          <w:szCs w:val="28"/>
        </w:rPr>
      </w:pPr>
    </w:p>
    <w:p w14:paraId="03DB8084" w14:textId="77777777" w:rsidR="000F2674" w:rsidRPr="007D5066" w:rsidRDefault="000F2674" w:rsidP="000F2674">
      <w:pPr>
        <w:pStyle w:val="s3"/>
        <w:spacing w:after="120"/>
        <w:jc w:val="center"/>
        <w:rPr>
          <w:rStyle w:val="s4"/>
          <w:rFonts w:ascii="Arial" w:hAnsi="Arial" w:cs="Arial"/>
          <w:b/>
          <w:bCs/>
          <w:color w:val="153D63" w:themeColor="text2" w:themeTint="E6"/>
          <w:sz w:val="28"/>
          <w:szCs w:val="28"/>
        </w:rPr>
      </w:pPr>
      <w:r w:rsidRPr="007D5066">
        <w:rPr>
          <w:rStyle w:val="s4"/>
          <w:rFonts w:ascii="Arial" w:hAnsi="Arial" w:cs="Arial"/>
          <w:b/>
          <w:bCs/>
          <w:color w:val="153D63" w:themeColor="text2" w:themeTint="E6"/>
          <w:sz w:val="28"/>
          <w:szCs w:val="28"/>
        </w:rPr>
        <w:t>Component 2: Debate / Discussion</w:t>
      </w:r>
    </w:p>
    <w:p w14:paraId="16DDEF12" w14:textId="77777777" w:rsidR="000F2674" w:rsidRDefault="000F2674" w:rsidP="000F2674">
      <w:pPr>
        <w:pStyle w:val="s3"/>
        <w:spacing w:after="120"/>
        <w:rPr>
          <w:rStyle w:val="s4"/>
          <w:rFonts w:ascii="Arial" w:hAnsi="Arial" w:cs="Arial"/>
          <w:b/>
          <w:bCs/>
          <w:color w:val="153D63" w:themeColor="text2" w:themeTint="E6"/>
          <w:sz w:val="22"/>
          <w:szCs w:val="22"/>
        </w:rPr>
      </w:pPr>
    </w:p>
    <w:p w14:paraId="5B2931F8" w14:textId="77777777" w:rsidR="000F2674" w:rsidRPr="007D5066" w:rsidRDefault="000F2674" w:rsidP="000F2674">
      <w:pPr>
        <w:pStyle w:val="s3"/>
        <w:spacing w:after="120"/>
        <w:rPr>
          <w:rStyle w:val="s4"/>
          <w:rFonts w:ascii="Arial" w:hAnsi="Arial" w:cs="Arial"/>
          <w:b/>
          <w:bCs/>
          <w:color w:val="153D63" w:themeColor="text2" w:themeTint="E6"/>
          <w:sz w:val="22"/>
          <w:szCs w:val="22"/>
        </w:rPr>
      </w:pPr>
    </w:p>
    <w:p w14:paraId="566EEC48" w14:textId="77777777" w:rsidR="000F2674" w:rsidRPr="007D5066" w:rsidRDefault="000F2674" w:rsidP="000F2674">
      <w:pPr>
        <w:pStyle w:val="s3"/>
        <w:spacing w:before="0" w:beforeAutospacing="0" w:after="120" w:afterAutospacing="0"/>
        <w:jc w:val="center"/>
        <w:rPr>
          <w:rStyle w:val="s4"/>
          <w:rFonts w:ascii="Arial" w:hAnsi="Arial" w:cs="Arial"/>
          <w:b/>
          <w:bCs/>
          <w:color w:val="153D63" w:themeColor="text2" w:themeTint="E6"/>
          <w:sz w:val="36"/>
          <w:szCs w:val="36"/>
        </w:rPr>
      </w:pPr>
      <w:r w:rsidRPr="007D5066">
        <w:rPr>
          <w:rStyle w:val="s4"/>
          <w:rFonts w:ascii="Arial" w:hAnsi="Arial" w:cs="Arial"/>
          <w:b/>
          <w:bCs/>
          <w:color w:val="153D63" w:themeColor="text2" w:themeTint="E6"/>
          <w:sz w:val="36"/>
          <w:szCs w:val="36"/>
        </w:rPr>
        <w:t>Are Dementia Patients Better Supported by Family or Professional Caregivers?</w:t>
      </w:r>
    </w:p>
    <w:p w14:paraId="786B634A" w14:textId="77777777" w:rsidR="000F2674" w:rsidRPr="007D5066" w:rsidRDefault="000F2674" w:rsidP="000F2674">
      <w:pPr>
        <w:pStyle w:val="s3"/>
        <w:spacing w:before="0" w:beforeAutospacing="0" w:after="120" w:afterAutospacing="0"/>
        <w:jc w:val="center"/>
        <w:rPr>
          <w:rStyle w:val="s4"/>
          <w:rFonts w:ascii="Arial" w:hAnsi="Arial" w:cs="Arial"/>
          <w:b/>
          <w:bCs/>
          <w:color w:val="153D63" w:themeColor="text2" w:themeTint="E6"/>
          <w:sz w:val="22"/>
          <w:szCs w:val="22"/>
        </w:rPr>
      </w:pPr>
    </w:p>
    <w:p w14:paraId="4ACD059E" w14:textId="77777777" w:rsidR="000F2674" w:rsidRDefault="000F2674" w:rsidP="000F2674">
      <w:pPr>
        <w:pStyle w:val="s3"/>
        <w:spacing w:before="0" w:beforeAutospacing="0" w:after="120" w:afterAutospacing="0"/>
        <w:rPr>
          <w:rStyle w:val="s4"/>
          <w:rFonts w:ascii="Arial" w:hAnsi="Arial" w:cs="Arial"/>
          <w:b/>
          <w:bCs/>
          <w:color w:val="000000"/>
          <w:sz w:val="22"/>
          <w:szCs w:val="22"/>
        </w:rPr>
      </w:pPr>
    </w:p>
    <w:p w14:paraId="365D6247" w14:textId="77777777" w:rsidR="000F2674" w:rsidRDefault="000F2674" w:rsidP="000F2674">
      <w:pPr>
        <w:pStyle w:val="s3"/>
        <w:spacing w:before="0" w:beforeAutospacing="0" w:after="120" w:afterAutospacing="0"/>
        <w:rPr>
          <w:rStyle w:val="s4"/>
          <w:rFonts w:ascii="Arial" w:hAnsi="Arial" w:cs="Arial"/>
          <w:b/>
          <w:bCs/>
          <w:color w:val="000000"/>
          <w:sz w:val="22"/>
          <w:szCs w:val="22"/>
        </w:rPr>
      </w:pPr>
    </w:p>
    <w:p w14:paraId="37901C81" w14:textId="77777777" w:rsidR="000F2674" w:rsidRDefault="000F2674" w:rsidP="000F2674">
      <w:pPr>
        <w:pStyle w:val="s3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</w:p>
    <w:p w14:paraId="2EA24B1E" w14:textId="77777777" w:rsidR="000F2674" w:rsidRPr="001F6703" w:rsidRDefault="000F2674" w:rsidP="000F2674">
      <w:pPr>
        <w:pStyle w:val="s3"/>
        <w:spacing w:before="0" w:beforeAutospacing="0" w:after="120" w:afterAutospacing="0"/>
        <w:jc w:val="center"/>
        <w:rPr>
          <w:rFonts w:ascii="Arial" w:hAnsi="Arial" w:cs="Arial"/>
          <w:color w:val="000000"/>
        </w:rPr>
      </w:pPr>
      <w:r w:rsidRPr="001F6703">
        <w:rPr>
          <w:rFonts w:ascii="Arial" w:hAnsi="Arial" w:cs="Arial"/>
          <w:color w:val="000000"/>
        </w:rPr>
        <w:t>Student name: Rozilene Araujo</w:t>
      </w:r>
    </w:p>
    <w:p w14:paraId="232897F7" w14:textId="77777777" w:rsidR="000F2674" w:rsidRPr="001F6703" w:rsidRDefault="000F2674" w:rsidP="000F2674">
      <w:pPr>
        <w:pStyle w:val="s3"/>
        <w:spacing w:before="0" w:beforeAutospacing="0" w:after="120" w:afterAutospacing="0"/>
        <w:jc w:val="center"/>
        <w:rPr>
          <w:rFonts w:ascii="Arial" w:hAnsi="Arial" w:cs="Arial"/>
          <w:color w:val="000000"/>
        </w:rPr>
      </w:pPr>
    </w:p>
    <w:p w14:paraId="675A9EF1" w14:textId="77777777" w:rsidR="000F2674" w:rsidRPr="001F6703" w:rsidRDefault="000F2674" w:rsidP="000F2674">
      <w:pPr>
        <w:pStyle w:val="s3"/>
        <w:spacing w:before="0" w:beforeAutospacing="0" w:after="120" w:afterAutospacing="0"/>
        <w:jc w:val="center"/>
        <w:rPr>
          <w:rFonts w:ascii="Arial" w:hAnsi="Arial" w:cs="Arial"/>
          <w:color w:val="000000"/>
        </w:rPr>
      </w:pPr>
      <w:r w:rsidRPr="001F6703">
        <w:rPr>
          <w:rFonts w:ascii="Arial" w:hAnsi="Arial" w:cs="Arial"/>
          <w:color w:val="000000"/>
        </w:rPr>
        <w:t>Student number: 2319163</w:t>
      </w:r>
    </w:p>
    <w:p w14:paraId="1A9076F1" w14:textId="77777777" w:rsidR="000F2674" w:rsidRPr="001F6703" w:rsidRDefault="000F2674" w:rsidP="000F2674">
      <w:pPr>
        <w:pStyle w:val="s3"/>
        <w:spacing w:before="0" w:beforeAutospacing="0" w:after="120" w:afterAutospacing="0"/>
        <w:jc w:val="center"/>
        <w:rPr>
          <w:rFonts w:ascii="Arial" w:hAnsi="Arial" w:cs="Arial"/>
          <w:color w:val="000000"/>
        </w:rPr>
      </w:pPr>
    </w:p>
    <w:p w14:paraId="332FCAE7" w14:textId="77777777" w:rsidR="000F2674" w:rsidRPr="001F6703" w:rsidRDefault="000F2674" w:rsidP="000F2674">
      <w:pPr>
        <w:pStyle w:val="s3"/>
        <w:spacing w:before="0" w:beforeAutospacing="0" w:after="120" w:afterAutospacing="0"/>
        <w:jc w:val="center"/>
        <w:rPr>
          <w:rFonts w:ascii="Arial" w:hAnsi="Arial" w:cs="Arial"/>
          <w:color w:val="000000"/>
        </w:rPr>
      </w:pPr>
      <w:r w:rsidRPr="001F6703">
        <w:rPr>
          <w:rFonts w:ascii="Arial" w:hAnsi="Arial" w:cs="Arial"/>
          <w:color w:val="000000"/>
        </w:rPr>
        <w:t>Module: Empowering the Older Person</w:t>
      </w:r>
    </w:p>
    <w:p w14:paraId="4B87C11B" w14:textId="77777777" w:rsidR="000F2674" w:rsidRPr="001F6703" w:rsidRDefault="000F2674" w:rsidP="000F2674">
      <w:pPr>
        <w:pStyle w:val="s3"/>
        <w:spacing w:before="0" w:beforeAutospacing="0" w:after="120" w:afterAutospacing="0"/>
        <w:jc w:val="center"/>
        <w:rPr>
          <w:rFonts w:ascii="Arial" w:hAnsi="Arial" w:cs="Arial"/>
          <w:color w:val="000000"/>
        </w:rPr>
      </w:pPr>
    </w:p>
    <w:p w14:paraId="320803B3" w14:textId="77777777" w:rsidR="000F2674" w:rsidRPr="001F6703" w:rsidRDefault="000F2674" w:rsidP="000F2674">
      <w:pPr>
        <w:pStyle w:val="s3"/>
        <w:spacing w:before="0" w:beforeAutospacing="0" w:after="120" w:afterAutospacing="0"/>
        <w:jc w:val="center"/>
        <w:rPr>
          <w:rFonts w:ascii="Arial" w:hAnsi="Arial" w:cs="Arial"/>
          <w:color w:val="000000"/>
        </w:rPr>
      </w:pPr>
      <w:r w:rsidRPr="001F6703">
        <w:rPr>
          <w:rFonts w:ascii="Arial" w:hAnsi="Arial" w:cs="Arial"/>
          <w:color w:val="000000"/>
        </w:rPr>
        <w:t>Module code: BMHP6027</w:t>
      </w:r>
    </w:p>
    <w:p w14:paraId="7882AA2A" w14:textId="77777777" w:rsidR="000F2674" w:rsidRPr="001F6703" w:rsidRDefault="000F2674" w:rsidP="000F2674">
      <w:pPr>
        <w:pStyle w:val="s3"/>
        <w:spacing w:before="0" w:beforeAutospacing="0" w:after="120" w:afterAutospacing="0"/>
        <w:jc w:val="center"/>
        <w:rPr>
          <w:rFonts w:ascii="Arial" w:hAnsi="Arial" w:cs="Arial"/>
          <w:color w:val="000000"/>
        </w:rPr>
      </w:pPr>
    </w:p>
    <w:p w14:paraId="47C6F9AE" w14:textId="77777777" w:rsidR="000F2674" w:rsidRPr="001F6703" w:rsidRDefault="000F2674" w:rsidP="000F2674">
      <w:pPr>
        <w:pStyle w:val="s3"/>
        <w:spacing w:before="0" w:beforeAutospacing="0" w:after="120" w:afterAutospacing="0"/>
        <w:jc w:val="center"/>
        <w:rPr>
          <w:rFonts w:ascii="Arial" w:hAnsi="Arial" w:cs="Arial"/>
          <w:color w:val="000000"/>
        </w:rPr>
      </w:pPr>
      <w:r w:rsidRPr="001F6703">
        <w:rPr>
          <w:rFonts w:ascii="Arial" w:hAnsi="Arial" w:cs="Arial"/>
          <w:color w:val="000000"/>
        </w:rPr>
        <w:t>Submission date: Friday 10</w:t>
      </w:r>
      <w:r w:rsidRPr="001F6703">
        <w:rPr>
          <w:rFonts w:ascii="Arial" w:hAnsi="Arial" w:cs="Arial"/>
          <w:color w:val="000000"/>
          <w:vertAlign w:val="superscript"/>
        </w:rPr>
        <w:t>th</w:t>
      </w:r>
      <w:r w:rsidRPr="001F6703">
        <w:rPr>
          <w:rFonts w:ascii="Arial" w:hAnsi="Arial" w:cs="Arial"/>
          <w:color w:val="000000"/>
        </w:rPr>
        <w:t xml:space="preserve"> July 2026</w:t>
      </w:r>
    </w:p>
    <w:p w14:paraId="37655BC2" w14:textId="77777777" w:rsidR="000F2674" w:rsidRPr="001F6703" w:rsidRDefault="000F2674" w:rsidP="000F2674">
      <w:pPr>
        <w:pStyle w:val="s3"/>
        <w:spacing w:before="0" w:beforeAutospacing="0" w:after="120" w:afterAutospacing="0"/>
        <w:jc w:val="center"/>
        <w:rPr>
          <w:rFonts w:ascii="Arial" w:hAnsi="Arial" w:cs="Arial"/>
          <w:color w:val="000000"/>
        </w:rPr>
      </w:pPr>
    </w:p>
    <w:p w14:paraId="467DE942" w14:textId="77777777" w:rsidR="000F2674" w:rsidRPr="001F6703" w:rsidRDefault="000F2674" w:rsidP="000F2674">
      <w:pPr>
        <w:pStyle w:val="s3"/>
        <w:spacing w:before="0" w:beforeAutospacing="0" w:after="120" w:afterAutospacing="0"/>
        <w:jc w:val="center"/>
        <w:rPr>
          <w:rFonts w:ascii="Arial" w:hAnsi="Arial" w:cs="Arial"/>
          <w:color w:val="000000"/>
        </w:rPr>
      </w:pPr>
      <w:r w:rsidRPr="001F6703">
        <w:rPr>
          <w:rFonts w:ascii="Arial" w:hAnsi="Arial" w:cs="Arial"/>
          <w:color w:val="000000"/>
        </w:rPr>
        <w:t>Lecturer: Dr Kennedy Obohwemu</w:t>
      </w:r>
    </w:p>
    <w:p w14:paraId="676A6343" w14:textId="77777777" w:rsidR="000F2674" w:rsidRPr="001F6703" w:rsidRDefault="000F2674" w:rsidP="000F2674">
      <w:pPr>
        <w:pStyle w:val="s3"/>
        <w:spacing w:before="0" w:beforeAutospacing="0" w:after="120" w:afterAutospacing="0"/>
        <w:jc w:val="center"/>
        <w:rPr>
          <w:rStyle w:val="s2"/>
          <w:rFonts w:ascii="Aptos" w:hAnsi="Aptos"/>
          <w:b/>
          <w:bCs/>
          <w:color w:val="000000"/>
        </w:rPr>
      </w:pPr>
    </w:p>
    <w:p w14:paraId="776EFCD2" w14:textId="77777777" w:rsidR="000F2674" w:rsidRDefault="000F2674" w:rsidP="000F2674">
      <w:pPr>
        <w:pStyle w:val="NormalWeb"/>
        <w:spacing w:before="0" w:beforeAutospacing="0" w:after="0" w:afterAutospacing="0" w:line="216" w:lineRule="atLeast"/>
        <w:rPr>
          <w:rFonts w:ascii="-webkit-standard" w:hAnsi="-webkit-standard"/>
          <w:color w:val="000000"/>
          <w:sz w:val="18"/>
          <w:szCs w:val="18"/>
        </w:rPr>
      </w:pPr>
    </w:p>
    <w:p w14:paraId="77E5EB50" w14:textId="77777777" w:rsidR="000F2674" w:rsidRDefault="000F2674" w:rsidP="000F2674">
      <w:pPr>
        <w:spacing w:before="100" w:beforeAutospacing="1" w:after="100" w:afterAutospacing="1" w:line="300" w:lineRule="atLeast"/>
        <w:rPr>
          <w:rFonts w:ascii="Arial" w:hAnsi="Arial" w:cs="Arial"/>
          <w:b/>
          <w:bCs/>
          <w:sz w:val="22"/>
          <w:szCs w:val="22"/>
        </w:rPr>
      </w:pPr>
    </w:p>
    <w:p w14:paraId="4FC3CFE8" w14:textId="77777777" w:rsidR="00BC2C78" w:rsidRDefault="00BC2C78" w:rsidP="000F2674">
      <w:pPr>
        <w:spacing w:before="100" w:beforeAutospacing="1" w:after="100" w:afterAutospacing="1" w:line="300" w:lineRule="atLeast"/>
        <w:rPr>
          <w:rFonts w:ascii="Arial" w:hAnsi="Arial" w:cs="Arial"/>
          <w:b/>
          <w:bCs/>
          <w:sz w:val="22"/>
          <w:szCs w:val="22"/>
        </w:rPr>
      </w:pPr>
    </w:p>
    <w:p w14:paraId="4A8152F9" w14:textId="7A920B2E" w:rsidR="000F2674" w:rsidRPr="003E2B4D" w:rsidRDefault="000F2674" w:rsidP="003E2B4D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b/>
          <w:bCs/>
          <w:sz w:val="22"/>
          <w:szCs w:val="22"/>
        </w:rPr>
        <w:lastRenderedPageBreak/>
        <w:t>Reference</w:t>
      </w:r>
    </w:p>
    <w:p w14:paraId="5E58FE7C" w14:textId="0BE2171F" w:rsidR="000F2674" w:rsidRPr="003E2B4D" w:rsidRDefault="000F2674" w:rsidP="003E2B4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Alzheimer’s Association (2024) </w:t>
      </w:r>
      <w:r w:rsidRPr="003E2B4D">
        <w:rPr>
          <w:rStyle w:val="Emphasis"/>
          <w:rFonts w:ascii="Arial" w:hAnsi="Arial" w:cs="Arial"/>
          <w:sz w:val="22"/>
          <w:szCs w:val="22"/>
        </w:rPr>
        <w:t>Alzheimer’s disease facts and figures</w:t>
      </w:r>
      <w:r w:rsidRPr="003E2B4D">
        <w:rPr>
          <w:rFonts w:ascii="Arial" w:hAnsi="Arial" w:cs="Arial"/>
          <w:sz w:val="22"/>
          <w:szCs w:val="22"/>
        </w:rPr>
        <w:t>. Available at: https://www.alz.org (Accessed: 29 June 2026).</w:t>
      </w:r>
    </w:p>
    <w:p w14:paraId="1727C7B2" w14:textId="77777777" w:rsidR="000F2674" w:rsidRPr="003E2B4D" w:rsidRDefault="000F2674" w:rsidP="003E2B4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Alzheimer’s Disease International (2022) </w:t>
      </w:r>
      <w:r w:rsidRPr="003E2B4D">
        <w:rPr>
          <w:rStyle w:val="Emphasis"/>
          <w:rFonts w:ascii="Arial" w:hAnsi="Arial" w:cs="Arial"/>
          <w:sz w:val="22"/>
          <w:szCs w:val="22"/>
        </w:rPr>
        <w:t>World Alzheimer Report 2022: Life after diagnosis: Navigating treatment, care and support</w:t>
      </w:r>
      <w:r w:rsidRPr="003E2B4D">
        <w:rPr>
          <w:rFonts w:ascii="Arial" w:hAnsi="Arial" w:cs="Arial"/>
          <w:sz w:val="22"/>
          <w:szCs w:val="22"/>
        </w:rPr>
        <w:t>. London: ADI.</w:t>
      </w:r>
    </w:p>
    <w:p w14:paraId="6C24B9AC" w14:textId="77777777" w:rsidR="000F2674" w:rsidRPr="003E2B4D" w:rsidRDefault="000F2674" w:rsidP="003E2B4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Alzheimer’s Society (2024) </w:t>
      </w:r>
      <w:r w:rsidRPr="003E2B4D">
        <w:rPr>
          <w:rStyle w:val="Emphasis"/>
          <w:rFonts w:ascii="Arial" w:hAnsi="Arial" w:cs="Arial"/>
          <w:sz w:val="22"/>
          <w:szCs w:val="22"/>
        </w:rPr>
        <w:t>How many people have dementia in the UK?</w:t>
      </w:r>
      <w:r w:rsidRPr="003E2B4D">
        <w:rPr>
          <w:rFonts w:ascii="Arial" w:hAnsi="Arial" w:cs="Arial"/>
          <w:sz w:val="22"/>
          <w:szCs w:val="22"/>
        </w:rPr>
        <w:t xml:space="preserve"> Available at: https://www.alzheimers.org.uk (Accessed: 29 June 2026).</w:t>
      </w:r>
    </w:p>
    <w:p w14:paraId="57F3FCA9" w14:textId="77777777" w:rsidR="000F2674" w:rsidRPr="003E2B4D" w:rsidRDefault="000F2674" w:rsidP="003E2B4D">
      <w:pPr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Care Quality Commission (2022) </w:t>
      </w:r>
      <w:r w:rsidRPr="003E2B4D">
        <w:rPr>
          <w:rFonts w:ascii="Arial" w:hAnsi="Arial" w:cs="Arial"/>
          <w:i/>
          <w:iCs/>
          <w:sz w:val="22"/>
          <w:szCs w:val="22"/>
        </w:rPr>
        <w:t xml:space="preserve">The state of health care and adult social care in England 2021/22. </w:t>
      </w:r>
      <w:r w:rsidRPr="003E2B4D">
        <w:rPr>
          <w:rFonts w:ascii="Arial" w:hAnsi="Arial" w:cs="Arial"/>
          <w:sz w:val="22"/>
          <w:szCs w:val="22"/>
        </w:rPr>
        <w:t>London: Care Quality Commission. Available at: https://www.cqc.org.uk/publication/state-care-202122 (Accessed: 30 June 2026).</w:t>
      </w:r>
    </w:p>
    <w:p w14:paraId="4630BEEE" w14:textId="77777777" w:rsidR="000F2674" w:rsidRPr="003E2B4D" w:rsidRDefault="000F2674" w:rsidP="003E2B4D">
      <w:pPr>
        <w:spacing w:line="360" w:lineRule="auto"/>
        <w:rPr>
          <w:rFonts w:ascii="Arial" w:hAnsi="Arial" w:cs="Arial"/>
          <w:sz w:val="22"/>
          <w:szCs w:val="22"/>
        </w:rPr>
      </w:pPr>
    </w:p>
    <w:p w14:paraId="57197AA4" w14:textId="0F714BD2" w:rsidR="000F2674" w:rsidRPr="003E2B4D" w:rsidRDefault="000F2674" w:rsidP="003E2B4D">
      <w:pPr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proofErr w:type="spellStart"/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Combrinck</w:t>
      </w:r>
      <w:proofErr w:type="spellEnd"/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Y., Van Wyk, N.C. and Mogale, R.S. (2022) </w:t>
      </w:r>
      <w:r w:rsidR="00324245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‘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Preserving nurses’ professional dignity: Six evidence</w:t>
      </w:r>
      <w:r w:rsidRPr="003E2B4D">
        <w:rPr>
          <w:rFonts w:ascii="Cambria Math" w:hAnsi="Cambria Math" w:cs="Cambria Math"/>
          <w:color w:val="222222"/>
          <w:sz w:val="22"/>
          <w:szCs w:val="22"/>
          <w:shd w:val="clear" w:color="auto" w:fill="FFFFFF"/>
        </w:rPr>
        <w:t>‐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based strategies</w:t>
      </w:r>
      <w:r w:rsidR="00CB28BC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’,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3E2B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International Nursing Review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E2B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69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pp.106-113.</w:t>
      </w:r>
    </w:p>
    <w:p w14:paraId="0782B8AD" w14:textId="7D9424D6" w:rsidR="000F2674" w:rsidRPr="003E2B4D" w:rsidRDefault="000F2674" w:rsidP="003E2B4D">
      <w:pPr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Cumming, E. and Henry, W.E. (1961) </w:t>
      </w:r>
      <w:r w:rsidR="00AC61D7" w:rsidRPr="003E2B4D">
        <w:rPr>
          <w:rFonts w:ascii="Arial" w:hAnsi="Arial" w:cs="Arial"/>
          <w:sz w:val="22"/>
          <w:szCs w:val="22"/>
        </w:rPr>
        <w:t>‘</w:t>
      </w:r>
      <w:r w:rsidRPr="003E2B4D">
        <w:rPr>
          <w:rFonts w:ascii="Arial" w:hAnsi="Arial" w:cs="Arial"/>
          <w:sz w:val="22"/>
          <w:szCs w:val="22"/>
        </w:rPr>
        <w:t>Growing old</w:t>
      </w:r>
      <w:r w:rsidR="00AC61D7" w:rsidRPr="003E2B4D">
        <w:rPr>
          <w:rFonts w:ascii="Arial" w:hAnsi="Arial" w:cs="Arial"/>
          <w:sz w:val="22"/>
          <w:szCs w:val="22"/>
        </w:rPr>
        <w:t>’</w:t>
      </w:r>
      <w:r w:rsidRPr="003E2B4D">
        <w:rPr>
          <w:rFonts w:ascii="Arial" w:hAnsi="Arial" w:cs="Arial"/>
          <w:sz w:val="22"/>
          <w:szCs w:val="22"/>
        </w:rPr>
        <w:t xml:space="preserve">: </w:t>
      </w:r>
      <w:r w:rsidRPr="003E2B4D">
        <w:rPr>
          <w:rFonts w:ascii="Arial" w:hAnsi="Arial" w:cs="Arial"/>
          <w:i/>
          <w:iCs/>
          <w:sz w:val="22"/>
          <w:szCs w:val="22"/>
        </w:rPr>
        <w:t>The process of disengagement.</w:t>
      </w:r>
      <w:r w:rsidRPr="003E2B4D">
        <w:rPr>
          <w:rFonts w:ascii="Arial" w:hAnsi="Arial" w:cs="Arial"/>
          <w:sz w:val="22"/>
          <w:szCs w:val="22"/>
        </w:rPr>
        <w:t xml:space="preserve"> New York: Basic Books.</w:t>
      </w:r>
    </w:p>
    <w:p w14:paraId="3CF3892F" w14:textId="77777777" w:rsidR="000F2674" w:rsidRPr="003E2B4D" w:rsidRDefault="000F2674" w:rsidP="003E2B4D">
      <w:pPr>
        <w:spacing w:line="360" w:lineRule="auto"/>
        <w:rPr>
          <w:rFonts w:ascii="Arial" w:hAnsi="Arial" w:cs="Arial"/>
          <w:sz w:val="22"/>
          <w:szCs w:val="22"/>
        </w:rPr>
      </w:pPr>
    </w:p>
    <w:p w14:paraId="65E29CB9" w14:textId="77777777" w:rsidR="000F2674" w:rsidRPr="003E2B4D" w:rsidRDefault="000F2674" w:rsidP="003E2B4D">
      <w:pPr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Department of Health and Social Care (2014) </w:t>
      </w:r>
      <w:r w:rsidRPr="003E2B4D">
        <w:rPr>
          <w:rFonts w:ascii="Arial" w:hAnsi="Arial" w:cs="Arial"/>
          <w:i/>
          <w:iCs/>
          <w:sz w:val="22"/>
          <w:szCs w:val="22"/>
        </w:rPr>
        <w:t>Care Act 2014. London: The Stationery Office.</w:t>
      </w:r>
      <w:r w:rsidRPr="003E2B4D">
        <w:rPr>
          <w:rFonts w:ascii="Arial" w:hAnsi="Arial" w:cs="Arial"/>
          <w:sz w:val="22"/>
          <w:szCs w:val="22"/>
        </w:rPr>
        <w:t xml:space="preserve"> Available at: https://www.legislation.gov.uk/ukpga/2014/23/contents (Accessed: 30 June 2026).</w:t>
      </w:r>
    </w:p>
    <w:p w14:paraId="41A35E71" w14:textId="77777777" w:rsidR="000F2674" w:rsidRPr="003E2B4D" w:rsidRDefault="000F2674" w:rsidP="003E2B4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Department of Health and Social Care (2023) </w:t>
      </w:r>
      <w:r w:rsidRPr="003E2B4D">
        <w:rPr>
          <w:rStyle w:val="Emphasis"/>
          <w:rFonts w:ascii="Arial" w:hAnsi="Arial" w:cs="Arial"/>
          <w:sz w:val="22"/>
          <w:szCs w:val="22"/>
        </w:rPr>
        <w:t>Adult social care workforce in England</w:t>
      </w:r>
      <w:r w:rsidRPr="003E2B4D">
        <w:rPr>
          <w:rFonts w:ascii="Arial" w:hAnsi="Arial" w:cs="Arial"/>
          <w:sz w:val="22"/>
          <w:szCs w:val="22"/>
        </w:rPr>
        <w:t>. London: DHSC.</w:t>
      </w:r>
    </w:p>
    <w:p w14:paraId="4FCB10ED" w14:textId="47B33E5E" w:rsidR="00C12C86" w:rsidRPr="003E2B4D" w:rsidRDefault="00C12C86" w:rsidP="003E2B4D">
      <w:pPr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>García-Martín, V., de Hoyos-Alonso, M.C., Delgado-Puebla, R., Ariza-Cardiel, G. and del Cura-González, I. (2023) ‘Burden in caregivers of primary care patients with dementia: influence of neuropsychiatric symptoms according to disease stage (</w:t>
      </w:r>
      <w:proofErr w:type="spellStart"/>
      <w:r w:rsidRPr="003E2B4D">
        <w:rPr>
          <w:rFonts w:ascii="Arial" w:hAnsi="Arial" w:cs="Arial"/>
          <w:sz w:val="22"/>
          <w:szCs w:val="22"/>
        </w:rPr>
        <w:t>NeDEM</w:t>
      </w:r>
      <w:proofErr w:type="spellEnd"/>
      <w:r w:rsidRPr="003E2B4D">
        <w:rPr>
          <w:rFonts w:ascii="Arial" w:hAnsi="Arial" w:cs="Arial"/>
          <w:sz w:val="22"/>
          <w:szCs w:val="22"/>
        </w:rPr>
        <w:t xml:space="preserve"> project)’, </w:t>
      </w:r>
      <w:r w:rsidRPr="003E2B4D">
        <w:rPr>
          <w:rStyle w:val="Emphasis"/>
          <w:rFonts w:ascii="Arial" w:hAnsi="Arial" w:cs="Arial"/>
          <w:sz w:val="22"/>
          <w:szCs w:val="22"/>
        </w:rPr>
        <w:t>BMC Geriatrics</w:t>
      </w:r>
      <w:r w:rsidRPr="003E2B4D">
        <w:rPr>
          <w:rFonts w:ascii="Arial" w:hAnsi="Arial" w:cs="Arial"/>
          <w:sz w:val="22"/>
          <w:szCs w:val="22"/>
        </w:rPr>
        <w:t>, 23(1), p. 525.</w:t>
      </w:r>
    </w:p>
    <w:p w14:paraId="27C0397C" w14:textId="43D8833C" w:rsidR="000F2674" w:rsidRPr="003E2B4D" w:rsidRDefault="000F2674" w:rsidP="003E2B4D">
      <w:pPr>
        <w:pStyle w:val="NormalWeb"/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Goto, Y., Morita, K., Suematsu, M., Imaizumi, T. and Suzuki, Y., </w:t>
      </w:r>
      <w:r w:rsidR="00ED0647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2023</w:t>
      </w:r>
      <w:r w:rsidR="00ED0647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795A6F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‘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Caregiver burdens, health risks, coping and interventions among caregivers of dementia patients: a review of the literature</w:t>
      </w:r>
      <w:r w:rsidR="00BD4BDC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’,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3E2B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Internal Medicine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E2B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62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(22), pp.3277-3282.</w:t>
      </w:r>
    </w:p>
    <w:p w14:paraId="146A1BCC" w14:textId="327DDE27" w:rsidR="000F2674" w:rsidRPr="003E2B4D" w:rsidRDefault="000F2674" w:rsidP="003E2B4D">
      <w:pPr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>Human Rights Act 1998. (1998)</w:t>
      </w:r>
      <w:r w:rsidR="008A1079" w:rsidRPr="003E2B4D">
        <w:rPr>
          <w:rFonts w:ascii="Arial" w:hAnsi="Arial" w:cs="Arial"/>
          <w:sz w:val="22"/>
          <w:szCs w:val="22"/>
        </w:rPr>
        <w:t xml:space="preserve"> </w:t>
      </w:r>
      <w:r w:rsidRPr="003E2B4D">
        <w:rPr>
          <w:rFonts w:ascii="Arial" w:hAnsi="Arial" w:cs="Arial"/>
          <w:sz w:val="22"/>
          <w:szCs w:val="22"/>
        </w:rPr>
        <w:t xml:space="preserve">London: The Stationery Office. </w:t>
      </w:r>
    </w:p>
    <w:p w14:paraId="45B91B1B" w14:textId="5A1680B4" w:rsidR="000F2674" w:rsidRPr="003E2B4D" w:rsidRDefault="000F2674" w:rsidP="003E2B4D">
      <w:pPr>
        <w:pStyle w:val="NormalWeb"/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lastRenderedPageBreak/>
        <w:t xml:space="preserve">McDaniel, K.R. and Allen, D.G., </w:t>
      </w:r>
      <w:r w:rsidR="008C76C0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2025</w:t>
      </w:r>
      <w:r w:rsidR="008C76C0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8C76C0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‘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Working and </w:t>
      </w:r>
      <w:proofErr w:type="gramStart"/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care-giving</w:t>
      </w:r>
      <w:proofErr w:type="gramEnd"/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: The impact on caregiver stress, family-work conflict, and burnout</w:t>
      </w:r>
      <w:r w:rsidR="008C76C0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’, </w:t>
      </w:r>
      <w:r w:rsidRPr="003E2B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Journal of Life Care Planning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E2B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10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(4).</w:t>
      </w:r>
    </w:p>
    <w:p w14:paraId="6951A4E9" w14:textId="4B496451" w:rsidR="000F2674" w:rsidRPr="003E2B4D" w:rsidRDefault="000F2674" w:rsidP="003E2B4D">
      <w:pPr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>Mental Capacity Act</w:t>
      </w:r>
      <w:r w:rsidR="00606F96" w:rsidRPr="003E2B4D">
        <w:rPr>
          <w:rFonts w:ascii="Arial" w:hAnsi="Arial" w:cs="Arial"/>
          <w:sz w:val="22"/>
          <w:szCs w:val="22"/>
        </w:rPr>
        <w:t xml:space="preserve"> </w:t>
      </w:r>
      <w:r w:rsidRPr="003E2B4D">
        <w:rPr>
          <w:rFonts w:ascii="Arial" w:hAnsi="Arial" w:cs="Arial"/>
          <w:sz w:val="22"/>
          <w:szCs w:val="22"/>
        </w:rPr>
        <w:t>(2005)</w:t>
      </w:r>
      <w:r w:rsidR="00510377" w:rsidRPr="003E2B4D">
        <w:rPr>
          <w:rFonts w:ascii="Arial" w:hAnsi="Arial" w:cs="Arial"/>
          <w:sz w:val="22"/>
          <w:szCs w:val="22"/>
        </w:rPr>
        <w:t xml:space="preserve"> </w:t>
      </w:r>
      <w:r w:rsidRPr="003E2B4D">
        <w:rPr>
          <w:rFonts w:ascii="Arial" w:hAnsi="Arial" w:cs="Arial"/>
          <w:sz w:val="22"/>
          <w:szCs w:val="22"/>
        </w:rPr>
        <w:t xml:space="preserve">London: The Stationery Office. </w:t>
      </w:r>
    </w:p>
    <w:p w14:paraId="7C307122" w14:textId="77777777" w:rsidR="000F2674" w:rsidRPr="003E2B4D" w:rsidRDefault="000F2674" w:rsidP="003E2B4D">
      <w:pPr>
        <w:spacing w:line="360" w:lineRule="auto"/>
        <w:rPr>
          <w:rFonts w:ascii="Arial" w:hAnsi="Arial" w:cs="Arial"/>
          <w:sz w:val="22"/>
          <w:szCs w:val="22"/>
        </w:rPr>
      </w:pPr>
    </w:p>
    <w:p w14:paraId="6971142B" w14:textId="5AC0D761" w:rsidR="000F2674" w:rsidRPr="003E2B4D" w:rsidRDefault="000F2674" w:rsidP="003E2B4D">
      <w:pPr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>Mental Health Act</w:t>
      </w:r>
      <w:r w:rsidR="00606F96" w:rsidRPr="003E2B4D">
        <w:rPr>
          <w:rFonts w:ascii="Arial" w:hAnsi="Arial" w:cs="Arial"/>
          <w:sz w:val="22"/>
          <w:szCs w:val="22"/>
        </w:rPr>
        <w:t xml:space="preserve"> </w:t>
      </w:r>
      <w:r w:rsidRPr="003E2B4D">
        <w:rPr>
          <w:rFonts w:ascii="Arial" w:hAnsi="Arial" w:cs="Arial"/>
          <w:sz w:val="22"/>
          <w:szCs w:val="22"/>
        </w:rPr>
        <w:t>(2007) London: The Stationery Office.</w:t>
      </w:r>
    </w:p>
    <w:p w14:paraId="321FA856" w14:textId="42571DD4" w:rsidR="000F2674" w:rsidRPr="003E2B4D" w:rsidRDefault="000F2674" w:rsidP="003E2B4D">
      <w:pPr>
        <w:pStyle w:val="NormalWeb"/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Mercier, C., Rollason, V., Eshmawey, M., Mendes, A. and </w:t>
      </w:r>
      <w:proofErr w:type="spellStart"/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Frisoni</w:t>
      </w:r>
      <w:proofErr w:type="spellEnd"/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G.B., </w:t>
      </w:r>
      <w:r w:rsidR="00951081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2024</w:t>
      </w:r>
      <w:r w:rsidR="00951081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61019D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‘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The treatment of behavioural and psychological symptoms in dementia: pragmatic recommendations</w:t>
      </w:r>
      <w:r w:rsidR="004C1CFA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’,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3E2B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Psychogeriatrics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E2B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24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(4), pp.968-982.</w:t>
      </w:r>
    </w:p>
    <w:p w14:paraId="0389C89B" w14:textId="561CC3FE" w:rsidR="000F2674" w:rsidRPr="003E2B4D" w:rsidRDefault="000F2674" w:rsidP="003E2B4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Monteiro, J.M., Gonçalves, R., Bastos, A. and Barbosa, M.R., </w:t>
      </w:r>
      <w:r w:rsidR="004F77FA" w:rsidRPr="003E2B4D">
        <w:rPr>
          <w:rFonts w:ascii="Arial" w:hAnsi="Arial" w:cs="Arial"/>
          <w:sz w:val="22"/>
          <w:szCs w:val="22"/>
        </w:rPr>
        <w:t>(</w:t>
      </w:r>
      <w:r w:rsidRPr="003E2B4D">
        <w:rPr>
          <w:rFonts w:ascii="Arial" w:hAnsi="Arial" w:cs="Arial"/>
          <w:sz w:val="22"/>
          <w:szCs w:val="22"/>
        </w:rPr>
        <w:t>2024</w:t>
      </w:r>
      <w:r w:rsidR="004F77FA" w:rsidRPr="003E2B4D">
        <w:rPr>
          <w:rFonts w:ascii="Arial" w:hAnsi="Arial" w:cs="Arial"/>
          <w:sz w:val="22"/>
          <w:szCs w:val="22"/>
        </w:rPr>
        <w:t>)</w:t>
      </w:r>
      <w:r w:rsidRPr="003E2B4D">
        <w:rPr>
          <w:rFonts w:ascii="Arial" w:hAnsi="Arial" w:cs="Arial"/>
          <w:sz w:val="22"/>
          <w:szCs w:val="22"/>
        </w:rPr>
        <w:t xml:space="preserve"> </w:t>
      </w:r>
      <w:r w:rsidR="004F77FA" w:rsidRPr="003E2B4D">
        <w:rPr>
          <w:rFonts w:ascii="Arial" w:hAnsi="Arial" w:cs="Arial"/>
          <w:sz w:val="22"/>
          <w:szCs w:val="22"/>
        </w:rPr>
        <w:t>‘</w:t>
      </w:r>
      <w:r w:rsidRPr="003E2B4D">
        <w:rPr>
          <w:rFonts w:ascii="Arial" w:hAnsi="Arial" w:cs="Arial"/>
          <w:sz w:val="22"/>
          <w:szCs w:val="22"/>
        </w:rPr>
        <w:t>Social engagement and wellbeing in late life: A systematic review</w:t>
      </w:r>
      <w:r w:rsidR="000834CE" w:rsidRPr="003E2B4D">
        <w:rPr>
          <w:rFonts w:ascii="Arial" w:hAnsi="Arial" w:cs="Arial"/>
          <w:sz w:val="22"/>
          <w:szCs w:val="22"/>
        </w:rPr>
        <w:t>’,</w:t>
      </w:r>
      <w:r w:rsidRPr="003E2B4D">
        <w:rPr>
          <w:rFonts w:ascii="Arial" w:hAnsi="Arial" w:cs="Arial"/>
          <w:sz w:val="22"/>
          <w:szCs w:val="22"/>
        </w:rPr>
        <w:t xml:space="preserve"> </w:t>
      </w:r>
      <w:r w:rsidRPr="003E2B4D">
        <w:rPr>
          <w:rFonts w:ascii="Arial" w:hAnsi="Arial" w:cs="Arial"/>
          <w:i/>
          <w:iCs/>
          <w:sz w:val="22"/>
          <w:szCs w:val="22"/>
        </w:rPr>
        <w:t>Ageing &amp; Society</w:t>
      </w:r>
      <w:r w:rsidRPr="003E2B4D">
        <w:rPr>
          <w:rFonts w:ascii="Arial" w:hAnsi="Arial" w:cs="Arial"/>
          <w:sz w:val="22"/>
          <w:szCs w:val="22"/>
        </w:rPr>
        <w:t>, pp.1-28.</w:t>
      </w:r>
    </w:p>
    <w:p w14:paraId="57E1A239" w14:textId="77777777" w:rsidR="000F2674" w:rsidRPr="003E2B4D" w:rsidRDefault="000F2674" w:rsidP="003E2B4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National Health Service (NHS) (2024) </w:t>
      </w:r>
      <w:r w:rsidRPr="003E2B4D">
        <w:rPr>
          <w:rStyle w:val="Emphasis"/>
          <w:rFonts w:ascii="Arial" w:hAnsi="Arial" w:cs="Arial"/>
          <w:sz w:val="22"/>
          <w:szCs w:val="22"/>
        </w:rPr>
        <w:t>Dementia care and support guide</w:t>
      </w:r>
      <w:r w:rsidRPr="003E2B4D">
        <w:rPr>
          <w:rFonts w:ascii="Arial" w:hAnsi="Arial" w:cs="Arial"/>
          <w:sz w:val="22"/>
          <w:szCs w:val="22"/>
        </w:rPr>
        <w:t>. Available at: https://www.nhs.uk (Accessed: 29 June 2026).</w:t>
      </w:r>
    </w:p>
    <w:p w14:paraId="06193C3A" w14:textId="68A28CF9" w:rsidR="000F2674" w:rsidRPr="003E2B4D" w:rsidRDefault="000F2674" w:rsidP="003E2B4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National Institute on Ageing (2022) </w:t>
      </w:r>
      <w:r w:rsidRPr="003E2B4D">
        <w:rPr>
          <w:rStyle w:val="Emphasis"/>
          <w:rFonts w:ascii="Arial" w:hAnsi="Arial" w:cs="Arial"/>
          <w:sz w:val="22"/>
          <w:szCs w:val="22"/>
        </w:rPr>
        <w:t>Dementia care and caregiver support research</w:t>
      </w:r>
      <w:r w:rsidRPr="003E2B4D">
        <w:rPr>
          <w:rFonts w:ascii="Arial" w:hAnsi="Arial" w:cs="Arial"/>
          <w:sz w:val="22"/>
          <w:szCs w:val="22"/>
        </w:rPr>
        <w:t>. Available at: https://www.nia.nih.gov (Accessed: 29 June 2026).</w:t>
      </w:r>
    </w:p>
    <w:p w14:paraId="57F5FB14" w14:textId="7B07919C" w:rsidR="00662757" w:rsidRPr="003E2B4D" w:rsidRDefault="00662757" w:rsidP="003E2B4D">
      <w:pPr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National Institute for Health and Care Excellence (NICE) (2018) </w:t>
      </w:r>
      <w:r w:rsidRPr="003E2B4D">
        <w:rPr>
          <w:rStyle w:val="Emphasis"/>
          <w:rFonts w:ascii="Arial" w:hAnsi="Arial" w:cs="Arial"/>
          <w:sz w:val="22"/>
          <w:szCs w:val="22"/>
        </w:rPr>
        <w:t>Dementia: assessment, management and support for people living with dementia and their carers (NG97).</w:t>
      </w:r>
      <w:r w:rsidRPr="003E2B4D">
        <w:rPr>
          <w:rFonts w:ascii="Arial" w:hAnsi="Arial" w:cs="Arial"/>
          <w:sz w:val="22"/>
          <w:szCs w:val="22"/>
        </w:rPr>
        <w:t xml:space="preserve"> London: NICE. Available at: https://www.nice.org.uk/guidance/ng97 (Accessed: </w:t>
      </w:r>
      <w:r w:rsidR="005F0282" w:rsidRPr="003E2B4D">
        <w:rPr>
          <w:rFonts w:ascii="Arial" w:hAnsi="Arial" w:cs="Arial"/>
          <w:sz w:val="22"/>
          <w:szCs w:val="22"/>
        </w:rPr>
        <w:t>28 June 2026</w:t>
      </w:r>
      <w:r w:rsidRPr="003E2B4D">
        <w:rPr>
          <w:rFonts w:ascii="Arial" w:hAnsi="Arial" w:cs="Arial"/>
          <w:sz w:val="22"/>
          <w:szCs w:val="22"/>
        </w:rPr>
        <w:t>).</w:t>
      </w:r>
    </w:p>
    <w:p w14:paraId="5C651741" w14:textId="77777777" w:rsidR="00662757" w:rsidRPr="003E2B4D" w:rsidRDefault="00662757" w:rsidP="003E2B4D">
      <w:pPr>
        <w:spacing w:line="360" w:lineRule="auto"/>
        <w:rPr>
          <w:rFonts w:ascii="Arial" w:hAnsi="Arial" w:cs="Arial"/>
          <w:sz w:val="22"/>
          <w:szCs w:val="22"/>
        </w:rPr>
      </w:pPr>
    </w:p>
    <w:p w14:paraId="4EC1322F" w14:textId="314F5B4D" w:rsidR="000F2674" w:rsidRPr="003E2B4D" w:rsidRDefault="000F2674" w:rsidP="003E2B4D">
      <w:pPr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National Institute for Health and Care Excellence (NICE) (2021) </w:t>
      </w:r>
      <w:r w:rsidRPr="003E2B4D">
        <w:rPr>
          <w:rFonts w:ascii="Arial" w:hAnsi="Arial" w:cs="Arial"/>
          <w:i/>
          <w:iCs/>
          <w:sz w:val="22"/>
          <w:szCs w:val="22"/>
        </w:rPr>
        <w:t>Safeguarding adults in care homes.</w:t>
      </w:r>
      <w:r w:rsidRPr="003E2B4D">
        <w:rPr>
          <w:rFonts w:ascii="Arial" w:hAnsi="Arial" w:cs="Arial"/>
          <w:sz w:val="22"/>
          <w:szCs w:val="22"/>
        </w:rPr>
        <w:t xml:space="preserve"> London: National Institute for Health and Care Excellence. Available at: </w:t>
      </w:r>
      <w:hyperlink r:id="rId4" w:history="1">
        <w:r w:rsidR="00024111" w:rsidRPr="003E2B4D">
          <w:rPr>
            <w:rStyle w:val="Hyperlink"/>
            <w:rFonts w:ascii="Arial" w:hAnsi="Arial" w:cs="Arial"/>
            <w:sz w:val="22"/>
            <w:szCs w:val="22"/>
          </w:rPr>
          <w:t>https://www.nice.org.uk/guidance/NG189</w:t>
        </w:r>
      </w:hyperlink>
      <w:r w:rsidR="00024111" w:rsidRPr="003E2B4D">
        <w:rPr>
          <w:rFonts w:ascii="Arial" w:hAnsi="Arial" w:cs="Arial"/>
          <w:sz w:val="22"/>
          <w:szCs w:val="22"/>
        </w:rPr>
        <w:t xml:space="preserve"> (A</w:t>
      </w:r>
      <w:r w:rsidR="00511731" w:rsidRPr="003E2B4D">
        <w:rPr>
          <w:rFonts w:ascii="Arial" w:hAnsi="Arial" w:cs="Arial"/>
          <w:sz w:val="22"/>
          <w:szCs w:val="22"/>
        </w:rPr>
        <w:t>ccessed: 28 June 2026).</w:t>
      </w:r>
    </w:p>
    <w:p w14:paraId="43551D3F" w14:textId="77777777" w:rsidR="00B12D94" w:rsidRPr="003E2B4D" w:rsidRDefault="00B12D94" w:rsidP="003E2B4D">
      <w:pPr>
        <w:spacing w:line="360" w:lineRule="auto"/>
        <w:rPr>
          <w:rFonts w:ascii="Arial" w:hAnsi="Arial" w:cs="Arial"/>
          <w:sz w:val="22"/>
          <w:szCs w:val="22"/>
        </w:rPr>
      </w:pPr>
    </w:p>
    <w:p w14:paraId="30222BEC" w14:textId="4BCD0DEB" w:rsidR="00B12D94" w:rsidRPr="003E2B4D" w:rsidRDefault="00B12D94" w:rsidP="003E2B4D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3E2B4D">
        <w:rPr>
          <w:rFonts w:ascii="Arial" w:hAnsi="Arial" w:cs="Arial"/>
          <w:sz w:val="22"/>
          <w:szCs w:val="22"/>
        </w:rPr>
        <w:t>Niotis</w:t>
      </w:r>
      <w:proofErr w:type="spellEnd"/>
      <w:r w:rsidRPr="003E2B4D">
        <w:rPr>
          <w:rFonts w:ascii="Arial" w:hAnsi="Arial" w:cs="Arial"/>
          <w:sz w:val="22"/>
          <w:szCs w:val="22"/>
        </w:rPr>
        <w:t xml:space="preserve">, K., Akiyoshi, K., Carlton, C. and Isaacson, R. (2022) 'Dementia prevention in clinical practice', </w:t>
      </w:r>
      <w:r w:rsidRPr="003E2B4D">
        <w:rPr>
          <w:rStyle w:val="Emphasis"/>
          <w:rFonts w:ascii="Arial" w:hAnsi="Arial" w:cs="Arial"/>
          <w:sz w:val="22"/>
          <w:szCs w:val="22"/>
        </w:rPr>
        <w:t>Seminars in Neurology</w:t>
      </w:r>
      <w:r w:rsidRPr="003E2B4D">
        <w:rPr>
          <w:rFonts w:ascii="Arial" w:hAnsi="Arial" w:cs="Arial"/>
          <w:sz w:val="22"/>
          <w:szCs w:val="22"/>
        </w:rPr>
        <w:t>, 42(5), pp. 525–548. doi:10.1055/s-0042-1756461.</w:t>
      </w:r>
    </w:p>
    <w:p w14:paraId="6CC2C804" w14:textId="77777777" w:rsidR="009C54E2" w:rsidRPr="003E2B4D" w:rsidRDefault="009C54E2" w:rsidP="003E2B4D">
      <w:pPr>
        <w:spacing w:line="360" w:lineRule="auto"/>
        <w:rPr>
          <w:rFonts w:ascii="Arial" w:hAnsi="Arial" w:cs="Arial"/>
          <w:sz w:val="22"/>
          <w:szCs w:val="22"/>
        </w:rPr>
      </w:pPr>
    </w:p>
    <w:p w14:paraId="5D106B09" w14:textId="04DC82E8" w:rsidR="009C54E2" w:rsidRPr="003E2B4D" w:rsidRDefault="009C54E2" w:rsidP="003E2B4D">
      <w:pPr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O'Donnell, H. (2023) 'A review of primary, secondary, and tertiary prevention strategies for Alzheimer's Disease', </w:t>
      </w:r>
      <w:r w:rsidRPr="003E2B4D">
        <w:rPr>
          <w:rStyle w:val="Emphasis"/>
          <w:rFonts w:ascii="Arial" w:hAnsi="Arial" w:cs="Arial"/>
          <w:sz w:val="22"/>
          <w:szCs w:val="22"/>
        </w:rPr>
        <w:t>Undergraduate Journal of Public Health</w:t>
      </w:r>
      <w:r w:rsidRPr="003E2B4D">
        <w:rPr>
          <w:rFonts w:ascii="Arial" w:hAnsi="Arial" w:cs="Arial"/>
          <w:sz w:val="22"/>
          <w:szCs w:val="22"/>
        </w:rPr>
        <w:t xml:space="preserve">, 7. </w:t>
      </w:r>
      <w:hyperlink r:id="rId5" w:history="1">
        <w:r w:rsidR="002A1FF5" w:rsidRPr="003E2B4D">
          <w:rPr>
            <w:rStyle w:val="Hyperlink"/>
            <w:rFonts w:ascii="Arial" w:hAnsi="Arial" w:cs="Arial"/>
            <w:sz w:val="22"/>
            <w:szCs w:val="22"/>
          </w:rPr>
          <w:t>https://doi.org/10.3998/ujph.3946</w:t>
        </w:r>
      </w:hyperlink>
    </w:p>
    <w:p w14:paraId="3FE67CFC" w14:textId="77777777" w:rsidR="002A1FF5" w:rsidRPr="003E2B4D" w:rsidRDefault="002A1FF5" w:rsidP="003E2B4D">
      <w:pPr>
        <w:spacing w:line="360" w:lineRule="auto"/>
        <w:rPr>
          <w:rFonts w:ascii="Arial" w:hAnsi="Arial" w:cs="Arial"/>
          <w:sz w:val="22"/>
          <w:szCs w:val="22"/>
        </w:rPr>
      </w:pPr>
    </w:p>
    <w:p w14:paraId="280AEE8B" w14:textId="56042508" w:rsidR="002A1FF5" w:rsidRPr="003E2B4D" w:rsidRDefault="002A1FF5" w:rsidP="003E2B4D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3E2B4D">
        <w:rPr>
          <w:rFonts w:ascii="Arial" w:hAnsi="Arial" w:cs="Arial"/>
          <w:sz w:val="22"/>
          <w:szCs w:val="22"/>
        </w:rPr>
        <w:t>Piolatto</w:t>
      </w:r>
      <w:proofErr w:type="spellEnd"/>
      <w:r w:rsidRPr="003E2B4D">
        <w:rPr>
          <w:rFonts w:ascii="Arial" w:hAnsi="Arial" w:cs="Arial"/>
          <w:sz w:val="22"/>
          <w:szCs w:val="22"/>
        </w:rPr>
        <w:t xml:space="preserve">, M., Bianchi, F., Rota, M., </w:t>
      </w:r>
      <w:proofErr w:type="spellStart"/>
      <w:r w:rsidRPr="003E2B4D">
        <w:rPr>
          <w:rFonts w:ascii="Arial" w:hAnsi="Arial" w:cs="Arial"/>
          <w:sz w:val="22"/>
          <w:szCs w:val="22"/>
        </w:rPr>
        <w:t>Marengoni</w:t>
      </w:r>
      <w:proofErr w:type="spellEnd"/>
      <w:r w:rsidRPr="003E2B4D">
        <w:rPr>
          <w:rFonts w:ascii="Arial" w:hAnsi="Arial" w:cs="Arial"/>
          <w:sz w:val="22"/>
          <w:szCs w:val="22"/>
        </w:rPr>
        <w:t xml:space="preserve">, A., </w:t>
      </w:r>
      <w:proofErr w:type="spellStart"/>
      <w:r w:rsidRPr="003E2B4D">
        <w:rPr>
          <w:rFonts w:ascii="Arial" w:hAnsi="Arial" w:cs="Arial"/>
          <w:sz w:val="22"/>
          <w:szCs w:val="22"/>
        </w:rPr>
        <w:t>Akbaritabar</w:t>
      </w:r>
      <w:proofErr w:type="spellEnd"/>
      <w:r w:rsidRPr="003E2B4D">
        <w:rPr>
          <w:rFonts w:ascii="Arial" w:hAnsi="Arial" w:cs="Arial"/>
          <w:sz w:val="22"/>
          <w:szCs w:val="22"/>
        </w:rPr>
        <w:t xml:space="preserve">, A. and </w:t>
      </w:r>
      <w:proofErr w:type="spellStart"/>
      <w:r w:rsidRPr="003E2B4D">
        <w:rPr>
          <w:rFonts w:ascii="Arial" w:hAnsi="Arial" w:cs="Arial"/>
          <w:sz w:val="22"/>
          <w:szCs w:val="22"/>
        </w:rPr>
        <w:t>Squazzoni</w:t>
      </w:r>
      <w:proofErr w:type="spellEnd"/>
      <w:r w:rsidRPr="003E2B4D">
        <w:rPr>
          <w:rFonts w:ascii="Arial" w:hAnsi="Arial" w:cs="Arial"/>
          <w:sz w:val="22"/>
          <w:szCs w:val="22"/>
        </w:rPr>
        <w:t xml:space="preserve">, F. (2022) 'The effect of social relationships on cognitive decline in older adults: an updated systematic review and meta-analysis of longitudinal cohort studies', </w:t>
      </w:r>
      <w:r w:rsidRPr="003E2B4D">
        <w:rPr>
          <w:rStyle w:val="Emphasis"/>
          <w:rFonts w:ascii="Arial" w:hAnsi="Arial" w:cs="Arial"/>
          <w:sz w:val="22"/>
          <w:szCs w:val="22"/>
        </w:rPr>
        <w:t>BMC Public Health</w:t>
      </w:r>
      <w:r w:rsidRPr="003E2B4D">
        <w:rPr>
          <w:rFonts w:ascii="Arial" w:hAnsi="Arial" w:cs="Arial"/>
          <w:sz w:val="22"/>
          <w:szCs w:val="22"/>
        </w:rPr>
        <w:t>, 22(1), p. 278.</w:t>
      </w:r>
    </w:p>
    <w:p w14:paraId="6E549F20" w14:textId="29FFB480" w:rsidR="000F2674" w:rsidRPr="003E2B4D" w:rsidRDefault="000F2674" w:rsidP="003E2B4D">
      <w:pPr>
        <w:pStyle w:val="NormalWeb"/>
        <w:spacing w:line="360" w:lineRule="auto"/>
        <w:rPr>
          <w:rFonts w:ascii="Arial" w:hAnsi="Arial" w:cs="Arial"/>
          <w:i/>
          <w:iCs/>
          <w:sz w:val="22"/>
          <w:szCs w:val="22"/>
        </w:rPr>
      </w:pPr>
      <w:proofErr w:type="spellStart"/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lastRenderedPageBreak/>
        <w:t>Reckrey</w:t>
      </w:r>
      <w:proofErr w:type="spellEnd"/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J.M., Watman, D., Perez, S., Franzosa, E., Ornstein, K.A. and Tsui, E. (2024) </w:t>
      </w:r>
      <w:r w:rsidR="00D3077D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‘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Paid caregiving in dementia care over time: Paid caregiver, family caregiver, and geriatrician perspectives</w:t>
      </w:r>
      <w:r w:rsidR="00472077"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’,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3E2B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The Gerontologist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E2B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64</w:t>
      </w:r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(7), </w:t>
      </w:r>
      <w:proofErr w:type="gramStart"/>
      <w:r w:rsidRPr="003E2B4D">
        <w:rPr>
          <w:rFonts w:ascii="Arial" w:hAnsi="Arial" w:cs="Arial"/>
          <w:color w:val="222222"/>
          <w:sz w:val="22"/>
          <w:szCs w:val="22"/>
          <w:shd w:val="clear" w:color="auto" w:fill="FFFFFF"/>
        </w:rPr>
        <w:t>p.gnae055.</w:t>
      </w:r>
      <w:r w:rsidRPr="003E2B4D">
        <w:rPr>
          <w:rFonts w:ascii="Arial" w:hAnsi="Arial" w:cs="Arial"/>
          <w:sz w:val="22"/>
          <w:szCs w:val="22"/>
        </w:rPr>
        <w:t>Skills</w:t>
      </w:r>
      <w:proofErr w:type="gramEnd"/>
      <w:r w:rsidRPr="003E2B4D">
        <w:rPr>
          <w:rFonts w:ascii="Arial" w:hAnsi="Arial" w:cs="Arial"/>
          <w:sz w:val="22"/>
          <w:szCs w:val="22"/>
        </w:rPr>
        <w:t xml:space="preserve"> for Care (2023) </w:t>
      </w:r>
      <w:r w:rsidR="00D17ECC" w:rsidRPr="003E2B4D">
        <w:rPr>
          <w:rFonts w:ascii="Arial" w:hAnsi="Arial" w:cs="Arial"/>
          <w:sz w:val="22"/>
          <w:szCs w:val="22"/>
        </w:rPr>
        <w:t>‘</w:t>
      </w:r>
      <w:r w:rsidRPr="003E2B4D">
        <w:rPr>
          <w:rStyle w:val="Emphasis"/>
          <w:rFonts w:ascii="Arial" w:hAnsi="Arial" w:cs="Arial"/>
          <w:i w:val="0"/>
          <w:iCs w:val="0"/>
          <w:sz w:val="22"/>
          <w:szCs w:val="22"/>
        </w:rPr>
        <w:t>The state of the adult social care sector and workforce in England</w:t>
      </w:r>
      <w:r w:rsidR="00D17ECC" w:rsidRPr="003E2B4D">
        <w:rPr>
          <w:rFonts w:ascii="Arial" w:hAnsi="Arial" w:cs="Arial"/>
          <w:i/>
          <w:iCs/>
          <w:sz w:val="22"/>
          <w:szCs w:val="22"/>
        </w:rPr>
        <w:t>’,</w:t>
      </w:r>
      <w:r w:rsidRPr="003E2B4D">
        <w:rPr>
          <w:rFonts w:ascii="Arial" w:hAnsi="Arial" w:cs="Arial"/>
          <w:sz w:val="22"/>
          <w:szCs w:val="22"/>
        </w:rPr>
        <w:t xml:space="preserve"> Leeds: </w:t>
      </w:r>
      <w:r w:rsidRPr="003E2B4D">
        <w:rPr>
          <w:rFonts w:ascii="Arial" w:hAnsi="Arial" w:cs="Arial"/>
          <w:i/>
          <w:iCs/>
          <w:sz w:val="22"/>
          <w:szCs w:val="22"/>
        </w:rPr>
        <w:t>Skills for Care.</w:t>
      </w:r>
    </w:p>
    <w:p w14:paraId="624E4E7E" w14:textId="2B1151E8" w:rsidR="001730AE" w:rsidRPr="003E2B4D" w:rsidRDefault="001730AE" w:rsidP="003E2B4D">
      <w:pPr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Reynolds 3rd, C.F., </w:t>
      </w:r>
      <w:proofErr w:type="spellStart"/>
      <w:r w:rsidRPr="003E2B4D">
        <w:rPr>
          <w:rFonts w:ascii="Arial" w:hAnsi="Arial" w:cs="Arial"/>
          <w:sz w:val="22"/>
          <w:szCs w:val="22"/>
        </w:rPr>
        <w:t>Jeste</w:t>
      </w:r>
      <w:proofErr w:type="spellEnd"/>
      <w:r w:rsidRPr="003E2B4D">
        <w:rPr>
          <w:rFonts w:ascii="Arial" w:hAnsi="Arial" w:cs="Arial"/>
          <w:sz w:val="22"/>
          <w:szCs w:val="22"/>
        </w:rPr>
        <w:t xml:space="preserve">, D.V., Sachdev, P.S. and Blazer, D.G. (2022) </w:t>
      </w:r>
      <w:r w:rsidR="00444CC8" w:rsidRPr="003E2B4D">
        <w:rPr>
          <w:rFonts w:ascii="Arial" w:hAnsi="Arial" w:cs="Arial"/>
          <w:sz w:val="22"/>
          <w:szCs w:val="22"/>
        </w:rPr>
        <w:t>‘</w:t>
      </w:r>
      <w:r w:rsidRPr="003E2B4D">
        <w:rPr>
          <w:rFonts w:ascii="Arial" w:hAnsi="Arial" w:cs="Arial"/>
          <w:sz w:val="22"/>
          <w:szCs w:val="22"/>
        </w:rPr>
        <w:t>Mental health care for older adults: recent advances and new directions in clinical practice and research</w:t>
      </w:r>
      <w:r w:rsidR="00444CC8" w:rsidRPr="003E2B4D">
        <w:rPr>
          <w:rFonts w:ascii="Arial" w:hAnsi="Arial" w:cs="Arial"/>
          <w:sz w:val="22"/>
          <w:szCs w:val="22"/>
        </w:rPr>
        <w:t>’,</w:t>
      </w:r>
      <w:r w:rsidRPr="003E2B4D">
        <w:rPr>
          <w:rFonts w:ascii="Arial" w:hAnsi="Arial" w:cs="Arial"/>
          <w:sz w:val="22"/>
          <w:szCs w:val="22"/>
        </w:rPr>
        <w:t xml:space="preserve"> </w:t>
      </w:r>
      <w:r w:rsidRPr="003E2B4D">
        <w:rPr>
          <w:rStyle w:val="Emphasis"/>
          <w:rFonts w:ascii="Arial" w:hAnsi="Arial" w:cs="Arial"/>
          <w:sz w:val="22"/>
          <w:szCs w:val="22"/>
        </w:rPr>
        <w:t>World Psychiatry</w:t>
      </w:r>
      <w:r w:rsidRPr="003E2B4D">
        <w:rPr>
          <w:rFonts w:ascii="Arial" w:hAnsi="Arial" w:cs="Arial"/>
          <w:sz w:val="22"/>
          <w:szCs w:val="22"/>
        </w:rPr>
        <w:t>, 21(3), pp.336–363.</w:t>
      </w:r>
    </w:p>
    <w:p w14:paraId="766B15C0" w14:textId="77777777" w:rsidR="004E7F5D" w:rsidRPr="003E2B4D" w:rsidRDefault="004E7F5D" w:rsidP="003E2B4D">
      <w:pPr>
        <w:spacing w:line="360" w:lineRule="auto"/>
        <w:rPr>
          <w:rFonts w:ascii="Arial" w:hAnsi="Arial" w:cs="Arial"/>
          <w:sz w:val="22"/>
          <w:szCs w:val="22"/>
        </w:rPr>
      </w:pPr>
    </w:p>
    <w:p w14:paraId="2C853583" w14:textId="690CF133" w:rsidR="001730AE" w:rsidRPr="003E2B4D" w:rsidRDefault="004E7F5D" w:rsidP="003E2B4D">
      <w:pPr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García-Martín, V., de Hoyos-Alonso, M.C., Delgado-Puebla, R., Ariza-Cardiel, G. and del Cura-González, I. (2023) </w:t>
      </w:r>
      <w:r w:rsidR="00F34BC2" w:rsidRPr="003E2B4D">
        <w:rPr>
          <w:rFonts w:ascii="Arial" w:hAnsi="Arial" w:cs="Arial"/>
          <w:sz w:val="22"/>
          <w:szCs w:val="22"/>
        </w:rPr>
        <w:t>‘</w:t>
      </w:r>
      <w:r w:rsidRPr="003E2B4D">
        <w:rPr>
          <w:rStyle w:val="Emphasis"/>
          <w:rFonts w:ascii="Arial" w:hAnsi="Arial" w:cs="Arial"/>
          <w:i w:val="0"/>
          <w:iCs w:val="0"/>
          <w:sz w:val="22"/>
          <w:szCs w:val="22"/>
        </w:rPr>
        <w:t>Burden in caregivers of primary care patients with dementia: influence of neuropsychiatric symptoms according to disease stage (</w:t>
      </w:r>
      <w:proofErr w:type="spellStart"/>
      <w:r w:rsidRPr="003E2B4D">
        <w:rPr>
          <w:rStyle w:val="Emphasis"/>
          <w:rFonts w:ascii="Arial" w:hAnsi="Arial" w:cs="Arial"/>
          <w:i w:val="0"/>
          <w:iCs w:val="0"/>
          <w:sz w:val="22"/>
          <w:szCs w:val="22"/>
        </w:rPr>
        <w:t>NeDEM</w:t>
      </w:r>
      <w:proofErr w:type="spellEnd"/>
      <w:r w:rsidRPr="003E2B4D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project)</w:t>
      </w:r>
      <w:r w:rsidR="00F34BC2" w:rsidRPr="003E2B4D">
        <w:rPr>
          <w:rStyle w:val="Emphasis"/>
          <w:rFonts w:ascii="Arial" w:hAnsi="Arial" w:cs="Arial"/>
          <w:i w:val="0"/>
          <w:iCs w:val="0"/>
          <w:sz w:val="22"/>
          <w:szCs w:val="22"/>
        </w:rPr>
        <w:t>’,</w:t>
      </w:r>
      <w:r w:rsidRPr="003E2B4D">
        <w:rPr>
          <w:rFonts w:ascii="Arial" w:hAnsi="Arial" w:cs="Arial"/>
          <w:sz w:val="22"/>
          <w:szCs w:val="22"/>
        </w:rPr>
        <w:t xml:space="preserve"> </w:t>
      </w:r>
      <w:r w:rsidRPr="003E2B4D">
        <w:rPr>
          <w:rStyle w:val="Strong"/>
          <w:rFonts w:ascii="Arial" w:hAnsi="Arial" w:cs="Arial"/>
          <w:b w:val="0"/>
          <w:bCs w:val="0"/>
          <w:i/>
          <w:iCs/>
          <w:sz w:val="22"/>
          <w:szCs w:val="22"/>
        </w:rPr>
        <w:t>BMC Geriatrics</w:t>
      </w:r>
      <w:r w:rsidRPr="003E2B4D">
        <w:rPr>
          <w:rFonts w:ascii="Arial" w:hAnsi="Arial" w:cs="Arial"/>
          <w:b/>
          <w:bCs/>
          <w:sz w:val="22"/>
          <w:szCs w:val="22"/>
        </w:rPr>
        <w:t>,</w:t>
      </w:r>
      <w:r w:rsidRPr="003E2B4D">
        <w:rPr>
          <w:rFonts w:ascii="Arial" w:hAnsi="Arial" w:cs="Arial"/>
          <w:sz w:val="22"/>
          <w:szCs w:val="22"/>
        </w:rPr>
        <w:t xml:space="preserve"> 23(1), p. 525.</w:t>
      </w:r>
    </w:p>
    <w:p w14:paraId="54DE5E8B" w14:textId="77777777" w:rsidR="00583452" w:rsidRPr="003E2B4D" w:rsidRDefault="000F2674" w:rsidP="003E2B4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World Health Organisation (WHO) (2023) </w:t>
      </w:r>
      <w:r w:rsidRPr="003E2B4D">
        <w:rPr>
          <w:rStyle w:val="Emphasis"/>
          <w:rFonts w:ascii="Arial" w:hAnsi="Arial" w:cs="Arial"/>
          <w:sz w:val="22"/>
          <w:szCs w:val="22"/>
        </w:rPr>
        <w:t>Dementia</w:t>
      </w:r>
      <w:r w:rsidRPr="003E2B4D">
        <w:rPr>
          <w:rFonts w:ascii="Arial" w:hAnsi="Arial" w:cs="Arial"/>
          <w:sz w:val="22"/>
          <w:szCs w:val="22"/>
        </w:rPr>
        <w:t>. Available at: https://www.who.int (Accessed: 2</w:t>
      </w:r>
      <w:r w:rsidR="00583452" w:rsidRPr="003E2B4D">
        <w:rPr>
          <w:rFonts w:ascii="Arial" w:hAnsi="Arial" w:cs="Arial"/>
          <w:sz w:val="22"/>
          <w:szCs w:val="22"/>
        </w:rPr>
        <w:t>8</w:t>
      </w:r>
      <w:r w:rsidRPr="003E2B4D">
        <w:rPr>
          <w:rFonts w:ascii="Arial" w:hAnsi="Arial" w:cs="Arial"/>
          <w:sz w:val="22"/>
          <w:szCs w:val="22"/>
        </w:rPr>
        <w:t xml:space="preserve"> June 2026).</w:t>
      </w:r>
    </w:p>
    <w:p w14:paraId="2F65F0A7" w14:textId="77777777" w:rsidR="00A45A2F" w:rsidRPr="003E2B4D" w:rsidRDefault="00A45A2F" w:rsidP="003E2B4D">
      <w:pPr>
        <w:spacing w:line="360" w:lineRule="auto"/>
        <w:rPr>
          <w:rFonts w:ascii="Arial" w:hAnsi="Arial" w:cs="Arial"/>
          <w:sz w:val="22"/>
          <w:szCs w:val="22"/>
        </w:rPr>
      </w:pPr>
      <w:r w:rsidRPr="003E2B4D">
        <w:rPr>
          <w:rFonts w:ascii="Arial" w:hAnsi="Arial" w:cs="Arial"/>
          <w:sz w:val="22"/>
          <w:szCs w:val="22"/>
        </w:rPr>
        <w:t xml:space="preserve">Zhang, X. and Lin, H. (2022) 'Disengagement theory', in Gu, D. and Dupre, M.E. (eds.) </w:t>
      </w:r>
      <w:proofErr w:type="spellStart"/>
      <w:r w:rsidRPr="003E2B4D">
        <w:rPr>
          <w:rStyle w:val="Emphasis"/>
          <w:rFonts w:ascii="Arial" w:hAnsi="Arial" w:cs="Arial"/>
          <w:sz w:val="22"/>
          <w:szCs w:val="22"/>
        </w:rPr>
        <w:t>Encyclopedia</w:t>
      </w:r>
      <w:proofErr w:type="spellEnd"/>
      <w:r w:rsidRPr="003E2B4D">
        <w:rPr>
          <w:rStyle w:val="Emphasis"/>
          <w:rFonts w:ascii="Arial" w:hAnsi="Arial" w:cs="Arial"/>
          <w:sz w:val="22"/>
          <w:szCs w:val="22"/>
        </w:rPr>
        <w:t xml:space="preserve"> of Gerontology and Population Aging</w:t>
      </w:r>
      <w:r w:rsidRPr="003E2B4D">
        <w:rPr>
          <w:rFonts w:ascii="Arial" w:hAnsi="Arial" w:cs="Arial"/>
          <w:sz w:val="22"/>
          <w:szCs w:val="22"/>
        </w:rPr>
        <w:t>. Cham: Springer International Publishing, pp. 1471–1476.</w:t>
      </w:r>
    </w:p>
    <w:p w14:paraId="36AC38F4" w14:textId="77777777" w:rsidR="000F2674" w:rsidRDefault="000F2674" w:rsidP="000F2674">
      <w:pPr>
        <w:pStyle w:val="NormalWeb"/>
        <w:spacing w:line="300" w:lineRule="atLeast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811BC57" w14:textId="77777777" w:rsidR="000F2674" w:rsidRDefault="000F2674" w:rsidP="000F2674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</w:p>
    <w:p w14:paraId="2B7304F6" w14:textId="77777777" w:rsidR="000F2674" w:rsidRDefault="000F2674" w:rsidP="000F2674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</w:p>
    <w:p w14:paraId="76922369" w14:textId="77777777" w:rsidR="000F2674" w:rsidRDefault="000F2674" w:rsidP="000F2674"/>
    <w:p w14:paraId="57E85455" w14:textId="77777777" w:rsidR="00F54965" w:rsidRDefault="00F54965"/>
    <w:sectPr w:rsidR="00F54965" w:rsidSect="000F26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674"/>
    <w:rsid w:val="00024111"/>
    <w:rsid w:val="000834CE"/>
    <w:rsid w:val="000F2674"/>
    <w:rsid w:val="001730AE"/>
    <w:rsid w:val="001951E1"/>
    <w:rsid w:val="00251C7E"/>
    <w:rsid w:val="002A1FF5"/>
    <w:rsid w:val="00324245"/>
    <w:rsid w:val="003D756B"/>
    <w:rsid w:val="003E2B4D"/>
    <w:rsid w:val="00444CC8"/>
    <w:rsid w:val="00472077"/>
    <w:rsid w:val="004C1CFA"/>
    <w:rsid w:val="004E7F5D"/>
    <w:rsid w:val="004F77FA"/>
    <w:rsid w:val="00510377"/>
    <w:rsid w:val="00511731"/>
    <w:rsid w:val="00583452"/>
    <w:rsid w:val="005F0282"/>
    <w:rsid w:val="00606F96"/>
    <w:rsid w:val="0061019D"/>
    <w:rsid w:val="00662757"/>
    <w:rsid w:val="00663BB4"/>
    <w:rsid w:val="00795A6F"/>
    <w:rsid w:val="008A1079"/>
    <w:rsid w:val="008C76C0"/>
    <w:rsid w:val="00951081"/>
    <w:rsid w:val="009C54E2"/>
    <w:rsid w:val="00A45A2F"/>
    <w:rsid w:val="00AC61D7"/>
    <w:rsid w:val="00AF25A0"/>
    <w:rsid w:val="00B12D94"/>
    <w:rsid w:val="00B314A1"/>
    <w:rsid w:val="00B92FE6"/>
    <w:rsid w:val="00BC2C78"/>
    <w:rsid w:val="00BD4BDC"/>
    <w:rsid w:val="00BD5205"/>
    <w:rsid w:val="00C12C86"/>
    <w:rsid w:val="00CB28BC"/>
    <w:rsid w:val="00D17ECC"/>
    <w:rsid w:val="00D3077D"/>
    <w:rsid w:val="00D436D3"/>
    <w:rsid w:val="00D74AFB"/>
    <w:rsid w:val="00ED0647"/>
    <w:rsid w:val="00F26166"/>
    <w:rsid w:val="00F34BC2"/>
    <w:rsid w:val="00F5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7A9E77"/>
  <w15:chartTrackingRefBased/>
  <w15:docId w15:val="{5C758F28-0F34-FC4B-B861-304365A9D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674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26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6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67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6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6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67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67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67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67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6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6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6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26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6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6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6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6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6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26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F26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67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F26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2674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F26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267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F26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6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6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267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F2674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0F2674"/>
    <w:rPr>
      <w:i/>
      <w:iCs/>
    </w:rPr>
  </w:style>
  <w:style w:type="paragraph" w:customStyle="1" w:styleId="s3">
    <w:name w:val="s3"/>
    <w:basedOn w:val="Normal"/>
    <w:rsid w:val="000F2674"/>
    <w:pPr>
      <w:spacing w:before="100" w:beforeAutospacing="1" w:after="100" w:afterAutospacing="1"/>
    </w:pPr>
  </w:style>
  <w:style w:type="character" w:customStyle="1" w:styleId="s2">
    <w:name w:val="s2"/>
    <w:basedOn w:val="DefaultParagraphFont"/>
    <w:rsid w:val="000F2674"/>
  </w:style>
  <w:style w:type="character" w:customStyle="1" w:styleId="s4">
    <w:name w:val="s4"/>
    <w:basedOn w:val="DefaultParagraphFont"/>
    <w:rsid w:val="000F2674"/>
  </w:style>
  <w:style w:type="character" w:styleId="Hyperlink">
    <w:name w:val="Hyperlink"/>
    <w:basedOn w:val="DefaultParagraphFont"/>
    <w:uiPriority w:val="99"/>
    <w:unhideWhenUsed/>
    <w:rsid w:val="0002411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4111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E7F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i.org/10.3998/ujph.3946" TargetMode="External"/><Relationship Id="rId4" Type="http://schemas.openxmlformats.org/officeDocument/2006/relationships/hyperlink" Target="https://www.nice.org.uk/guidance/NG1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834</Words>
  <Characters>4755</Characters>
  <Application>Microsoft Office Word</Application>
  <DocSecurity>0</DocSecurity>
  <Lines>39</Lines>
  <Paragraphs>11</Paragraphs>
  <ScaleCrop>false</ScaleCrop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Rozilene Brandao De Araujo (2319163)</dc:creator>
  <cp:keywords/>
  <dc:description/>
  <cp:lastModifiedBy>Rozilene Brandao De Araujo (2319163)</cp:lastModifiedBy>
  <cp:revision>2</cp:revision>
  <dcterms:created xsi:type="dcterms:W3CDTF">2026-07-09T22:21:00Z</dcterms:created>
  <dcterms:modified xsi:type="dcterms:W3CDTF">2026-07-09T22:21:00Z</dcterms:modified>
</cp:coreProperties>
</file>