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39297231"/>
        <w:docPartObj>
          <w:docPartGallery w:val="Cover Pages"/>
          <w:docPartUnique/>
        </w:docPartObj>
      </w:sdtPr>
      <w:sdtEndPr>
        <w:rPr>
          <w:rFonts w:ascii="Times New Roman" w:hAnsi="Times New Roman" w:cs="Times New Roman"/>
          <w:b/>
          <w:bCs/>
          <w:color w:val="E97132" w:themeColor="accent2"/>
        </w:rPr>
      </w:sdtEndPr>
      <w:sdtContent>
        <w:p w14:paraId="1BCB1579" w14:textId="620B3BCC" w:rsidR="007F39A2" w:rsidRDefault="007F39A2"/>
        <w:p w14:paraId="0FA0098E" w14:textId="602C45C6" w:rsidR="007F39A2" w:rsidRPr="007F39A2" w:rsidRDefault="007F39A2" w:rsidP="007F39A2">
          <w:pPr>
            <w:rPr>
              <w:rFonts w:ascii="Times New Roman" w:hAnsi="Times New Roman" w:cs="Times New Roman"/>
              <w:b/>
              <w:bCs/>
              <w:color w:val="E97132" w:themeColor="accent2"/>
            </w:rPr>
          </w:pPr>
          <w:r w:rsidRPr="007F39A2">
            <w:rPr>
              <w:rFonts w:ascii="Times New Roman" w:hAnsi="Times New Roman" w:cs="Times New Roman"/>
              <w:b/>
              <w:bCs/>
              <w:color w:val="E97132" w:themeColor="accent2"/>
            </w:rPr>
            <w:t>Student name:</w:t>
          </w:r>
          <w:r>
            <w:rPr>
              <w:rFonts w:ascii="Times New Roman" w:hAnsi="Times New Roman" w:cs="Times New Roman"/>
              <w:b/>
              <w:bCs/>
              <w:color w:val="E97132" w:themeColor="accent2"/>
            </w:rPr>
            <w:t xml:space="preserve"> Emil Danut Malutan </w:t>
          </w:r>
          <w:r w:rsidRPr="007F39A2">
            <w:rPr>
              <w:rFonts w:ascii="Times New Roman" w:hAnsi="Times New Roman" w:cs="Times New Roman"/>
              <w:b/>
              <w:bCs/>
              <w:color w:val="E97132" w:themeColor="accent2"/>
            </w:rPr>
            <w:tab/>
            <w:t xml:space="preserve">     </w:t>
          </w:r>
        </w:p>
        <w:p w14:paraId="099B42D6" w14:textId="74E7C54A" w:rsidR="007F39A2" w:rsidRPr="007F39A2" w:rsidRDefault="007F39A2" w:rsidP="007F39A2">
          <w:pPr>
            <w:rPr>
              <w:rFonts w:ascii="Times New Roman" w:hAnsi="Times New Roman" w:cs="Times New Roman"/>
              <w:b/>
              <w:bCs/>
              <w:color w:val="E97132" w:themeColor="accent2"/>
            </w:rPr>
          </w:pPr>
          <w:r w:rsidRPr="007F39A2">
            <w:rPr>
              <w:rFonts w:ascii="Times New Roman" w:hAnsi="Times New Roman" w:cs="Times New Roman"/>
              <w:b/>
              <w:bCs/>
              <w:color w:val="E97132" w:themeColor="accent2"/>
            </w:rPr>
            <w:t>Programme:</w:t>
          </w:r>
          <w:r w:rsidRPr="007F39A2">
            <w:rPr>
              <w:rFonts w:ascii="Times New Roman" w:hAnsi="Times New Roman" w:cs="Times New Roman"/>
              <w:b/>
              <w:bCs/>
              <w:color w:val="E97132" w:themeColor="accent2"/>
            </w:rPr>
            <w:tab/>
            <w:t>Sustainable Enterprise/ Social Enterprise Management</w:t>
          </w:r>
        </w:p>
        <w:p w14:paraId="245FD2B4" w14:textId="79A71BC0" w:rsidR="007F39A2" w:rsidRPr="007F39A2" w:rsidRDefault="007F39A2" w:rsidP="007F39A2">
          <w:pPr>
            <w:rPr>
              <w:rFonts w:ascii="Times New Roman" w:hAnsi="Times New Roman" w:cs="Times New Roman"/>
              <w:b/>
              <w:bCs/>
              <w:color w:val="E97132" w:themeColor="accent2"/>
            </w:rPr>
          </w:pPr>
          <w:r w:rsidRPr="007F39A2">
            <w:rPr>
              <w:rFonts w:ascii="Times New Roman" w:hAnsi="Times New Roman" w:cs="Times New Roman"/>
              <w:b/>
              <w:bCs/>
              <w:color w:val="E97132" w:themeColor="accent2"/>
            </w:rPr>
            <w:t>Module:</w:t>
          </w:r>
          <w:r>
            <w:rPr>
              <w:rFonts w:ascii="Times New Roman" w:hAnsi="Times New Roman" w:cs="Times New Roman"/>
              <w:b/>
              <w:bCs/>
              <w:color w:val="E97132" w:themeColor="accent2"/>
            </w:rPr>
            <w:t xml:space="preserve"> </w:t>
          </w:r>
          <w:r w:rsidRPr="007F39A2">
            <w:rPr>
              <w:rFonts w:ascii="Times New Roman" w:hAnsi="Times New Roman" w:cs="Times New Roman"/>
              <w:b/>
              <w:bCs/>
              <w:color w:val="E97132" w:themeColor="accent2"/>
            </w:rPr>
            <w:t xml:space="preserve">Sustainable Enterprise </w:t>
          </w:r>
        </w:p>
        <w:p w14:paraId="0B22F765" w14:textId="77777777" w:rsidR="007F39A2" w:rsidRPr="007F39A2" w:rsidRDefault="007F39A2" w:rsidP="007F39A2">
          <w:pPr>
            <w:rPr>
              <w:rFonts w:ascii="Times New Roman" w:hAnsi="Times New Roman" w:cs="Times New Roman"/>
              <w:b/>
              <w:bCs/>
              <w:color w:val="E97132" w:themeColor="accent2"/>
            </w:rPr>
          </w:pPr>
          <w:r w:rsidRPr="007F39A2">
            <w:rPr>
              <w:rFonts w:ascii="Times New Roman" w:hAnsi="Times New Roman" w:cs="Times New Roman"/>
              <w:b/>
              <w:bCs/>
              <w:color w:val="E97132" w:themeColor="accent2"/>
            </w:rPr>
            <w:t>Module code:</w:t>
          </w:r>
          <w:r w:rsidRPr="007F39A2">
            <w:rPr>
              <w:rFonts w:ascii="Times New Roman" w:hAnsi="Times New Roman" w:cs="Times New Roman"/>
              <w:b/>
              <w:bCs/>
              <w:color w:val="E97132" w:themeColor="accent2"/>
            </w:rPr>
            <w:tab/>
            <w:t>BMSE4010D</w:t>
          </w:r>
        </w:p>
        <w:p w14:paraId="3C7ACF44" w14:textId="31B14991" w:rsidR="007F39A2" w:rsidRDefault="007F39A2" w:rsidP="007F39A2">
          <w:pPr>
            <w:rPr>
              <w:rFonts w:ascii="Times New Roman" w:hAnsi="Times New Roman" w:cs="Times New Roman"/>
              <w:b/>
              <w:bCs/>
              <w:color w:val="E97132" w:themeColor="accent2"/>
            </w:rPr>
          </w:pPr>
          <w:r w:rsidRPr="007F39A2">
            <w:rPr>
              <w:rFonts w:ascii="Times New Roman" w:hAnsi="Times New Roman" w:cs="Times New Roman"/>
              <w:b/>
              <w:bCs/>
              <w:color w:val="E97132" w:themeColor="accent2"/>
            </w:rPr>
            <w:t>Lecturer:</w:t>
          </w:r>
          <w:r>
            <w:rPr>
              <w:rFonts w:ascii="Times New Roman" w:hAnsi="Times New Roman" w:cs="Times New Roman"/>
              <w:b/>
              <w:bCs/>
              <w:color w:val="E97132" w:themeColor="accent2"/>
            </w:rPr>
            <w:t xml:space="preserve"> </w:t>
          </w:r>
          <w:r w:rsidRPr="007F39A2">
            <w:rPr>
              <w:rFonts w:ascii="Times New Roman" w:hAnsi="Times New Roman" w:cs="Times New Roman"/>
              <w:b/>
              <w:bCs/>
              <w:color w:val="E97132" w:themeColor="accent2"/>
            </w:rPr>
            <w:t>Navdeep Randhawa</w:t>
          </w:r>
          <w:r>
            <w:rPr>
              <w:noProof/>
            </w:rPr>
            <mc:AlternateContent>
              <mc:Choice Requires="wps">
                <w:drawing>
                  <wp:anchor distT="0" distB="0" distL="114300" distR="114300" simplePos="0" relativeHeight="251662336" behindDoc="0" locked="0" layoutInCell="1" allowOverlap="1" wp14:anchorId="784D2AAE" wp14:editId="36E7696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E97132" w:themeColor="accent2"/>
                                    <w:sz w:val="40"/>
                                    <w:szCs w:val="40"/>
                                  </w:rPr>
                                  <w:alias w:val="Publish Date"/>
                                  <w:tag w:val=""/>
                                  <w:id w:val="400952559"/>
                                  <w:dataBinding w:prefixMappings="xmlns:ns0='http://schemas.microsoft.com/office/2006/coverPageProps' " w:xpath="/ns0:CoverPageProperties[1]/ns0:PublishDate[1]" w:storeItemID="{55AF091B-3C7A-41E3-B477-F2FDAA23CFDA}"/>
                                  <w:date w:fullDate="2025-03-14T00:00:00Z">
                                    <w:dateFormat w:val="MMMM d, yyyy"/>
                                    <w:lid w:val="en-US"/>
                                    <w:storeMappedDataAs w:val="dateTime"/>
                                    <w:calendar w:val="gregorian"/>
                                  </w:date>
                                </w:sdtPr>
                                <w:sdtContent>
                                  <w:p w14:paraId="751F3BF8" w14:textId="45BB48F7" w:rsidR="007F39A2" w:rsidRPr="007F39A2" w:rsidRDefault="007F39A2">
                                    <w:pPr>
                                      <w:pStyle w:val="NoSpacing"/>
                                      <w:jc w:val="right"/>
                                      <w:rPr>
                                        <w:b/>
                                        <w:bCs/>
                                        <w:caps/>
                                        <w:color w:val="E97132" w:themeColor="accent2"/>
                                        <w:sz w:val="40"/>
                                        <w:szCs w:val="40"/>
                                      </w:rPr>
                                    </w:pPr>
                                    <w:r w:rsidRPr="007F39A2">
                                      <w:rPr>
                                        <w:rFonts w:ascii="Times New Roman" w:hAnsi="Times New Roman" w:cs="Times New Roman"/>
                                        <w:b/>
                                        <w:bCs/>
                                        <w:caps/>
                                        <w:color w:val="E97132" w:themeColor="accent2"/>
                                        <w:sz w:val="40"/>
                                        <w:szCs w:val="40"/>
                                      </w:rPr>
                                      <w:t>March 14,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784D2AA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b/>
                              <w:bCs/>
                              <w:caps/>
                              <w:color w:val="E97132" w:themeColor="accent2"/>
                              <w:sz w:val="40"/>
                              <w:szCs w:val="40"/>
                            </w:rPr>
                            <w:alias w:val="Publish Date"/>
                            <w:tag w:val=""/>
                            <w:id w:val="400952559"/>
                            <w:dataBinding w:prefixMappings="xmlns:ns0='http://schemas.microsoft.com/office/2006/coverPageProps' " w:xpath="/ns0:CoverPageProperties[1]/ns0:PublishDate[1]" w:storeItemID="{55AF091B-3C7A-41E3-B477-F2FDAA23CFDA}"/>
                            <w:date w:fullDate="2025-03-14T00:00:00Z">
                              <w:dateFormat w:val="MMMM d, yyyy"/>
                              <w:lid w:val="en-US"/>
                              <w:storeMappedDataAs w:val="dateTime"/>
                              <w:calendar w:val="gregorian"/>
                            </w:date>
                          </w:sdtPr>
                          <w:sdtContent>
                            <w:p w14:paraId="751F3BF8" w14:textId="45BB48F7" w:rsidR="007F39A2" w:rsidRPr="007F39A2" w:rsidRDefault="007F39A2">
                              <w:pPr>
                                <w:pStyle w:val="NoSpacing"/>
                                <w:jc w:val="right"/>
                                <w:rPr>
                                  <w:b/>
                                  <w:bCs/>
                                  <w:caps/>
                                  <w:color w:val="E97132" w:themeColor="accent2"/>
                                  <w:sz w:val="40"/>
                                  <w:szCs w:val="40"/>
                                </w:rPr>
                              </w:pPr>
                              <w:r w:rsidRPr="007F39A2">
                                <w:rPr>
                                  <w:rFonts w:ascii="Times New Roman" w:hAnsi="Times New Roman" w:cs="Times New Roman"/>
                                  <w:b/>
                                  <w:bCs/>
                                  <w:caps/>
                                  <w:color w:val="E97132" w:themeColor="accent2"/>
                                  <w:sz w:val="40"/>
                                  <w:szCs w:val="40"/>
                                </w:rPr>
                                <w:t>March 14,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6B1FB37" wp14:editId="54FF485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3AA1E3" w14:textId="06FCE721" w:rsidR="007F39A2" w:rsidRDefault="007F39A2">
                                <w:pPr>
                                  <w:pStyle w:val="NoSpacing"/>
                                  <w:jc w:val="right"/>
                                  <w:rPr>
                                    <w:caps/>
                                    <w:color w:val="0A1D30" w:themeColor="text2" w:themeShade="BF"/>
                                    <w:sz w:val="52"/>
                                    <w:szCs w:val="52"/>
                                  </w:rPr>
                                </w:pPr>
                                <w:sdt>
                                  <w:sdtPr>
                                    <w:rPr>
                                      <w:rFonts w:ascii="Times New Roman" w:hAnsi="Times New Roman" w:cs="Times New Roman"/>
                                      <w:b/>
                                      <w:bCs/>
                                      <w:caps/>
                                      <w:color w:val="E97132" w:themeColor="accent2"/>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7F39A2">
                                      <w:rPr>
                                        <w:rFonts w:ascii="Times New Roman" w:hAnsi="Times New Roman" w:cs="Times New Roman"/>
                                        <w:b/>
                                        <w:bCs/>
                                        <w:caps/>
                                        <w:color w:val="E97132" w:themeColor="accent2"/>
                                        <w:sz w:val="56"/>
                                        <w:szCs w:val="56"/>
                                      </w:rPr>
                                      <w:t xml:space="preserve">Sustainable Enterprise </w:t>
                                    </w:r>
                                  </w:sdtContent>
                                </w:sdt>
                              </w:p>
                              <w:p w14:paraId="196152D7" w14:textId="4B5B1480" w:rsidR="007F39A2" w:rsidRDefault="007F39A2" w:rsidP="007F39A2">
                                <w:pPr>
                                  <w:pStyle w:val="NoSpacing"/>
                                  <w:rPr>
                                    <w:smallCaps/>
                                    <w:color w:val="0E284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6B1FB37"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393AA1E3" w14:textId="06FCE721" w:rsidR="007F39A2" w:rsidRDefault="007F39A2">
                          <w:pPr>
                            <w:pStyle w:val="NoSpacing"/>
                            <w:jc w:val="right"/>
                            <w:rPr>
                              <w:caps/>
                              <w:color w:val="0A1D30" w:themeColor="text2" w:themeShade="BF"/>
                              <w:sz w:val="52"/>
                              <w:szCs w:val="52"/>
                            </w:rPr>
                          </w:pPr>
                          <w:sdt>
                            <w:sdtPr>
                              <w:rPr>
                                <w:rFonts w:ascii="Times New Roman" w:hAnsi="Times New Roman" w:cs="Times New Roman"/>
                                <w:b/>
                                <w:bCs/>
                                <w:caps/>
                                <w:color w:val="E97132" w:themeColor="accent2"/>
                                <w:sz w:val="56"/>
                                <w:szCs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7F39A2">
                                <w:rPr>
                                  <w:rFonts w:ascii="Times New Roman" w:hAnsi="Times New Roman" w:cs="Times New Roman"/>
                                  <w:b/>
                                  <w:bCs/>
                                  <w:caps/>
                                  <w:color w:val="E97132" w:themeColor="accent2"/>
                                  <w:sz w:val="56"/>
                                  <w:szCs w:val="56"/>
                                </w:rPr>
                                <w:t xml:space="preserve">Sustainable Enterprise </w:t>
                              </w:r>
                            </w:sdtContent>
                          </w:sdt>
                        </w:p>
                        <w:p w14:paraId="196152D7" w14:textId="4B5B1480" w:rsidR="007F39A2" w:rsidRDefault="007F39A2" w:rsidP="007F39A2">
                          <w:pPr>
                            <w:pStyle w:val="NoSpacing"/>
                            <w:rPr>
                              <w:smallCaps/>
                              <w:color w:val="0E2841"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086355F" wp14:editId="17BA7793">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5AB050A"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b/>
              <w:bCs/>
              <w:color w:val="E97132" w:themeColor="accent2"/>
            </w:rPr>
            <w:br w:type="page"/>
          </w:r>
        </w:p>
      </w:sdtContent>
    </w:sdt>
    <w:p w14:paraId="03C545B7" w14:textId="568B63A7" w:rsidR="00C6739E" w:rsidRPr="00C6739E" w:rsidRDefault="00C6739E" w:rsidP="00C6739E">
      <w:pPr>
        <w:spacing w:line="480" w:lineRule="auto"/>
        <w:jc w:val="both"/>
        <w:rPr>
          <w:rFonts w:ascii="Times New Roman" w:hAnsi="Times New Roman" w:cs="Times New Roman"/>
          <w:b/>
          <w:bCs/>
          <w:color w:val="E97132" w:themeColor="accent2"/>
        </w:rPr>
      </w:pPr>
      <w:r w:rsidRPr="00C6739E">
        <w:rPr>
          <w:rFonts w:ascii="Times New Roman" w:hAnsi="Times New Roman" w:cs="Times New Roman"/>
          <w:b/>
          <w:bCs/>
          <w:color w:val="E97132" w:themeColor="accent2"/>
        </w:rPr>
        <w:lastRenderedPageBreak/>
        <w:t xml:space="preserve">Introduction </w:t>
      </w:r>
    </w:p>
    <w:p w14:paraId="41944287" w14:textId="77777777"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This business plan aims to develop a sustainable agriculture start-up that prioritises organic production, community engagement, and economic success. The enterprise aims to show how regenerative agriculture practices, community-supported initiatives, and careful financial planning can work together to create an operation that is environmentally responsible, ethically beneficial, and financially profitable. Our overarching goal is to establish a thriving organic farm that produces high-quality produce for local consumers while serving as a model for sustainable farming practices.</w:t>
      </w:r>
    </w:p>
    <w:p w14:paraId="341173CF" w14:textId="77777777" w:rsidR="00C6739E" w:rsidRPr="00C6739E" w:rsidRDefault="00C6739E" w:rsidP="00C6739E">
      <w:pPr>
        <w:spacing w:line="480" w:lineRule="auto"/>
        <w:jc w:val="both"/>
        <w:rPr>
          <w:rFonts w:ascii="Times New Roman" w:hAnsi="Times New Roman" w:cs="Times New Roman"/>
          <w:b/>
          <w:bCs/>
          <w:color w:val="E97132" w:themeColor="accent2"/>
        </w:rPr>
      </w:pPr>
      <w:r w:rsidRPr="00C6739E">
        <w:rPr>
          <w:rFonts w:ascii="Times New Roman" w:hAnsi="Times New Roman" w:cs="Times New Roman"/>
          <w:b/>
          <w:bCs/>
          <w:color w:val="E97132" w:themeColor="accent2"/>
        </w:rPr>
        <w:t>Goals &amp; Objectives</w:t>
      </w:r>
    </w:p>
    <w:p w14:paraId="66BA646C" w14:textId="77777777"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The purpose of this venture is to establish a viable, community-focused organic farm that follows sustainable methods, benefits the local ecosystem, and contributes to food security. Our goals include environmental stewardship, societal influence, and economic success. Environmentally, the company will use regenerative agricultural techniques like crop rotation, cover cropping, and organic pest management. These strategies, which use modern irrigation systems such as drip irrigation and rainwater collecting, aim to improve soil fertility, increase biodiversity, and conserve water. Achieving organic certification within the first two years is an important goal that will demonstrate our dedication to sustainable methods.</w:t>
      </w:r>
    </w:p>
    <w:p w14:paraId="24DEE28F" w14:textId="50A62D5C"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 xml:space="preserve">On the social front, the start-up intends to deliver healthy, locally sourced products directly to consumers, enhancing local food security and strengthening community ties. To create trust and connect customers directly, the company will launch direct sales channels such as farmers' markets and a Community Supported Agriculture (CSA) program. Furthermore, the company intends to provide local job possibilities and cooperate with educational institutions and community groups to organise farm visits and seminars. These projects not only give great </w:t>
      </w:r>
      <w:r w:rsidRPr="00C6739E">
        <w:rPr>
          <w:rFonts w:ascii="Times New Roman" w:hAnsi="Times New Roman" w:cs="Times New Roman"/>
        </w:rPr>
        <w:lastRenderedPageBreak/>
        <w:t>learning opportunities, but they also strengthen the community's commitment to sustainable food systems.</w:t>
      </w:r>
    </w:p>
    <w:p w14:paraId="6651EECF" w14:textId="784FF6D0"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Economically, the company expects to break even by the end of the second year and earn a slight profit by the third year. Initial financial aims are planned to achieve annual revenues ranging from £50,000 to £60,000 by Year 3, with profits reinvested in the business for future growth and technology advancements. The aim is to keep costs under control while leveraging direct-to-consumer sales channels to maintain good margins and create financial resilience.</w:t>
      </w:r>
    </w:p>
    <w:p w14:paraId="44443615" w14:textId="77777777" w:rsidR="00C6739E" w:rsidRPr="00C6739E" w:rsidRDefault="00C6739E" w:rsidP="00C6739E">
      <w:pPr>
        <w:spacing w:line="480" w:lineRule="auto"/>
        <w:jc w:val="both"/>
        <w:rPr>
          <w:rFonts w:ascii="Times New Roman" w:hAnsi="Times New Roman" w:cs="Times New Roman"/>
          <w:b/>
          <w:bCs/>
          <w:color w:val="E97132" w:themeColor="accent2"/>
        </w:rPr>
      </w:pPr>
      <w:r w:rsidRPr="00C6739E">
        <w:rPr>
          <w:rFonts w:ascii="Times New Roman" w:hAnsi="Times New Roman" w:cs="Times New Roman"/>
          <w:b/>
          <w:bCs/>
          <w:color w:val="E97132" w:themeColor="accent2"/>
        </w:rPr>
        <w:t>Sustainability Explanation</w:t>
      </w:r>
    </w:p>
    <w:p w14:paraId="16D370F5" w14:textId="06E979F6"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Our sustainable agriculture firm is based on the "triple bottom line" of sustainability, which encompasses environmental, social, and economic components. Environmentally, we are devoted to organic agricultural practices that protect natural resources and biodiversity. Crop rotation, cover crop utilisation, and organic inputs are all examples of regenerative strategies that will keep the soil fertile and water resources maintained properly. By avoiding synthetic fertilisers and pesticides, the farm reduces chemical runoff while also protecting local ecosystems such as water bodies and neighbouring habitats.</w:t>
      </w:r>
    </w:p>
    <w:p w14:paraId="7D52848D" w14:textId="081889B9"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Social sustainability is equally vital to our company strategy. The company is committed to delivering fresh, locally farmed produce directly to customers, which not only promotes local food security but also decreases the environmental impact of long-distance food transportation. The CSA model, along with direct sales at farmers' markets, will bring consumers closer to the source of their food, fostering openness and confidence. Furthermore, by creating local jobs and providing training programs on organic agricultural practices, the firm promotes community development and helps to build a competent workforce capable of driving future sustainable efforts.</w:t>
      </w:r>
    </w:p>
    <w:p w14:paraId="5755A695" w14:textId="2DB42448"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lastRenderedPageBreak/>
        <w:t>Economic sustainability is achieved by combining cost-effective manufacturing methods, diverse sources of revenue, and effective financial management. Direct sales channels, such as CSA subscriptions, generate upfront revenue, which helps to cover the early operational expenditures. Profits will be reinvested in the business to fund technological updates, increase production capacity, and explore new revenue streams such as value-added products and agritourism. This strategy ensures that the company stays financially viable while adhering to high environmental and social standards. Overall, the integration of these sustainability pillars assures that the organisation is robust, adaptable, and lucrative in the future.</w:t>
      </w:r>
    </w:p>
    <w:p w14:paraId="190BF20C" w14:textId="77777777" w:rsidR="00C6739E" w:rsidRPr="00C6739E" w:rsidRDefault="00C6739E" w:rsidP="00C6739E">
      <w:pPr>
        <w:spacing w:line="480" w:lineRule="auto"/>
        <w:jc w:val="both"/>
        <w:rPr>
          <w:rFonts w:ascii="Times New Roman" w:hAnsi="Times New Roman" w:cs="Times New Roman"/>
          <w:b/>
          <w:bCs/>
          <w:color w:val="E97132" w:themeColor="accent2"/>
        </w:rPr>
      </w:pPr>
      <w:r w:rsidRPr="00C6739E">
        <w:rPr>
          <w:rFonts w:ascii="Times New Roman" w:hAnsi="Times New Roman" w:cs="Times New Roman"/>
          <w:b/>
          <w:bCs/>
          <w:color w:val="E97132" w:themeColor="accent2"/>
        </w:rPr>
        <w:t>Resources Require</w:t>
      </w:r>
    </w:p>
    <w:p w14:paraId="46A4F766" w14:textId="1AF7A832"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The successful launch and operation of this sustainable agriculture start-up will necessitate careful management of physical, human, and financial assets. In terms of physical resources, the company will need at least 10 acres of arable land that has been assessed for soil quality and water availability. To reduce transportation costs and carbon emissions, the land must be capable of growing a varied range of organic products and located close to local markets (</w:t>
      </w:r>
      <w:r w:rsidR="00F66FEC">
        <w:rPr>
          <w:rFonts w:ascii="Times New Roman" w:hAnsi="Times New Roman" w:cs="Times New Roman"/>
        </w:rPr>
        <w:t>Anbarasan</w:t>
      </w:r>
      <w:r w:rsidRPr="00C6739E">
        <w:rPr>
          <w:rFonts w:ascii="Times New Roman" w:hAnsi="Times New Roman" w:cs="Times New Roman"/>
        </w:rPr>
        <w:t>, 2018). Infrastructure investments include fences, storage facilities, and basic farm structures for equipment and crop storage. Essential farming equipment, such as a small tractor or tiller, hand tools, and sophisticated irrigation systems, will be purchased to enable smooth operations. Organic seeds, seedlings, and soil amendments like compost will be obtained to begin agricultural production (</w:t>
      </w:r>
      <w:r w:rsidR="00F66FEC">
        <w:rPr>
          <w:rFonts w:ascii="Times New Roman" w:hAnsi="Times New Roman" w:cs="Times New Roman"/>
        </w:rPr>
        <w:t>Anbarasan, 2018)</w:t>
      </w:r>
      <w:r w:rsidRPr="00C6739E">
        <w:rPr>
          <w:rFonts w:ascii="Times New Roman" w:hAnsi="Times New Roman" w:cs="Times New Roman"/>
        </w:rPr>
        <w:t>.</w:t>
      </w:r>
    </w:p>
    <w:p w14:paraId="0C849633" w14:textId="373F0FC9"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 xml:space="preserve">Human resources will be crucial to the operation's success. Initially, the owner-operator will manage the business, overseeing day-to-day operations, strategic planning, and direct sales. In addition, two full-time or seasonal employees will be hired to help with planting, maintenance, and harvest. To supplement in-house expertise, the company will hire contract consultants for specialised activities like organic pest management and soil analysis. Partnerships with local </w:t>
      </w:r>
      <w:r w:rsidRPr="00C6739E">
        <w:rPr>
          <w:rFonts w:ascii="Times New Roman" w:hAnsi="Times New Roman" w:cs="Times New Roman"/>
        </w:rPr>
        <w:lastRenderedPageBreak/>
        <w:t xml:space="preserve">agricultural extension organisations and universities will be explored to provide continual staff training and keep the team up to date on the most recent sustainable farming </w:t>
      </w:r>
      <w:r w:rsidR="007F39A2" w:rsidRPr="00C6739E">
        <w:rPr>
          <w:rFonts w:ascii="Times New Roman" w:hAnsi="Times New Roman" w:cs="Times New Roman"/>
        </w:rPr>
        <w:t>technique</w:t>
      </w:r>
      <w:r w:rsidRPr="00C6739E">
        <w:rPr>
          <w:rFonts w:ascii="Times New Roman" w:hAnsi="Times New Roman" w:cs="Times New Roman"/>
        </w:rPr>
        <w:t>. This integrated approach to human resource management aims to develop an educated, adaptable staff capable of meeting the changing difficulties of organic farming.</w:t>
      </w:r>
    </w:p>
    <w:p w14:paraId="7022DD6A" w14:textId="4CCC1776"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Financially, the start-up will need an initial capital expenditure of £30,000 to £50,000 to cover property acquisition or leasing, infrastructure construction, equipment purchases, and early operational costs. This funding will come from a combination of personal savings, local government grants for sustainable agriculture, and low-interest loans from agricultural banks (USDA, 2021). In addition to starting money, the company will use operations capital from initial CSA subscribers and early sales at farmers' markets. An emergency reserve of roughly 10% of annual operational expenditures will be kept on hand to cover unexpected spending or economic changes (</w:t>
      </w:r>
      <w:r w:rsidR="00F66FEC">
        <w:rPr>
          <w:rFonts w:ascii="Times New Roman" w:hAnsi="Times New Roman" w:cs="Times New Roman"/>
        </w:rPr>
        <w:t>Edgeman, 2014)</w:t>
      </w:r>
      <w:r w:rsidRPr="00C6739E">
        <w:rPr>
          <w:rFonts w:ascii="Times New Roman" w:hAnsi="Times New Roman" w:cs="Times New Roman"/>
        </w:rPr>
        <w:t>. The emphasis on meticulous financial planning and diverse funding sources is designed to ensure that the company remains solvent and able to satisfy its responsibilities even during difficult times.</w:t>
      </w:r>
    </w:p>
    <w:p w14:paraId="2784BF94" w14:textId="77777777" w:rsidR="00C6739E" w:rsidRPr="00C6739E" w:rsidRDefault="00C6739E" w:rsidP="00C6739E">
      <w:pPr>
        <w:spacing w:line="480" w:lineRule="auto"/>
        <w:jc w:val="both"/>
        <w:rPr>
          <w:rFonts w:ascii="Times New Roman" w:hAnsi="Times New Roman" w:cs="Times New Roman"/>
          <w:b/>
          <w:bCs/>
          <w:color w:val="E97132" w:themeColor="accent2"/>
        </w:rPr>
      </w:pPr>
      <w:r w:rsidRPr="00C6739E">
        <w:rPr>
          <w:rFonts w:ascii="Times New Roman" w:hAnsi="Times New Roman" w:cs="Times New Roman"/>
          <w:b/>
          <w:bCs/>
          <w:color w:val="E97132" w:themeColor="accent2"/>
        </w:rPr>
        <w:t>Marketing Strategy</w:t>
      </w:r>
    </w:p>
    <w:p w14:paraId="43C1607B" w14:textId="77777777"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The marketing approach for this sustainable agriculture start-up focusses on developing a strong brand identity based on quality, transparency, and environmental responsibility. The major target market consists of local, health-conscious individuals and families who value organic and locally grown foods. In addition, the company will target local restaurants and speciality grocers who value farm-to-table techniques. The CSA model is crucial to this plan because it allows for direct connection and revenue from consumers who are dedicated to sustainable agricultural practices (Jones, 2018).</w:t>
      </w:r>
    </w:p>
    <w:p w14:paraId="382D0259" w14:textId="77777777"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 xml:space="preserve">The pricing plan will reflect the high value of organic produce while keeping competitive with other local organic providers. Prices will be set to reflect the increased expenses associated </w:t>
      </w:r>
      <w:r w:rsidRPr="00C6739E">
        <w:rPr>
          <w:rFonts w:ascii="Times New Roman" w:hAnsi="Times New Roman" w:cs="Times New Roman"/>
        </w:rPr>
        <w:lastRenderedPageBreak/>
        <w:t>with organic production, such as labour-intensive processes and premium ingredients. The CSA program will use a pre-payment strategy to secure money at the outset of the season, ensuring essential cash flow for early operations. This concept not only improves financial stability, but it also increases consumer loyalty because subscribers receive consistent, high-quality product throughout the growing season (USDA, 2021).</w:t>
      </w:r>
    </w:p>
    <w:p w14:paraId="5D7FA7EF" w14:textId="7A6FA1B5"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 xml:space="preserve">Distribution will be managed via numerous channels </w:t>
      </w:r>
      <w:r w:rsidRPr="00C6739E">
        <w:rPr>
          <w:rFonts w:ascii="Times New Roman" w:hAnsi="Times New Roman" w:cs="Times New Roman"/>
        </w:rPr>
        <w:t>to</w:t>
      </w:r>
      <w:r w:rsidRPr="00C6739E">
        <w:rPr>
          <w:rFonts w:ascii="Times New Roman" w:hAnsi="Times New Roman" w:cs="Times New Roman"/>
        </w:rPr>
        <w:t xml:space="preserve"> diversify revenue sources and reduce market risk. Direct sales at weekly farmers' markets will provide rapid cash flow and allow for direct engagement with customers, supporting the brand's local and transparent identity</w:t>
      </w:r>
      <w:r w:rsidR="00F66FEC">
        <w:rPr>
          <w:rFonts w:ascii="Times New Roman" w:hAnsi="Times New Roman" w:cs="Times New Roman"/>
        </w:rPr>
        <w:t>.</w:t>
      </w:r>
      <w:r w:rsidRPr="00C6739E">
        <w:rPr>
          <w:rFonts w:ascii="Times New Roman" w:hAnsi="Times New Roman" w:cs="Times New Roman"/>
        </w:rPr>
        <w:t xml:space="preserve"> The CSA program will serve as the distribution strategy's foundation, offering subscription boxes with a handpicked variety of seasonal food sent directly to consumers. As the company grows, more relationships with local restaurants and organic merchants will be explored, broadening the brand's market reach and establishing it as a reliable provider of quality organic products (</w:t>
      </w:r>
      <w:r w:rsidR="00F66FEC">
        <w:rPr>
          <w:rFonts w:ascii="Times New Roman" w:hAnsi="Times New Roman" w:cs="Times New Roman"/>
        </w:rPr>
        <w:t>Edgeman, 2014)</w:t>
      </w:r>
      <w:r w:rsidRPr="00C6739E">
        <w:rPr>
          <w:rFonts w:ascii="Times New Roman" w:hAnsi="Times New Roman" w:cs="Times New Roman"/>
        </w:rPr>
        <w:t>.</w:t>
      </w:r>
    </w:p>
    <w:p w14:paraId="39E673B9" w14:textId="77777777"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The brand will be promoted primarily through digital marketing and community interaction. An appealing, user-friendly website will serve as the principal digital platform, giving full information about the farm's methods, seasonal updates, and membership choices. Social media channels will be used to provide daily or weekly updates, behind-the-scenes peeks at the farming process, and instructional content about sustainable agriculture. In addition to digital marketing, the company will attend local food festivals and offer community events such as farm tours and sustainability workshops to strengthen relationships with local customers and increase brand recognition (Green, 2020). These integrated marketing activities aim to create a devoted client base that appreciates quality, transparency, and sustainability.</w:t>
      </w:r>
    </w:p>
    <w:p w14:paraId="486C7390" w14:textId="77777777" w:rsidR="00C6739E" w:rsidRPr="00C6739E" w:rsidRDefault="00C6739E" w:rsidP="00C6739E">
      <w:pPr>
        <w:spacing w:line="480" w:lineRule="auto"/>
        <w:jc w:val="both"/>
        <w:rPr>
          <w:rFonts w:ascii="Times New Roman" w:hAnsi="Times New Roman" w:cs="Times New Roman"/>
          <w:b/>
          <w:bCs/>
          <w:color w:val="E97132" w:themeColor="accent2"/>
        </w:rPr>
      </w:pPr>
      <w:r w:rsidRPr="00C6739E">
        <w:rPr>
          <w:rFonts w:ascii="Times New Roman" w:hAnsi="Times New Roman" w:cs="Times New Roman"/>
          <w:b/>
          <w:bCs/>
          <w:color w:val="E97132" w:themeColor="accent2"/>
        </w:rPr>
        <w:t>PESTLE Analysis.</w:t>
      </w:r>
    </w:p>
    <w:p w14:paraId="21EA5748" w14:textId="77777777"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lastRenderedPageBreak/>
        <w:t>An investigation of the external environment is required to comprehend the larger context in which the start-up will operate. Politically, favourable government policies such as subsidies and grants for organic farming can provide significant financial aid; however, changes in agricultural policy may cause uncertainty (FAO, 2020). Economic issues such as inflation and consumer spending trends have a direct impact on the affordability and demand for organic products. Premium-priced organic products may face reduced demand during economic downturns, necessitating the diversification of revenue streams.</w:t>
      </w:r>
    </w:p>
    <w:p w14:paraId="01184B80" w14:textId="50E0BA27"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Social considerations are highly favourable, as there is a growing preference for organic and locally sourced foods. Consumers are increasingly prioritising sustainability and local production, which fits nicely with the company's objective. Technological advancements in farming techniques and digital marketing provide chances to improve operational efficiency while reaching a larger audience. Smart irrigation systems and precision agricultural technology may need a considerable initial investment, but they offer long-term productivity and cost savings (USDA, 2021). Legally, the start-up must adhere to strict organic certification criteria, food safety rules, and labour laws. Transparent and ethical methods not only ensure compliance, but also increase consumer trust (Miller, 2020). Finally, environmental issues like climatic variability and water scarcity create inherent risks. However, via sustainable practices and efficient resource management, the company is well positioned to address these environmental issues</w:t>
      </w:r>
      <w:r w:rsidR="005B3061">
        <w:rPr>
          <w:rFonts w:ascii="Times New Roman" w:hAnsi="Times New Roman" w:cs="Times New Roman"/>
        </w:rPr>
        <w:t>.</w:t>
      </w:r>
    </w:p>
    <w:p w14:paraId="68B596D5" w14:textId="77777777" w:rsidR="00C6739E" w:rsidRPr="00C6739E" w:rsidRDefault="00C6739E" w:rsidP="00C6739E">
      <w:pPr>
        <w:spacing w:line="480" w:lineRule="auto"/>
        <w:jc w:val="both"/>
        <w:rPr>
          <w:rFonts w:ascii="Times New Roman" w:hAnsi="Times New Roman" w:cs="Times New Roman"/>
          <w:b/>
          <w:bCs/>
          <w:color w:val="E97132" w:themeColor="accent2"/>
        </w:rPr>
      </w:pPr>
      <w:r w:rsidRPr="00C6739E">
        <w:rPr>
          <w:rFonts w:ascii="Times New Roman" w:hAnsi="Times New Roman" w:cs="Times New Roman"/>
          <w:b/>
          <w:bCs/>
          <w:color w:val="E97132" w:themeColor="accent2"/>
        </w:rPr>
        <w:t>SWOT Analysis</w:t>
      </w:r>
    </w:p>
    <w:p w14:paraId="731DDD89" w14:textId="6C7A09BF"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 xml:space="preserve">A SWOT analysis gives information on the enterprise's internal strengths and weaknesses, as well as external opportunities and threats. One of the start-up's main advantages is the high demand for organic goods in the local market, which gives a ready client base and the potential for premium pricing (FAO, 2020). The company's commitment to sustainable practices, such </w:t>
      </w:r>
      <w:r w:rsidRPr="00C6739E">
        <w:rPr>
          <w:rFonts w:ascii="Times New Roman" w:hAnsi="Times New Roman" w:cs="Times New Roman"/>
        </w:rPr>
        <w:lastRenderedPageBreak/>
        <w:t>as regenerative agriculture and community-based sales channels, sets it apart from traditional farms. However, the start-up's restricted size and initial funding limits are key weaknesses. The labour-intensive nature of organic farming may also strain resources during peak seasons, and establishing brand recognition in a competitive market would take time and significant marketing efforts (</w:t>
      </w:r>
      <w:r w:rsidR="005B3061">
        <w:rPr>
          <w:rFonts w:ascii="Times New Roman" w:hAnsi="Times New Roman" w:cs="Times New Roman"/>
        </w:rPr>
        <w:t>Thompson, 2010).</w:t>
      </w:r>
    </w:p>
    <w:p w14:paraId="6BE5D41F" w14:textId="52D837B8"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Among the opportunities, there is significant room for market expansion in terms of geographic reach and product diversity. The introduction of value-added products like organic preserves or specialised agritourism experiences might help to diversify revenue and reduce risk. Technological improvements in sustainable agriculture present prospects to improve operational efficiency and agricultural yields (USDA, 2021). Threats include weather patterns that are unpredictable and can have a negative impact on agricultural production, as well as growing competition from other local organic farmers. Shifts in regulatory frameworks and consumer attitudes pose additional issues that must be closely monitored.</w:t>
      </w:r>
    </w:p>
    <w:p w14:paraId="7381E053" w14:textId="77777777" w:rsidR="00C6739E" w:rsidRPr="00C6739E" w:rsidRDefault="00C6739E" w:rsidP="00C6739E">
      <w:pPr>
        <w:spacing w:line="480" w:lineRule="auto"/>
        <w:jc w:val="both"/>
        <w:rPr>
          <w:rFonts w:ascii="Times New Roman" w:hAnsi="Times New Roman" w:cs="Times New Roman"/>
          <w:b/>
          <w:bCs/>
          <w:color w:val="E97132" w:themeColor="accent2"/>
        </w:rPr>
      </w:pPr>
      <w:r w:rsidRPr="00C6739E">
        <w:rPr>
          <w:rFonts w:ascii="Times New Roman" w:hAnsi="Times New Roman" w:cs="Times New Roman"/>
          <w:b/>
          <w:bCs/>
          <w:color w:val="E97132" w:themeColor="accent2"/>
        </w:rPr>
        <w:t>Financial Cash Flow</w:t>
      </w:r>
    </w:p>
    <w:p w14:paraId="50838E57" w14:textId="77777777"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The financial projections for the first three years of operation are based on detailed revenue and expense assumptions. The business anticipates a net loss in the first year since the minimal revenue from early CSA subscribers and farmers' market sales is outpaced by starting expenses such as infrastructure construction, equipment purchase, and property leasing or acquisition. Sales in the first year are expected to be around £20,000, with total expenses potentially exceeding £30,000. This early phase is crucial for establishing the operational structure, building a customer base, and fine-tuning manufacturing procedures (USDA, 2021).</w:t>
      </w:r>
    </w:p>
    <w:p w14:paraId="4B26B225" w14:textId="36FD97E3"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 xml:space="preserve">Revenues are anticipated to almost triple in the second year as the farm becomes more operationally efficient and its clientele grows. With increasing CSA subscriptions, higher crop yields, and a stronger market presence, the company is expected to break even by the end of </w:t>
      </w:r>
      <w:r w:rsidRPr="00C6739E">
        <w:rPr>
          <w:rFonts w:ascii="Times New Roman" w:hAnsi="Times New Roman" w:cs="Times New Roman"/>
        </w:rPr>
        <w:lastRenderedPageBreak/>
        <w:t>Year 2. This phase will involve reinvesting any excess funds in technology upgrades, extra infrastructure, and marketing campaigns to strengthen the company's position. By Year 3, with a full production cycle and expanded market channels, the firm expects modest profitability, with sales ranging from £50,000 to £60,000 and operating expenditures of £45,000 to £50,000. Positive cash flow from this phase will be reinvested to support future expansion, research into sustainable methods, and the possible introduction of additional product lines (</w:t>
      </w:r>
      <w:r w:rsidR="005B3061">
        <w:rPr>
          <w:rFonts w:ascii="Times New Roman" w:hAnsi="Times New Roman" w:cs="Times New Roman"/>
        </w:rPr>
        <w:t>Thompson, 2010)</w:t>
      </w:r>
      <w:r w:rsidRPr="00C6739E">
        <w:rPr>
          <w:rFonts w:ascii="Times New Roman" w:hAnsi="Times New Roman" w:cs="Times New Roman"/>
        </w:rPr>
        <w:t>.</w:t>
      </w:r>
    </w:p>
    <w:p w14:paraId="5A4FD624" w14:textId="77777777" w:rsidR="00C6739E" w:rsidRPr="00C6739E" w:rsidRDefault="00C6739E" w:rsidP="00C6739E">
      <w:pPr>
        <w:spacing w:line="480" w:lineRule="auto"/>
        <w:jc w:val="both"/>
        <w:rPr>
          <w:rFonts w:ascii="Times New Roman" w:hAnsi="Times New Roman" w:cs="Times New Roman"/>
          <w:b/>
          <w:bCs/>
          <w:color w:val="E97132" w:themeColor="accent2"/>
        </w:rPr>
      </w:pPr>
      <w:r w:rsidRPr="00C6739E">
        <w:rPr>
          <w:rFonts w:ascii="Times New Roman" w:hAnsi="Times New Roman" w:cs="Times New Roman"/>
          <w:b/>
          <w:bCs/>
          <w:color w:val="E97132" w:themeColor="accent2"/>
        </w:rPr>
        <w:t>Contingency Plan</w:t>
      </w:r>
    </w:p>
    <w:p w14:paraId="5EA5B15F" w14:textId="138AD7DC"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 xml:space="preserve">To handle the uncertainties inherent in organic farming, the business plan contains a comprehensive contingency plan that addresses operational, market, regulatory, and environmental risks. In terms of environmental risks, the unpredictability of meteorological occurrences such as droughts, floods, and insect infestations </w:t>
      </w:r>
      <w:r w:rsidRPr="00C6739E">
        <w:rPr>
          <w:rFonts w:ascii="Times New Roman" w:hAnsi="Times New Roman" w:cs="Times New Roman"/>
        </w:rPr>
        <w:t>are</w:t>
      </w:r>
      <w:r w:rsidRPr="00C6739E">
        <w:rPr>
          <w:rFonts w:ascii="Times New Roman" w:hAnsi="Times New Roman" w:cs="Times New Roman"/>
        </w:rPr>
        <w:t xml:space="preserve"> a big worry. To mitigate the effects of poor weather, the company will use techniques such as crop diversification and the deployment of modern irrigation and drainage systems. Crop insurance will also be considered as a financial protection against probable losses. Market risks, such as economic downturns or swings in consumer demand, will be mitigated by using the CSA model, which guarantees upfront revenue, as well as expanding sales channels to include direct sales, local restaurant partnerships, and value-added items. Financial variations will be managed more effectively using flexible cost management measures, such as seasonal labour modifications and stringent budget restrictions</w:t>
      </w:r>
      <w:r w:rsidR="005B3061">
        <w:rPr>
          <w:rFonts w:ascii="Times New Roman" w:hAnsi="Times New Roman" w:cs="Times New Roman"/>
        </w:rPr>
        <w:t>.</w:t>
      </w:r>
    </w:p>
    <w:p w14:paraId="0DBE50AD" w14:textId="77777777"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 xml:space="preserve">Regulatory risks will be reduced by adhering strictly to food safety, organic certification, and labour requirements. Regular internal and external audits, together with proactive contact with local regulatory organisations, will help to assure compliance and allow the company to respond promptly to any changes in legal requirements. Operational risks, such as equipment </w:t>
      </w:r>
      <w:r w:rsidRPr="00C6739E">
        <w:rPr>
          <w:rFonts w:ascii="Times New Roman" w:hAnsi="Times New Roman" w:cs="Times New Roman"/>
        </w:rPr>
        <w:lastRenderedPageBreak/>
        <w:t>breakdowns or labour shortages, will be mitigated by introducing preventative maintenance plans and cross-training staff to guarantee that critical jobs may be completed by multiple team members. A designated emergency fund, equivalent to approximately 10% of yearly operating expenditures, will be maintained to cover unforeseen expenses and operational disruptions.</w:t>
      </w:r>
    </w:p>
    <w:p w14:paraId="17785A48" w14:textId="77777777"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b/>
          <w:bCs/>
          <w:color w:val="E97132" w:themeColor="accent2"/>
        </w:rPr>
        <w:t>Conclusion</w:t>
      </w:r>
      <w:r w:rsidRPr="00C6739E">
        <w:rPr>
          <w:rFonts w:ascii="Times New Roman" w:hAnsi="Times New Roman" w:cs="Times New Roman"/>
          <w:b/>
          <w:bCs/>
          <w:color w:val="E97132" w:themeColor="accent2"/>
        </w:rPr>
        <w:br/>
      </w:r>
      <w:r w:rsidRPr="00C6739E">
        <w:rPr>
          <w:rFonts w:ascii="Times New Roman" w:hAnsi="Times New Roman" w:cs="Times New Roman"/>
        </w:rPr>
        <w:t xml:space="preserve">This business plan for a sustainable agriculture start-up sets out a complete approach that combines environmental care, social responsibility, and commercial success. The </w:t>
      </w:r>
      <w:r w:rsidRPr="00C6739E">
        <w:rPr>
          <w:rFonts w:ascii="Times New Roman" w:hAnsi="Times New Roman" w:cs="Times New Roman"/>
        </w:rPr>
        <w:t>enterprises</w:t>
      </w:r>
      <w:r w:rsidRPr="00C6739E">
        <w:rPr>
          <w:rFonts w:ascii="Times New Roman" w:hAnsi="Times New Roman" w:cs="Times New Roman"/>
        </w:rPr>
        <w:t xml:space="preserve"> well stated aims and objectives are intended to drive it towards gaining organic certification, increasing community engagement through direct sales and educational programs, and reaching financial stability within three years of operations. By investing in regenerative agricultural approaches, effective resource management, and multiple revenue streams, the company is well-positioned to address the challenges of modern organic farming while offering high-quality, locally produced food.</w:t>
      </w:r>
    </w:p>
    <w:p w14:paraId="3FE2DEFF" w14:textId="77777777"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The precise allocation of physical, human, and financial resources guarantees that the firm can navigate operational obstacles and react to changing market conditions. The marketing strategy, based on the CSA model and direct-to-consumer sales, aims to cultivate a loyal customer base and generate a trustworthy brand name. Furthermore, the detailed PESTLE and SWOT analyses provide important insights into the external and internal variables influencing the organisation, while the financial predictions and contingency plan guarantee that risks are successfully controlled.</w:t>
      </w:r>
    </w:p>
    <w:p w14:paraId="104FCB12" w14:textId="102D9612" w:rsidR="00C6739E" w:rsidRDefault="00C6739E" w:rsidP="00C6739E">
      <w:pPr>
        <w:spacing w:line="480" w:lineRule="auto"/>
        <w:jc w:val="both"/>
        <w:rPr>
          <w:rFonts w:ascii="Times New Roman" w:hAnsi="Times New Roman" w:cs="Times New Roman"/>
        </w:rPr>
      </w:pPr>
      <w:r w:rsidRPr="00C6739E">
        <w:rPr>
          <w:rFonts w:ascii="Times New Roman" w:hAnsi="Times New Roman" w:cs="Times New Roman"/>
        </w:rPr>
        <w:t xml:space="preserve">In conclusion, this sustainable agriculture start-up is poised to become an example of how environmentally sound, socially responsible, and commercially sustainable practices may coexist in a successful business. Through continual development, strong community participation, and adaptive management, the company hopes to contribute to a better </w:t>
      </w:r>
      <w:r w:rsidRPr="00C6739E">
        <w:rPr>
          <w:rFonts w:ascii="Times New Roman" w:hAnsi="Times New Roman" w:cs="Times New Roman"/>
        </w:rPr>
        <w:lastRenderedPageBreak/>
        <w:t>environment, increase local food security, and achieve long-term economic prosperity. The strategic use of organic farming practices, along with innovative marketing and sound financial planning, will drive the venture's long-term success and serve as a model for future sustainable agriculture ventures (FAO, 2020; USDA, 2021).</w:t>
      </w:r>
    </w:p>
    <w:p w14:paraId="57DED157" w14:textId="77777777" w:rsidR="00C6739E" w:rsidRPr="00C6739E" w:rsidRDefault="00C6739E" w:rsidP="00C6739E">
      <w:pPr>
        <w:spacing w:line="480" w:lineRule="auto"/>
        <w:jc w:val="both"/>
        <w:rPr>
          <w:rFonts w:ascii="Times New Roman" w:hAnsi="Times New Roman" w:cs="Times New Roman"/>
        </w:rPr>
      </w:pPr>
    </w:p>
    <w:p w14:paraId="4A55793D" w14:textId="77777777" w:rsidR="00C6739E" w:rsidRDefault="00C6739E" w:rsidP="00C6739E">
      <w:pPr>
        <w:spacing w:line="480" w:lineRule="auto"/>
        <w:jc w:val="both"/>
        <w:rPr>
          <w:rFonts w:ascii="Times New Roman" w:hAnsi="Times New Roman" w:cs="Times New Roman"/>
        </w:rPr>
      </w:pPr>
    </w:p>
    <w:p w14:paraId="38BB73FC" w14:textId="77777777" w:rsidR="00C6739E" w:rsidRDefault="00C6739E" w:rsidP="00C6739E">
      <w:pPr>
        <w:spacing w:line="480" w:lineRule="auto"/>
        <w:jc w:val="both"/>
        <w:rPr>
          <w:rFonts w:ascii="Times New Roman" w:hAnsi="Times New Roman" w:cs="Times New Roman"/>
        </w:rPr>
      </w:pPr>
    </w:p>
    <w:p w14:paraId="387CE2B2" w14:textId="77777777" w:rsidR="00C6739E" w:rsidRDefault="00C6739E" w:rsidP="00C6739E">
      <w:pPr>
        <w:spacing w:line="480" w:lineRule="auto"/>
        <w:jc w:val="both"/>
        <w:rPr>
          <w:rFonts w:ascii="Times New Roman" w:hAnsi="Times New Roman" w:cs="Times New Roman"/>
        </w:rPr>
      </w:pPr>
    </w:p>
    <w:p w14:paraId="7DFFEC4B" w14:textId="77777777" w:rsidR="00C6739E" w:rsidRDefault="00C6739E" w:rsidP="00C6739E">
      <w:pPr>
        <w:spacing w:line="480" w:lineRule="auto"/>
        <w:jc w:val="both"/>
        <w:rPr>
          <w:rFonts w:ascii="Times New Roman" w:hAnsi="Times New Roman" w:cs="Times New Roman"/>
        </w:rPr>
      </w:pPr>
    </w:p>
    <w:p w14:paraId="0131AAFE" w14:textId="77777777" w:rsidR="00C6739E" w:rsidRDefault="00C6739E" w:rsidP="00C6739E">
      <w:pPr>
        <w:spacing w:line="480" w:lineRule="auto"/>
        <w:jc w:val="both"/>
        <w:rPr>
          <w:rFonts w:ascii="Times New Roman" w:hAnsi="Times New Roman" w:cs="Times New Roman"/>
        </w:rPr>
      </w:pPr>
    </w:p>
    <w:p w14:paraId="73DC61A4" w14:textId="77777777" w:rsidR="00C6739E" w:rsidRDefault="00C6739E" w:rsidP="00C6739E">
      <w:pPr>
        <w:spacing w:line="480" w:lineRule="auto"/>
        <w:jc w:val="both"/>
        <w:rPr>
          <w:rFonts w:ascii="Times New Roman" w:hAnsi="Times New Roman" w:cs="Times New Roman"/>
        </w:rPr>
      </w:pPr>
    </w:p>
    <w:p w14:paraId="11E18D1A" w14:textId="77777777" w:rsidR="00C6739E" w:rsidRDefault="00C6739E" w:rsidP="00C6739E">
      <w:pPr>
        <w:spacing w:line="480" w:lineRule="auto"/>
        <w:jc w:val="both"/>
        <w:rPr>
          <w:rFonts w:ascii="Times New Roman" w:hAnsi="Times New Roman" w:cs="Times New Roman"/>
        </w:rPr>
      </w:pPr>
    </w:p>
    <w:p w14:paraId="2A9329EA" w14:textId="77777777" w:rsidR="00C6739E" w:rsidRDefault="00C6739E" w:rsidP="00C6739E">
      <w:pPr>
        <w:spacing w:line="480" w:lineRule="auto"/>
        <w:jc w:val="both"/>
        <w:rPr>
          <w:rFonts w:ascii="Times New Roman" w:hAnsi="Times New Roman" w:cs="Times New Roman"/>
        </w:rPr>
      </w:pPr>
    </w:p>
    <w:p w14:paraId="3FFC8235" w14:textId="77777777" w:rsidR="00C6739E" w:rsidRDefault="00C6739E" w:rsidP="00C6739E">
      <w:pPr>
        <w:spacing w:line="480" w:lineRule="auto"/>
        <w:jc w:val="both"/>
        <w:rPr>
          <w:rFonts w:ascii="Times New Roman" w:hAnsi="Times New Roman" w:cs="Times New Roman"/>
        </w:rPr>
      </w:pPr>
    </w:p>
    <w:p w14:paraId="2C24FC1D" w14:textId="77777777" w:rsidR="00C6739E" w:rsidRDefault="00C6739E" w:rsidP="00C6739E">
      <w:pPr>
        <w:spacing w:line="480" w:lineRule="auto"/>
        <w:jc w:val="both"/>
        <w:rPr>
          <w:rFonts w:ascii="Times New Roman" w:hAnsi="Times New Roman" w:cs="Times New Roman"/>
        </w:rPr>
      </w:pPr>
    </w:p>
    <w:p w14:paraId="7410D1C4" w14:textId="77777777" w:rsidR="00C6739E" w:rsidRDefault="00C6739E" w:rsidP="00C6739E">
      <w:pPr>
        <w:spacing w:line="480" w:lineRule="auto"/>
        <w:jc w:val="both"/>
        <w:rPr>
          <w:rFonts w:ascii="Times New Roman" w:hAnsi="Times New Roman" w:cs="Times New Roman"/>
        </w:rPr>
      </w:pPr>
    </w:p>
    <w:p w14:paraId="3D4A2D0B" w14:textId="77777777" w:rsidR="00C6739E" w:rsidRDefault="00C6739E" w:rsidP="00C6739E">
      <w:pPr>
        <w:spacing w:line="480" w:lineRule="auto"/>
        <w:jc w:val="both"/>
        <w:rPr>
          <w:rFonts w:ascii="Times New Roman" w:hAnsi="Times New Roman" w:cs="Times New Roman"/>
        </w:rPr>
      </w:pPr>
    </w:p>
    <w:p w14:paraId="0CDDEE9D" w14:textId="77777777" w:rsidR="00C6739E" w:rsidRDefault="00C6739E" w:rsidP="00C6739E">
      <w:pPr>
        <w:spacing w:line="480" w:lineRule="auto"/>
        <w:jc w:val="both"/>
        <w:rPr>
          <w:rFonts w:ascii="Times New Roman" w:hAnsi="Times New Roman" w:cs="Times New Roman"/>
        </w:rPr>
      </w:pPr>
    </w:p>
    <w:p w14:paraId="5EE3ABDA" w14:textId="77777777" w:rsidR="00C6739E" w:rsidRDefault="00C6739E" w:rsidP="00C6739E">
      <w:pPr>
        <w:spacing w:line="480" w:lineRule="auto"/>
        <w:jc w:val="both"/>
        <w:rPr>
          <w:rFonts w:ascii="Times New Roman" w:hAnsi="Times New Roman" w:cs="Times New Roman"/>
        </w:rPr>
      </w:pPr>
    </w:p>
    <w:p w14:paraId="6A77BADB" w14:textId="77777777" w:rsidR="00C6739E" w:rsidRDefault="00C6739E" w:rsidP="00C6739E">
      <w:pPr>
        <w:spacing w:line="480" w:lineRule="auto"/>
        <w:jc w:val="both"/>
        <w:rPr>
          <w:rFonts w:ascii="Times New Roman" w:hAnsi="Times New Roman" w:cs="Times New Roman"/>
        </w:rPr>
      </w:pPr>
    </w:p>
    <w:p w14:paraId="0A41E05A" w14:textId="1B38BB31" w:rsidR="00C6739E" w:rsidRPr="00F66FEC" w:rsidRDefault="00C6739E" w:rsidP="00C6739E">
      <w:pPr>
        <w:spacing w:line="480" w:lineRule="auto"/>
        <w:jc w:val="both"/>
        <w:rPr>
          <w:rFonts w:ascii="Times New Roman" w:hAnsi="Times New Roman" w:cs="Times New Roman"/>
          <w:b/>
          <w:bCs/>
          <w:color w:val="E97132" w:themeColor="accent2"/>
        </w:rPr>
      </w:pPr>
      <w:r w:rsidRPr="00F66FEC">
        <w:rPr>
          <w:rFonts w:ascii="Times New Roman" w:hAnsi="Times New Roman" w:cs="Times New Roman"/>
          <w:b/>
          <w:bCs/>
          <w:color w:val="E97132" w:themeColor="accent2"/>
        </w:rPr>
        <w:lastRenderedPageBreak/>
        <w:t xml:space="preserve">References </w:t>
      </w:r>
    </w:p>
    <w:p w14:paraId="5F64F21E" w14:textId="5EE17209" w:rsidR="00F66FEC" w:rsidRDefault="005B3061" w:rsidP="005B3061">
      <w:pPr>
        <w:spacing w:line="480" w:lineRule="auto"/>
        <w:jc w:val="both"/>
        <w:rPr>
          <w:rFonts w:ascii="Times New Roman" w:hAnsi="Times New Roman" w:cs="Times New Roman"/>
        </w:rPr>
      </w:pPr>
      <w:r w:rsidRPr="005B3061">
        <w:rPr>
          <w:rFonts w:ascii="Times New Roman" w:hAnsi="Times New Roman" w:cs="Times New Roman"/>
        </w:rPr>
        <w:t xml:space="preserve">Agrahari, R. K., Kobayashi, Y., Tanaka, T. S. T., Panda, S. K., &amp; Koyama, H. (2021). Smart fertilizer management: The progress of imaging technologies and possible implementation of plant biomarkers in agriculture. </w:t>
      </w:r>
      <w:r w:rsidRPr="00F66FEC">
        <w:rPr>
          <w:rFonts w:ascii="Times New Roman" w:hAnsi="Times New Roman" w:cs="Times New Roman"/>
          <w:i/>
          <w:iCs/>
        </w:rPr>
        <w:t>Soil Science and Plant Nutrition, 67</w:t>
      </w:r>
      <w:r w:rsidRPr="005B3061">
        <w:rPr>
          <w:rFonts w:ascii="Times New Roman" w:hAnsi="Times New Roman" w:cs="Times New Roman"/>
        </w:rPr>
        <w:t xml:space="preserve">(3), 248–258. </w:t>
      </w:r>
      <w:hyperlink r:id="rId7" w:history="1">
        <w:r w:rsidR="00F66FEC" w:rsidRPr="00F648E9">
          <w:rPr>
            <w:rStyle w:val="Hyperlink"/>
            <w:rFonts w:ascii="Times New Roman" w:hAnsi="Times New Roman" w:cs="Times New Roman"/>
          </w:rPr>
          <w:t>https://doi.org/10.1080/00380768.2021.1897479</w:t>
        </w:r>
      </w:hyperlink>
    </w:p>
    <w:p w14:paraId="543746C0" w14:textId="196F56E3" w:rsidR="005B3061" w:rsidRPr="005B3061" w:rsidRDefault="005B3061" w:rsidP="005B3061">
      <w:pPr>
        <w:spacing w:line="480" w:lineRule="auto"/>
        <w:jc w:val="both"/>
        <w:rPr>
          <w:rFonts w:ascii="Times New Roman" w:hAnsi="Times New Roman" w:cs="Times New Roman"/>
        </w:rPr>
      </w:pPr>
      <w:r w:rsidRPr="005B3061">
        <w:rPr>
          <w:rFonts w:ascii="Times New Roman" w:hAnsi="Times New Roman" w:cs="Times New Roman"/>
        </w:rPr>
        <w:t xml:space="preserve">Anbarasan, P. (2018). Stakeholder engagement in sustainable enterprise: Evolving a conceptual framework, and a case study of ITC. </w:t>
      </w:r>
      <w:r w:rsidRPr="00F66FEC">
        <w:rPr>
          <w:rFonts w:ascii="Times New Roman" w:hAnsi="Times New Roman" w:cs="Times New Roman"/>
          <w:i/>
          <w:iCs/>
        </w:rPr>
        <w:t>Business Strategy &amp; the Environment, 27</w:t>
      </w:r>
      <w:r w:rsidRPr="005B3061">
        <w:rPr>
          <w:rFonts w:ascii="Times New Roman" w:hAnsi="Times New Roman" w:cs="Times New Roman"/>
        </w:rPr>
        <w:t>(3), 282–300.</w:t>
      </w:r>
    </w:p>
    <w:p w14:paraId="0EA73392" w14:textId="77777777" w:rsidR="005B3061" w:rsidRPr="005B3061" w:rsidRDefault="005B3061" w:rsidP="005B3061">
      <w:pPr>
        <w:spacing w:line="480" w:lineRule="auto"/>
        <w:jc w:val="both"/>
        <w:rPr>
          <w:rFonts w:ascii="Times New Roman" w:hAnsi="Times New Roman" w:cs="Times New Roman"/>
        </w:rPr>
      </w:pPr>
      <w:proofErr w:type="spellStart"/>
      <w:r w:rsidRPr="005B3061">
        <w:rPr>
          <w:rFonts w:ascii="Times New Roman" w:hAnsi="Times New Roman" w:cs="Times New Roman"/>
        </w:rPr>
        <w:t>Chofreh</w:t>
      </w:r>
      <w:proofErr w:type="spellEnd"/>
      <w:r w:rsidRPr="005B3061">
        <w:rPr>
          <w:rFonts w:ascii="Times New Roman" w:hAnsi="Times New Roman" w:cs="Times New Roman"/>
        </w:rPr>
        <w:t xml:space="preserve">, A. G. (2018). Sustainable enterprise resource planning systems implementation: A framework development. </w:t>
      </w:r>
      <w:r w:rsidRPr="00F66FEC">
        <w:rPr>
          <w:rFonts w:ascii="Times New Roman" w:hAnsi="Times New Roman" w:cs="Times New Roman"/>
          <w:i/>
          <w:iCs/>
        </w:rPr>
        <w:t>Journal of Cleaner Production, 198</w:t>
      </w:r>
      <w:r w:rsidRPr="005B3061">
        <w:rPr>
          <w:rFonts w:ascii="Times New Roman" w:hAnsi="Times New Roman" w:cs="Times New Roman"/>
        </w:rPr>
        <w:t>, 1345–1355.</w:t>
      </w:r>
    </w:p>
    <w:p w14:paraId="1A3CCA1B" w14:textId="77777777" w:rsidR="005B3061" w:rsidRPr="005B3061" w:rsidRDefault="005B3061" w:rsidP="005B3061">
      <w:pPr>
        <w:spacing w:line="480" w:lineRule="auto"/>
        <w:jc w:val="both"/>
        <w:rPr>
          <w:rFonts w:ascii="Times New Roman" w:hAnsi="Times New Roman" w:cs="Times New Roman"/>
        </w:rPr>
      </w:pPr>
      <w:r w:rsidRPr="005B3061">
        <w:rPr>
          <w:rFonts w:ascii="Times New Roman" w:hAnsi="Times New Roman" w:cs="Times New Roman"/>
        </w:rPr>
        <w:t xml:space="preserve">Edgeman, R., &amp; Eskildsen, J. (2014). Modelling and assessing sustainable enterprise excellence. </w:t>
      </w:r>
      <w:r w:rsidRPr="00F66FEC">
        <w:rPr>
          <w:rFonts w:ascii="Times New Roman" w:hAnsi="Times New Roman" w:cs="Times New Roman"/>
        </w:rPr>
        <w:t>Business Strategy and the Environment, 23</w:t>
      </w:r>
      <w:r w:rsidRPr="005B3061">
        <w:rPr>
          <w:rFonts w:ascii="Times New Roman" w:hAnsi="Times New Roman" w:cs="Times New Roman"/>
        </w:rPr>
        <w:t>(3), 173–187.</w:t>
      </w:r>
    </w:p>
    <w:p w14:paraId="210CD509" w14:textId="77777777" w:rsidR="005B3061" w:rsidRPr="005B3061" w:rsidRDefault="005B3061" w:rsidP="005B3061">
      <w:pPr>
        <w:spacing w:line="480" w:lineRule="auto"/>
        <w:jc w:val="both"/>
        <w:rPr>
          <w:rFonts w:ascii="Times New Roman" w:hAnsi="Times New Roman" w:cs="Times New Roman"/>
        </w:rPr>
      </w:pPr>
      <w:proofErr w:type="spellStart"/>
      <w:r w:rsidRPr="005B3061">
        <w:rPr>
          <w:rFonts w:ascii="Times New Roman" w:hAnsi="Times New Roman" w:cs="Times New Roman"/>
        </w:rPr>
        <w:t>Febrizal</w:t>
      </w:r>
      <w:proofErr w:type="spellEnd"/>
      <w:r w:rsidRPr="005B3061">
        <w:rPr>
          <w:rFonts w:ascii="Times New Roman" w:hAnsi="Times New Roman" w:cs="Times New Roman"/>
        </w:rPr>
        <w:t xml:space="preserve"> </w:t>
      </w:r>
      <w:proofErr w:type="spellStart"/>
      <w:r w:rsidRPr="005B3061">
        <w:rPr>
          <w:rFonts w:ascii="Times New Roman" w:hAnsi="Times New Roman" w:cs="Times New Roman"/>
        </w:rPr>
        <w:t>Rahmana</w:t>
      </w:r>
      <w:proofErr w:type="spellEnd"/>
      <w:r w:rsidRPr="005B3061">
        <w:rPr>
          <w:rFonts w:ascii="Times New Roman" w:hAnsi="Times New Roman" w:cs="Times New Roman"/>
        </w:rPr>
        <w:t xml:space="preserve">, &amp; </w:t>
      </w:r>
      <w:proofErr w:type="spellStart"/>
      <w:r w:rsidRPr="005B3061">
        <w:rPr>
          <w:rFonts w:ascii="Times New Roman" w:hAnsi="Times New Roman" w:cs="Times New Roman"/>
        </w:rPr>
        <w:t>Bawono</w:t>
      </w:r>
      <w:proofErr w:type="spellEnd"/>
      <w:r w:rsidRPr="005B3061">
        <w:rPr>
          <w:rFonts w:ascii="Times New Roman" w:hAnsi="Times New Roman" w:cs="Times New Roman"/>
        </w:rPr>
        <w:t xml:space="preserve">, A. (2020). Sustainable development toward sustainable enterprise. </w:t>
      </w:r>
      <w:r w:rsidRPr="00F66FEC">
        <w:rPr>
          <w:rFonts w:ascii="Times New Roman" w:hAnsi="Times New Roman" w:cs="Times New Roman"/>
          <w:i/>
          <w:iCs/>
        </w:rPr>
        <w:t>Management Science Letters, 11</w:t>
      </w:r>
      <w:r w:rsidRPr="005B3061">
        <w:rPr>
          <w:rFonts w:ascii="Times New Roman" w:hAnsi="Times New Roman" w:cs="Times New Roman"/>
        </w:rPr>
        <w:t>(2), 657–668.</w:t>
      </w:r>
    </w:p>
    <w:p w14:paraId="5C320C20" w14:textId="77777777" w:rsidR="005B3061" w:rsidRPr="005B3061" w:rsidRDefault="005B3061" w:rsidP="005B3061">
      <w:pPr>
        <w:spacing w:line="480" w:lineRule="auto"/>
        <w:jc w:val="both"/>
        <w:rPr>
          <w:rFonts w:ascii="Times New Roman" w:hAnsi="Times New Roman" w:cs="Times New Roman"/>
        </w:rPr>
      </w:pPr>
      <w:r w:rsidRPr="005B3061">
        <w:rPr>
          <w:rFonts w:ascii="Times New Roman" w:hAnsi="Times New Roman" w:cs="Times New Roman"/>
        </w:rPr>
        <w:t xml:space="preserve">Green, E. (2020). </w:t>
      </w:r>
      <w:r w:rsidRPr="00F66FEC">
        <w:rPr>
          <w:rFonts w:ascii="Times New Roman" w:hAnsi="Times New Roman" w:cs="Times New Roman"/>
          <w:i/>
          <w:iCs/>
        </w:rPr>
        <w:t>Emerging trends in sustainable agriculture: Opportunities for growth.</w:t>
      </w:r>
      <w:r w:rsidRPr="005B3061">
        <w:rPr>
          <w:rFonts w:ascii="Times New Roman" w:hAnsi="Times New Roman" w:cs="Times New Roman"/>
        </w:rPr>
        <w:t xml:space="preserve"> EcoAgro Insights.</w:t>
      </w:r>
    </w:p>
    <w:p w14:paraId="4AED1706" w14:textId="04294873" w:rsidR="00F66FEC" w:rsidRDefault="005B3061" w:rsidP="005B3061">
      <w:pPr>
        <w:spacing w:line="480" w:lineRule="auto"/>
        <w:jc w:val="both"/>
        <w:rPr>
          <w:rFonts w:ascii="Times New Roman" w:hAnsi="Times New Roman" w:cs="Times New Roman"/>
        </w:rPr>
      </w:pPr>
      <w:r w:rsidRPr="005B3061">
        <w:rPr>
          <w:rFonts w:ascii="Times New Roman" w:hAnsi="Times New Roman" w:cs="Times New Roman"/>
        </w:rPr>
        <w:t xml:space="preserve">NCOF. (2020–21). </w:t>
      </w:r>
      <w:r w:rsidRPr="00F66FEC">
        <w:rPr>
          <w:rFonts w:ascii="Times New Roman" w:hAnsi="Times New Roman" w:cs="Times New Roman"/>
          <w:i/>
          <w:iCs/>
        </w:rPr>
        <w:t>National Centre for Organic and Natural Farming, Department of Agriculture &amp; Farmers Welfare. Status of organic farming.</w:t>
      </w:r>
      <w:r w:rsidRPr="005B3061">
        <w:rPr>
          <w:rFonts w:ascii="Times New Roman" w:hAnsi="Times New Roman" w:cs="Times New Roman"/>
        </w:rPr>
        <w:t xml:space="preserve"> Retrieved from </w:t>
      </w:r>
      <w:hyperlink r:id="rId8" w:history="1">
        <w:r w:rsidR="00F66FEC" w:rsidRPr="00F648E9">
          <w:rPr>
            <w:rStyle w:val="Hyperlink"/>
            <w:rFonts w:ascii="Times New Roman" w:hAnsi="Times New Roman" w:cs="Times New Roman"/>
          </w:rPr>
          <w:t>https://ncof.dacnet.nic.in/StatusOrganicFarming</w:t>
        </w:r>
      </w:hyperlink>
    </w:p>
    <w:p w14:paraId="4FD022F1" w14:textId="33233AB2" w:rsidR="00835628" w:rsidRDefault="005B3061" w:rsidP="005B3061">
      <w:pPr>
        <w:spacing w:line="480" w:lineRule="auto"/>
        <w:jc w:val="both"/>
        <w:rPr>
          <w:rFonts w:ascii="Times New Roman" w:hAnsi="Times New Roman" w:cs="Times New Roman"/>
        </w:rPr>
      </w:pPr>
      <w:r w:rsidRPr="005B3061">
        <w:rPr>
          <w:rFonts w:ascii="Times New Roman" w:hAnsi="Times New Roman" w:cs="Times New Roman"/>
        </w:rPr>
        <w:t xml:space="preserve">NPOP. (2021). </w:t>
      </w:r>
      <w:r w:rsidRPr="00835628">
        <w:rPr>
          <w:rFonts w:ascii="Times New Roman" w:hAnsi="Times New Roman" w:cs="Times New Roman"/>
          <w:i/>
          <w:iCs/>
        </w:rPr>
        <w:t>National Centre for Organic and Natural Farming, Department of Agriculture &amp; Farmers Welfare.</w:t>
      </w:r>
      <w:r w:rsidRPr="005B3061">
        <w:rPr>
          <w:rFonts w:ascii="Times New Roman" w:hAnsi="Times New Roman" w:cs="Times New Roman"/>
        </w:rPr>
        <w:t xml:space="preserve"> Retrieved from </w:t>
      </w:r>
      <w:hyperlink r:id="rId9" w:history="1">
        <w:r w:rsidR="00835628" w:rsidRPr="00F648E9">
          <w:rPr>
            <w:rStyle w:val="Hyperlink"/>
            <w:rFonts w:ascii="Times New Roman" w:hAnsi="Times New Roman" w:cs="Times New Roman"/>
          </w:rPr>
          <w:t>https://ncof.dacnet.nic.in/StatusOrganicFarming</w:t>
        </w:r>
      </w:hyperlink>
    </w:p>
    <w:p w14:paraId="4BA3937E" w14:textId="77777777" w:rsidR="00835628" w:rsidRDefault="005B3061" w:rsidP="005B3061">
      <w:pPr>
        <w:spacing w:line="480" w:lineRule="auto"/>
        <w:jc w:val="both"/>
        <w:rPr>
          <w:rFonts w:ascii="Times New Roman" w:hAnsi="Times New Roman" w:cs="Times New Roman"/>
        </w:rPr>
      </w:pPr>
      <w:r w:rsidRPr="005B3061">
        <w:rPr>
          <w:rFonts w:ascii="Times New Roman" w:hAnsi="Times New Roman" w:cs="Times New Roman"/>
        </w:rPr>
        <w:t xml:space="preserve">Parihar, P., &amp; Choudhary, R. (2022). </w:t>
      </w:r>
      <w:r w:rsidRPr="00835628">
        <w:rPr>
          <w:rFonts w:ascii="Times New Roman" w:hAnsi="Times New Roman" w:cs="Times New Roman"/>
          <w:i/>
          <w:iCs/>
        </w:rPr>
        <w:t>Evaluation of the effect of organic waste on nutrient quality of compost</w:t>
      </w:r>
      <w:r w:rsidRPr="005B3061">
        <w:rPr>
          <w:rFonts w:ascii="Times New Roman" w:hAnsi="Times New Roman" w:cs="Times New Roman"/>
        </w:rPr>
        <w:t xml:space="preserve">. </w:t>
      </w:r>
    </w:p>
    <w:p w14:paraId="412AF363" w14:textId="323086DB" w:rsidR="00835628" w:rsidRDefault="005B3061" w:rsidP="005B3061">
      <w:pPr>
        <w:spacing w:line="480" w:lineRule="auto"/>
        <w:jc w:val="both"/>
        <w:rPr>
          <w:rFonts w:ascii="Times New Roman" w:hAnsi="Times New Roman" w:cs="Times New Roman"/>
        </w:rPr>
      </w:pPr>
      <w:r w:rsidRPr="005B3061">
        <w:rPr>
          <w:rFonts w:ascii="Times New Roman" w:hAnsi="Times New Roman" w:cs="Times New Roman"/>
        </w:rPr>
        <w:lastRenderedPageBreak/>
        <w:t xml:space="preserve">Rossi, L., Regni, L., Rinaldi, S., </w:t>
      </w:r>
      <w:proofErr w:type="spellStart"/>
      <w:r w:rsidRPr="005B3061">
        <w:rPr>
          <w:rFonts w:ascii="Times New Roman" w:hAnsi="Times New Roman" w:cs="Times New Roman"/>
        </w:rPr>
        <w:t>Sdringola</w:t>
      </w:r>
      <w:proofErr w:type="spellEnd"/>
      <w:r w:rsidRPr="005B3061">
        <w:rPr>
          <w:rFonts w:ascii="Times New Roman" w:hAnsi="Times New Roman" w:cs="Times New Roman"/>
        </w:rPr>
        <w:t xml:space="preserve">, P., Calisti, R., Brunori, A., Dini, F., &amp; Proietti, P. (2020). Long-term water footprint assessment in a rainfed olive tree grove in the Umbria region, Italy. Agriculture, 10(1), 8. </w:t>
      </w:r>
      <w:hyperlink r:id="rId10" w:history="1">
        <w:r w:rsidR="00835628" w:rsidRPr="00F648E9">
          <w:rPr>
            <w:rStyle w:val="Hyperlink"/>
            <w:rFonts w:ascii="Times New Roman" w:hAnsi="Times New Roman" w:cs="Times New Roman"/>
          </w:rPr>
          <w:t>https://doi.org/10.3390/agriculture10010008</w:t>
        </w:r>
      </w:hyperlink>
    </w:p>
    <w:p w14:paraId="6FDBB213" w14:textId="019EB8FA" w:rsidR="005B3061" w:rsidRPr="005B3061" w:rsidRDefault="005B3061" w:rsidP="005B3061">
      <w:pPr>
        <w:spacing w:line="480" w:lineRule="auto"/>
        <w:jc w:val="both"/>
        <w:rPr>
          <w:rFonts w:ascii="Times New Roman" w:hAnsi="Times New Roman" w:cs="Times New Roman"/>
        </w:rPr>
      </w:pPr>
      <w:r w:rsidRPr="005B3061">
        <w:rPr>
          <w:rFonts w:ascii="Times New Roman" w:hAnsi="Times New Roman" w:cs="Times New Roman"/>
        </w:rPr>
        <w:t xml:space="preserve">Thompson, F. M. M. (2010). </w:t>
      </w:r>
      <w:r w:rsidRPr="00835628">
        <w:rPr>
          <w:rFonts w:ascii="Times New Roman" w:hAnsi="Times New Roman" w:cs="Times New Roman"/>
          <w:i/>
          <w:iCs/>
        </w:rPr>
        <w:t>Social enterprise: Developing sustainable enterprises</w:t>
      </w:r>
      <w:r w:rsidRPr="005B3061">
        <w:rPr>
          <w:rFonts w:ascii="Times New Roman" w:hAnsi="Times New Roman" w:cs="Times New Roman"/>
        </w:rPr>
        <w:t>. New York: Palgrave Macmillan.</w:t>
      </w:r>
    </w:p>
    <w:p w14:paraId="1DBDB6E3" w14:textId="77777777" w:rsidR="005B3061" w:rsidRPr="005B3061" w:rsidRDefault="005B3061" w:rsidP="005B3061">
      <w:pPr>
        <w:spacing w:line="480" w:lineRule="auto"/>
        <w:jc w:val="both"/>
        <w:rPr>
          <w:rFonts w:ascii="Times New Roman" w:hAnsi="Times New Roman" w:cs="Times New Roman"/>
        </w:rPr>
      </w:pPr>
      <w:r w:rsidRPr="005B3061">
        <w:rPr>
          <w:rFonts w:ascii="Times New Roman" w:hAnsi="Times New Roman" w:cs="Times New Roman"/>
        </w:rPr>
        <w:t xml:space="preserve">USDA. (2021). </w:t>
      </w:r>
      <w:r w:rsidRPr="007F39A2">
        <w:rPr>
          <w:rFonts w:ascii="Times New Roman" w:hAnsi="Times New Roman" w:cs="Times New Roman"/>
          <w:i/>
          <w:iCs/>
        </w:rPr>
        <w:t>Organic farming practices and standards</w:t>
      </w:r>
      <w:r w:rsidRPr="005B3061">
        <w:rPr>
          <w:rFonts w:ascii="Times New Roman" w:hAnsi="Times New Roman" w:cs="Times New Roman"/>
        </w:rPr>
        <w:t>. United States Department of Agriculture.</w:t>
      </w:r>
    </w:p>
    <w:p w14:paraId="1E3DA95F" w14:textId="7DDEDA0B" w:rsidR="005B3061" w:rsidRDefault="005B3061" w:rsidP="005B3061">
      <w:pPr>
        <w:spacing w:line="480" w:lineRule="auto"/>
        <w:jc w:val="both"/>
        <w:rPr>
          <w:rFonts w:ascii="Times New Roman" w:hAnsi="Times New Roman" w:cs="Times New Roman"/>
        </w:rPr>
      </w:pPr>
      <w:proofErr w:type="spellStart"/>
      <w:r w:rsidRPr="005B3061">
        <w:rPr>
          <w:rFonts w:ascii="Times New Roman" w:hAnsi="Times New Roman" w:cs="Times New Roman"/>
        </w:rPr>
        <w:t>Uludag</w:t>
      </w:r>
      <w:proofErr w:type="spellEnd"/>
      <w:r w:rsidRPr="005B3061">
        <w:rPr>
          <w:rFonts w:ascii="Times New Roman" w:hAnsi="Times New Roman" w:cs="Times New Roman"/>
        </w:rPr>
        <w:t xml:space="preserve">, A., </w:t>
      </w:r>
      <w:proofErr w:type="spellStart"/>
      <w:r w:rsidRPr="005B3061">
        <w:rPr>
          <w:rFonts w:ascii="Times New Roman" w:hAnsi="Times New Roman" w:cs="Times New Roman"/>
        </w:rPr>
        <w:t>Uremis</w:t>
      </w:r>
      <w:proofErr w:type="spellEnd"/>
      <w:r w:rsidRPr="005B3061">
        <w:rPr>
          <w:rFonts w:ascii="Times New Roman" w:hAnsi="Times New Roman" w:cs="Times New Roman"/>
        </w:rPr>
        <w:t>, I., &amp; Arslan, M. (2018</w:t>
      </w:r>
      <w:r w:rsidRPr="007F39A2">
        <w:rPr>
          <w:rFonts w:ascii="Times New Roman" w:hAnsi="Times New Roman" w:cs="Times New Roman"/>
          <w:i/>
          <w:iCs/>
        </w:rPr>
        <w:t xml:space="preserve">). Biological weed control. In </w:t>
      </w:r>
      <w:r w:rsidR="00F66FEC" w:rsidRPr="007F39A2">
        <w:rPr>
          <w:rFonts w:ascii="Times New Roman" w:hAnsi="Times New Roman" w:cs="Times New Roman"/>
          <w:i/>
          <w:iCs/>
        </w:rPr>
        <w:t>non-chemical</w:t>
      </w:r>
      <w:r w:rsidRPr="007F39A2">
        <w:rPr>
          <w:rFonts w:ascii="Times New Roman" w:hAnsi="Times New Roman" w:cs="Times New Roman"/>
          <w:i/>
          <w:iCs/>
        </w:rPr>
        <w:t xml:space="preserve"> weed contro</w:t>
      </w:r>
      <w:r w:rsidRPr="005B3061">
        <w:rPr>
          <w:rFonts w:ascii="Times New Roman" w:hAnsi="Times New Roman" w:cs="Times New Roman"/>
        </w:rPr>
        <w:t>l (pp. 115–132). Academic Press.</w:t>
      </w:r>
    </w:p>
    <w:p w14:paraId="77444A37" w14:textId="0E25B7AA" w:rsidR="007F39A2" w:rsidRDefault="007F39A2" w:rsidP="005B3061">
      <w:pPr>
        <w:spacing w:line="480" w:lineRule="auto"/>
        <w:jc w:val="both"/>
        <w:rPr>
          <w:rFonts w:ascii="Times New Roman" w:hAnsi="Times New Roman" w:cs="Times New Roman"/>
        </w:rPr>
      </w:pPr>
      <w:hyperlink r:id="rId11" w:history="1">
        <w:r w:rsidRPr="00F648E9">
          <w:rPr>
            <w:rStyle w:val="Hyperlink"/>
            <w:rFonts w:ascii="Times New Roman" w:hAnsi="Times New Roman" w:cs="Times New Roman"/>
          </w:rPr>
          <w:t>https://downloads.usda.library.cornell.edu/usda-esmis/files/zg64tk92g/2z10z137s/bn99bh97r/cenorg22.pdf</w:t>
        </w:r>
      </w:hyperlink>
    </w:p>
    <w:p w14:paraId="2FA695CB" w14:textId="77777777" w:rsidR="007F39A2" w:rsidRPr="005B3061" w:rsidRDefault="007F39A2" w:rsidP="005B3061">
      <w:pPr>
        <w:spacing w:line="480" w:lineRule="auto"/>
        <w:jc w:val="both"/>
        <w:rPr>
          <w:rFonts w:ascii="Times New Roman" w:hAnsi="Times New Roman" w:cs="Times New Roman"/>
        </w:rPr>
      </w:pPr>
    </w:p>
    <w:p w14:paraId="666CE881" w14:textId="3AB0A5F6" w:rsidR="00AB150C" w:rsidRPr="00C6739E" w:rsidRDefault="00AB150C" w:rsidP="005B3061">
      <w:pPr>
        <w:spacing w:line="480" w:lineRule="auto"/>
        <w:jc w:val="both"/>
        <w:rPr>
          <w:rFonts w:ascii="Times New Roman" w:hAnsi="Times New Roman" w:cs="Times New Roman"/>
        </w:rPr>
      </w:pPr>
    </w:p>
    <w:sectPr w:rsidR="00AB150C" w:rsidRPr="00C6739E" w:rsidSect="007F39A2">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4ACDC6" w14:textId="77777777" w:rsidR="002F1653" w:rsidRDefault="002F1653" w:rsidP="007F39A2">
      <w:pPr>
        <w:spacing w:after="0" w:line="240" w:lineRule="auto"/>
      </w:pPr>
      <w:r>
        <w:separator/>
      </w:r>
    </w:p>
  </w:endnote>
  <w:endnote w:type="continuationSeparator" w:id="0">
    <w:p w14:paraId="70D2B62E" w14:textId="77777777" w:rsidR="002F1653" w:rsidRDefault="002F1653" w:rsidP="007F39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12FD5E" w14:textId="77777777" w:rsidR="002F1653" w:rsidRDefault="002F1653" w:rsidP="007F39A2">
      <w:pPr>
        <w:spacing w:after="0" w:line="240" w:lineRule="auto"/>
      </w:pPr>
      <w:r>
        <w:separator/>
      </w:r>
    </w:p>
  </w:footnote>
  <w:footnote w:type="continuationSeparator" w:id="0">
    <w:p w14:paraId="2DCC3CC8" w14:textId="77777777" w:rsidR="002F1653" w:rsidRDefault="002F1653" w:rsidP="007F39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729840739"/>
      <w:docPartObj>
        <w:docPartGallery w:val="Page Numbers (Top of Page)"/>
        <w:docPartUnique/>
      </w:docPartObj>
    </w:sdtPr>
    <w:sdtEndPr>
      <w:rPr>
        <w:b/>
        <w:bCs/>
        <w:noProof/>
        <w:color w:val="auto"/>
        <w:spacing w:val="0"/>
      </w:rPr>
    </w:sdtEndPr>
    <w:sdtContent>
      <w:p w14:paraId="4FBC09E8" w14:textId="32F71877" w:rsidR="007F39A2" w:rsidRDefault="007F39A2">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B39D3D6" w14:textId="77777777" w:rsidR="007F39A2" w:rsidRDefault="007F39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739E"/>
    <w:rsid w:val="002F1653"/>
    <w:rsid w:val="005B3061"/>
    <w:rsid w:val="007F39A2"/>
    <w:rsid w:val="00835628"/>
    <w:rsid w:val="008357AF"/>
    <w:rsid w:val="00AB150C"/>
    <w:rsid w:val="00C6739E"/>
    <w:rsid w:val="00F66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24E82"/>
  <w15:chartTrackingRefBased/>
  <w15:docId w15:val="{27B8B326-0640-435A-BE7B-6EE690017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73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73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73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73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73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73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73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73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73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73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73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73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73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73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73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73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73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739E"/>
    <w:rPr>
      <w:rFonts w:eastAsiaTheme="majorEastAsia" w:cstheme="majorBidi"/>
      <w:color w:val="272727" w:themeColor="text1" w:themeTint="D8"/>
    </w:rPr>
  </w:style>
  <w:style w:type="paragraph" w:styleId="Title">
    <w:name w:val="Title"/>
    <w:basedOn w:val="Normal"/>
    <w:next w:val="Normal"/>
    <w:link w:val="TitleChar"/>
    <w:uiPriority w:val="10"/>
    <w:qFormat/>
    <w:rsid w:val="00C673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73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73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73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739E"/>
    <w:pPr>
      <w:spacing w:before="160"/>
      <w:jc w:val="center"/>
    </w:pPr>
    <w:rPr>
      <w:i/>
      <w:iCs/>
      <w:color w:val="404040" w:themeColor="text1" w:themeTint="BF"/>
    </w:rPr>
  </w:style>
  <w:style w:type="character" w:customStyle="1" w:styleId="QuoteChar">
    <w:name w:val="Quote Char"/>
    <w:basedOn w:val="DefaultParagraphFont"/>
    <w:link w:val="Quote"/>
    <w:uiPriority w:val="29"/>
    <w:rsid w:val="00C6739E"/>
    <w:rPr>
      <w:i/>
      <w:iCs/>
      <w:color w:val="404040" w:themeColor="text1" w:themeTint="BF"/>
    </w:rPr>
  </w:style>
  <w:style w:type="paragraph" w:styleId="ListParagraph">
    <w:name w:val="List Paragraph"/>
    <w:basedOn w:val="Normal"/>
    <w:uiPriority w:val="34"/>
    <w:qFormat/>
    <w:rsid w:val="00C6739E"/>
    <w:pPr>
      <w:ind w:left="720"/>
      <w:contextualSpacing/>
    </w:pPr>
  </w:style>
  <w:style w:type="character" w:styleId="IntenseEmphasis">
    <w:name w:val="Intense Emphasis"/>
    <w:basedOn w:val="DefaultParagraphFont"/>
    <w:uiPriority w:val="21"/>
    <w:qFormat/>
    <w:rsid w:val="00C6739E"/>
    <w:rPr>
      <w:i/>
      <w:iCs/>
      <w:color w:val="0F4761" w:themeColor="accent1" w:themeShade="BF"/>
    </w:rPr>
  </w:style>
  <w:style w:type="paragraph" w:styleId="IntenseQuote">
    <w:name w:val="Intense Quote"/>
    <w:basedOn w:val="Normal"/>
    <w:next w:val="Normal"/>
    <w:link w:val="IntenseQuoteChar"/>
    <w:uiPriority w:val="30"/>
    <w:qFormat/>
    <w:rsid w:val="00C673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739E"/>
    <w:rPr>
      <w:i/>
      <w:iCs/>
      <w:color w:val="0F4761" w:themeColor="accent1" w:themeShade="BF"/>
    </w:rPr>
  </w:style>
  <w:style w:type="character" w:styleId="IntenseReference">
    <w:name w:val="Intense Reference"/>
    <w:basedOn w:val="DefaultParagraphFont"/>
    <w:uiPriority w:val="32"/>
    <w:qFormat/>
    <w:rsid w:val="00C6739E"/>
    <w:rPr>
      <w:b/>
      <w:bCs/>
      <w:smallCaps/>
      <w:color w:val="0F4761" w:themeColor="accent1" w:themeShade="BF"/>
      <w:spacing w:val="5"/>
    </w:rPr>
  </w:style>
  <w:style w:type="character" w:styleId="Hyperlink">
    <w:name w:val="Hyperlink"/>
    <w:basedOn w:val="DefaultParagraphFont"/>
    <w:uiPriority w:val="99"/>
    <w:unhideWhenUsed/>
    <w:rsid w:val="00F66FEC"/>
    <w:rPr>
      <w:color w:val="467886" w:themeColor="hyperlink"/>
      <w:u w:val="single"/>
    </w:rPr>
  </w:style>
  <w:style w:type="character" w:styleId="UnresolvedMention">
    <w:name w:val="Unresolved Mention"/>
    <w:basedOn w:val="DefaultParagraphFont"/>
    <w:uiPriority w:val="99"/>
    <w:semiHidden/>
    <w:unhideWhenUsed/>
    <w:rsid w:val="00F66FEC"/>
    <w:rPr>
      <w:color w:val="605E5C"/>
      <w:shd w:val="clear" w:color="auto" w:fill="E1DFDD"/>
    </w:rPr>
  </w:style>
  <w:style w:type="paragraph" w:styleId="Header">
    <w:name w:val="header"/>
    <w:basedOn w:val="Normal"/>
    <w:link w:val="HeaderChar"/>
    <w:uiPriority w:val="99"/>
    <w:unhideWhenUsed/>
    <w:rsid w:val="007F39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9A2"/>
  </w:style>
  <w:style w:type="paragraph" w:styleId="Footer">
    <w:name w:val="footer"/>
    <w:basedOn w:val="Normal"/>
    <w:link w:val="FooterChar"/>
    <w:uiPriority w:val="99"/>
    <w:unhideWhenUsed/>
    <w:rsid w:val="007F39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9A2"/>
  </w:style>
  <w:style w:type="paragraph" w:styleId="NoSpacing">
    <w:name w:val="No Spacing"/>
    <w:link w:val="NoSpacingChar"/>
    <w:uiPriority w:val="1"/>
    <w:qFormat/>
    <w:rsid w:val="007F39A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F39A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1978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cof.dacnet.nic.in/StatusOrganicFarm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00380768.2021.1897479"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wnloads.usda.library.cornell.edu/usda-esmis/files/zg64tk92g/2z10z137s/bn99bh97r/cenorg22.pdf" TargetMode="External"/><Relationship Id="rId5" Type="http://schemas.openxmlformats.org/officeDocument/2006/relationships/footnotes" Target="footnotes.xml"/><Relationship Id="rId10" Type="http://schemas.openxmlformats.org/officeDocument/2006/relationships/hyperlink" Target="https://doi.org/10.3390/agriculture10010008" TargetMode="External"/><Relationship Id="rId4" Type="http://schemas.openxmlformats.org/officeDocument/2006/relationships/webSettings" Target="webSettings.xml"/><Relationship Id="rId9" Type="http://schemas.openxmlformats.org/officeDocument/2006/relationships/hyperlink" Target="https://ncof.dacnet.nic.in/StatusOrganicFarmin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13</Pages>
  <Words>3143</Words>
  <Characters>17916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
  <dc:creator>Mirabela Voican (1907947)</dc:creator>
  <cp:keywords/>
  <dc:description/>
  <cp:lastModifiedBy>Mirabela Voican (1907947)</cp:lastModifiedBy>
  <cp:revision>1</cp:revision>
  <dcterms:created xsi:type="dcterms:W3CDTF">2025-03-07T16:12:00Z</dcterms:created>
  <dcterms:modified xsi:type="dcterms:W3CDTF">2025-03-07T17:54:00Z</dcterms:modified>
</cp:coreProperties>
</file>