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spacing w:after="200"/>
        <w:jc w:val="center"/>
      </w:pPr>
      <w:r>
        <w:t xml:space="preserve">DBA and PhD Thesis Reference Pack</w:t>
      </w:r>
    </w:p>
    <w:p>
      <w:pPr>
        <w:spacing w:after="400"/>
        <w:jc w:val="center"/>
      </w:pPr>
      <w:r>
        <w:t xml:space="preserve">Research aims, questions, objectives, problems, theories, paradigms, data analysis, findings, contributions, and reflection questions for ten doctoral theses</w:t>
      </w:r>
    </w:p>
    <w:p>
      <w:pPr>
        <w:spacing w:after="800"/>
        <w:jc w:val="center"/>
      </w:pPr>
      <w:r>
        <w:t xml:space="preserve">Compiled for Dr Caroline Jawad</w:t>
      </w:r>
    </w:p>
    <w:p>
      <w:r>
        <w:br w:type="page"/>
      </w:r>
    </w:p>
    <w:p>
      <w:pPr>
        <w:pStyle w:val="Heading1"/>
        <w:spacing w:after="200"/>
      </w:pPr>
      <w:r>
        <w:t xml:space="preserve">Contents</w:t>
      </w:r>
    </w:p>
    <w:sdt>
      <w:sdtPr>
        <w:alias w:val="Contents"/>
      </w:sdtPr>
      <w:sdtContent>
        <w:p>
          <w:r>
            <w:fldChar w:fldCharType="begin" w:dirty="true"/>
            <w:instrText xml:space="preserve">TOC \h \o "1-2"</w:instrText>
            <w:fldChar w:fldCharType="separate"/>
          </w:r>
        </w:p>
        <w:p>
          <w:r>
            <w:fldChar w:fldCharType="end"/>
          </w:r>
        </w:p>
      </w:sdtContent>
    </w:sdt>
    <w:p>
      <w:r>
        <w:br w:type="page"/>
      </w:r>
    </w:p>
    <w:p>
      <w:pPr>
        <w:pStyle w:val="Heading1"/>
        <w:spacing w:after="200" w:before="200"/>
      </w:pPr>
      <w:r>
        <w:t xml:space="preserve">1. Liu, Y. Dissemination Mechanisms and Governance of Health Information on Social Media</w:t>
      </w:r>
    </w:p>
    <w:p>
      <w:pPr>
        <w:pStyle w:val="Heading2"/>
        <w:spacing w:after="120" w:before="200"/>
      </w:pPr>
      <w:r>
        <w:t xml:space="preserve">Research Aim</w:t>
      </w:r>
    </w:p>
    <w:p>
      <w:pPr>
        <w:spacing w:after="160"/>
        <w:jc w:val="both"/>
      </w:pPr>
      <w:r>
        <w:t xml:space="preserve">This study aims to comprehensively investigate the dissemination and adoption mechanisms of health related information on Chinese social media, providing theoretical and practical guidance for addressing health related misinformation challenges. By promoting the effective dissemination and adoption of accurate health information, the study aims to reduce the harmful effects of health misinformation on individuals and society, enhance public health awareness, and maintain social safety and stability.</w:t>
      </w:r>
    </w:p>
    <w:p>
      <w:pPr>
        <w:pStyle w:val="Heading2"/>
        <w:spacing w:after="120" w:before="200"/>
      </w:pPr>
      <w:r>
        <w:t xml:space="preserve">Research Questions</w:t>
      </w:r>
    </w:p>
    <w:p>
      <w:pPr>
        <w:spacing w:after="160"/>
        <w:jc w:val="both"/>
      </w:pPr>
      <w:r>
        <w:t xml:space="preserve">1. Qualitative research question: What are the key factors influencing the adoption of health related information on social media?</w:t>
      </w:r>
    </w:p>
    <w:p>
      <w:pPr>
        <w:spacing w:after="160"/>
        <w:jc w:val="both"/>
      </w:pPr>
      <w:r>
        <w:t xml:space="preserve">2. Quantitative research question: How do the identified influencing factors specifically affect the adoption pathways of health related information on social media?</w:t>
      </w:r>
    </w:p>
    <w:p>
      <w:pPr>
        <w:spacing w:after="160"/>
        <w:jc w:val="both"/>
      </w:pPr>
      <w:r>
        <w:t xml:space="preserve">3. Comprehensive research question: How can the effective dissemination of accurate health information be enhanced while reducing the spread of misinformation on social media?</w:t>
      </w:r>
    </w:p>
    <w:p>
      <w:pPr>
        <w:pStyle w:val="Heading2"/>
        <w:spacing w:after="120" w:before="200"/>
      </w:pPr>
      <w:r>
        <w:t xml:space="preserve">Research Objectives</w:t>
      </w:r>
    </w:p>
    <w:p>
      <w:pPr>
        <w:spacing w:after="160"/>
        <w:jc w:val="both"/>
      </w:pPr>
      <w:r>
        <w:t xml:space="preserve">1. To explore factors influencing the adoption of health related information on social media.</w:t>
      </w:r>
    </w:p>
    <w:p>
      <w:pPr>
        <w:spacing w:after="160"/>
        <w:jc w:val="both"/>
      </w:pPr>
      <w:r>
        <w:t xml:space="preserve">2. To construct a theoretical framework of factors influencing the adoption of health related information on social media.</w:t>
      </w:r>
    </w:p>
    <w:p>
      <w:pPr>
        <w:spacing w:after="160"/>
        <w:jc w:val="both"/>
      </w:pPr>
      <w:r>
        <w:t xml:space="preserve">3. To examine the perception pathways of social media users in the process of adopting health related information.</w:t>
      </w:r>
    </w:p>
    <w:p>
      <w:pPr>
        <w:spacing w:after="160"/>
        <w:jc w:val="both"/>
      </w:pPr>
      <w:r>
        <w:t xml:space="preserve">4. To propose governance and strategy recommendations for the management of health related misinformation on social media.</w:t>
      </w:r>
    </w:p>
    <w:p>
      <w:pPr>
        <w:pStyle w:val="Heading2"/>
        <w:spacing w:after="120" w:before="200"/>
      </w:pPr>
      <w:r>
        <w:t xml:space="preserve">Research Problem</w:t>
      </w:r>
    </w:p>
    <w:p>
      <w:pPr>
        <w:spacing w:after="160"/>
        <w:jc w:val="both"/>
      </w:pPr>
      <w:r>
        <w:t xml:space="preserve">The rapid growth of social media has transformed how health information is accessed and spread, but it has also created fertile ground for the rapid spread of false health information (Shu et al., 2017), a threat made especially visible during the COVID19 pandemic, which severely disrupted pandemic control efforts (Loomba et al., 2021). Vosoughi et al. (2018) show that false information spreads faster and further than accurate information, particularly in the health domain, where Sharma et al. (2017) note it can lead to erroneous health beliefs and dangerous self treatment behaviour. Wang et al. (2019) argue that the rapid spread of false health information can also trigger social panic, lead to incorrect medical practices, and undermine public trust in public health interventions, while Chou et al. (2018) report a continued decline in public trust in science and medicine linked to widespread misinformation on issues such as vaccine safety. Tangcharoensathien et al. (2020) describe how, during major global health events, the complex interaction of these factors exacerbates what has been termed the infodemic phenomenon. Wang et al. (2019) further argue that current research is insufficient to fully reveal these influencing factors and their interaction mechanisms, which makes it difficult to formulate and implement effective governance strategies, a gap this study addresses by seeking a deeper understanding of the adoption mechanism of health related information on social media.</w:t>
      </w:r>
    </w:p>
    <w:p>
      <w:pPr>
        <w:pStyle w:val="Heading2"/>
        <w:spacing w:after="120" w:before="200"/>
      </w:pPr>
      <w:r>
        <w:t xml:space="preserve">Theories and Concepts</w:t>
      </w:r>
    </w:p>
    <w:p>
      <w:pPr>
        <w:spacing w:after="160"/>
        <w:jc w:val="both"/>
      </w:pPr>
      <w:r>
        <w:t xml:space="preserve">The study builds its theoretical framework by integrating the Information Adoption Model (IAM) with the Technology Acceptance Model (TAM, Davis, 1989), both of which trace back to the Elaboration Likelihood Model (ELM) developed by Petty and Cacioppo (1986). The resulting framework comprises seven latent constructs: information quality, information source, information channel, perceived usefulness, health information adoption, level of knowledge, and cognitive involvement, with the latter two treated as moderating variables. The theoretical justification for cognitive involvement as a moderator draws on Zaichkowsky's (1985) conceptualisation of involvement as personal relevance, supported empirically by Celsi and Olson (1988), who found involvement moderates the relationship between cognitive elaboration and memory, and by Bhattacherjee and Sanford (2006), who demonstrated a similar moderating role for job relevance in technology acceptance research, as well as Park and Lee (2008), who found involvement moderated consumers' responses to online health information specifically.</w:t>
      </w:r>
    </w:p>
    <w:p>
      <w:pPr>
        <w:pStyle w:val="Heading2"/>
        <w:spacing w:after="120" w:before="200"/>
      </w:pPr>
      <w:r>
        <w:t xml:space="preserve">Paradigm</w:t>
      </w:r>
    </w:p>
    <w:p>
      <w:pPr>
        <w:spacing w:after="160"/>
        <w:jc w:val="both"/>
      </w:pPr>
      <w:r>
        <w:t xml:space="preserve">The study integrates a social constructivist ontology, drawing on Crotty (1998), with a pragmatic epistemology, drawing on Morgan (2014b) and Biesta (2010), producing an overall pragmatic mixed methods paradigm consistent with Tashakkori and Teddlie's (2010) argument that pragmatism provides a philosophical foundation for combining different research approaches. The qualitative phase, comprising interviews and social media comment analysis, is grounded in social constructivism, since it explores how users construct meaning around health information, drawing on Denzin and Lincoln's (2011) account of the main research paradigms. The quantitative phase adopts a more objectivist, pragmatic stance to test the resulting model, on the basis that pragmatism ties the value of knowledge to its practical usefulness rather than to a single philosophical position, following Johnson and Onwuegbuzie (2004) and Creswell and Plano Clark (2011).</w:t>
      </w:r>
    </w:p>
    <w:p>
      <w:pPr>
        <w:pStyle w:val="Heading2"/>
        <w:spacing w:after="120" w:before="200"/>
      </w:pPr>
      <w:r>
        <w:t xml:space="preserve">Data Analysis</w:t>
      </w:r>
    </w:p>
    <w:p>
      <w:pPr>
        <w:spacing w:after="160"/>
        <w:jc w:val="both"/>
      </w:pPr>
      <w:r>
        <w:t xml:space="preserve">The pre-survey and pilot scale purification used Cronbach's alpha, the Kaiser Meyer Olkin measure of sampling adequacy, and Bartlett's test of sphericity, interpreted against Kaiser's (1974) benchmarks, alongside Exploratory Factor Analysis with Varimax rotation following Hair et al. (2018) and Costello and Osborne (2005). The main survey used descriptive statistics and normality screening via skewness and kurtosis against Kline's (2011) thresholds, followed by Confirmatory Factor Analysis in AMOS 26, assessed through chi square over degrees of freedom, RMSEA, NFI, IFI, TLI, and CFI, with the NFI's sensitivity to sample size noted following Anderson and Gerbing (1984). Convergent validity (factor loadings, AVE, CR) and discriminant validity (the Fornell and Larcker, 1981, criterion) were assessed against Hair et al.'s (2018) benchmarks. Structural Equation Modelling, using Maximum Likelihood Estimation as recommended by Byrne (2016), tested the overall model against Hu and Bentler's (1999) fit thresholds, path analysis examined direct effects, and a bootstrap based mediation analysis, following Hayes (2018a), used 5000 resamples and 95 per cent bias corrected confidence intervals to test indirect effects. Moderation was tested using the SPSS PROCESS macro, Model 1 (Hayes, 2018b), with simple slopes analysis of conditional effects at low, mean, and high levels of the moderators, and conditional effect plots following Preacher and Hayes (2008).</w:t>
      </w:r>
    </w:p>
    <w:p>
      <w:pPr>
        <w:pStyle w:val="Heading2"/>
        <w:spacing w:after="120" w:before="200"/>
      </w:pPr>
      <w:r>
        <w:t xml:space="preserve">Main Findings</w:t>
      </w:r>
    </w:p>
    <w:p>
      <w:pPr>
        <w:spacing w:after="160"/>
        <w:jc w:val="both"/>
      </w:pPr>
      <w:r>
        <w:t xml:space="preserve">The qualitative phase identified three external factors shaping perceived usefulness (information quality, information source, information channel) and two internal, moderating factors (level of knowledge, cognitive involvement). The quantitative phase, based on 500 valid responses, found that information quality, information source, and information channel all significantly and positively affected perceived usefulness, which in turn strongly predicted health information adoption. Information quality showed partial mediation through perceived usefulness, while information source and information channel showed full mediation. Level of knowledge significantly moderated the effects of information quality and information channel but not information source, an unexpected finding that challenges traditional assumptions about the uniformity of expertise effects. Cognitive involvement significantly moderated the relationship between perceived usefulness and adoption. An unexpected finding was that information channel had a stronger direct effect on perceived usefulness than information quality, suggesting platform specific features matter more than previously theorised in social media contexts.</w:t>
      </w:r>
    </w:p>
    <w:p>
      <w:pPr>
        <w:pStyle w:val="Heading2"/>
        <w:spacing w:after="120" w:before="200"/>
      </w:pPr>
      <w:r>
        <w:t xml:space="preserve">Contributions</w:t>
      </w:r>
    </w:p>
    <w:p>
      <w:pPr>
        <w:spacing w:after="160"/>
        <w:jc w:val="both"/>
      </w:pPr>
      <w:r>
        <w:t xml:space="preserve">The study extends the Information Adoption Model and the Technology Acceptance Model to the Chinese social media environment, filling a gap in cross cultural application. It identifies platform specific influence mechanisms, such as content display algorithms and community interaction features, not fully captured by traditional information adoption theories. It reveals a differentiated pattern of knowledge level moderation that challenges assumptions of uniform expertise effects. It explores the multidimensional nature of perceived usefulness in health information contexts, going beyond the relatively simplified definition found in Davis's (1989) technology acceptance research. Finally, it proposes a multi level, multi stakeholder governance framework for managing health misinformation, with both theoretical depth and practical applicability for platforms, policymakers, and other stakeholders.</w:t>
      </w:r>
    </w:p>
    <w:p>
      <w:pPr>
        <w:pStyle w:val="Heading2"/>
        <w:spacing w:after="120" w:before="200"/>
      </w:pPr>
      <w:r>
        <w:t xml:space="preserve">Reflection Questions for Students</w:t>
      </w:r>
    </w:p>
    <w:p>
      <w:pPr>
        <w:pStyle w:val="Heading3"/>
        <w:spacing w:after="80" w:before="100"/>
      </w:pPr>
      <w:r>
        <w:t xml:space="preserve">Simple questions</w:t>
      </w:r>
    </w:p>
    <w:p>
      <w:pPr>
        <w:pStyle w:val="ListParagraph"/>
        <w:numPr>
          <w:ilvl w:val="0"/>
          <w:numId w:val="1"/>
        </w:numPr>
        <w:spacing w:after="80"/>
      </w:pPr>
      <w:r>
        <w:t xml:space="preserve">Can you name the three information characteristics and two user characteristics in this study's model, and say which are moderators and which are direct predictors?</w:t>
      </w:r>
    </w:p>
    <w:p>
      <w:pPr>
        <w:pStyle w:val="ListParagraph"/>
        <w:numPr>
          <w:ilvl w:val="0"/>
          <w:numId w:val="1"/>
        </w:numPr>
        <w:spacing w:after="80"/>
      </w:pPr>
      <w:r>
        <w:t xml:space="preserve">Why did the researcher use interviews before designing the questionnaire, rather than starting with the survey?</w:t>
      </w:r>
    </w:p>
    <w:p>
      <w:pPr>
        <w:pStyle w:val="ListParagraph"/>
        <w:numPr>
          <w:ilvl w:val="0"/>
          <w:numId w:val="1"/>
        </w:numPr>
        <w:spacing w:after="80"/>
      </w:pPr>
      <w:r>
        <w:t xml:space="preserve">What is the difference between full mediation and partial mediation, and which of the three information factors showed each?</w:t>
      </w:r>
    </w:p>
    <w:p>
      <w:pPr>
        <w:pStyle w:val="Heading3"/>
        <w:spacing w:after="80" w:before="160"/>
      </w:pPr>
      <w:r>
        <w:t xml:space="preserve">Thought provoking questions</w:t>
      </w:r>
    </w:p>
    <w:p>
      <w:pPr>
        <w:pStyle w:val="ListParagraph"/>
        <w:numPr>
          <w:ilvl w:val="0"/>
          <w:numId w:val="1"/>
        </w:numPr>
        <w:spacing w:after="80"/>
      </w:pPr>
      <w:r>
        <w:t xml:space="preserve">The study found that knowledge level did not moderate the effect of information source on perceived usefulness, which contradicts traditional theory. If you were the researcher, would you treat this as a flaw in the model, a genuine finding about social media behaviour, or both? What further evidence would settle the question?</w:t>
      </w:r>
    </w:p>
    <w:p>
      <w:pPr>
        <w:pStyle w:val="ListParagraph"/>
        <w:numPr>
          <w:ilvl w:val="0"/>
          <w:numId w:val="1"/>
        </w:numPr>
        <w:spacing w:after="80"/>
      </w:pPr>
      <w:r>
        <w:t xml:space="preserve">The sample was younger and more educated than the general Chinese population. How far can the SEM results, however statistically significant, be said to explain health information adoption for the population as a whole, and what would you want to see before generalising them?</w:t>
      </w:r>
    </w:p>
    <w:p>
      <w:pPr>
        <w:pStyle w:val="ListParagraph"/>
        <w:numPr>
          <w:ilvl w:val="0"/>
          <w:numId w:val="1"/>
        </w:numPr>
        <w:spacing w:after="80"/>
      </w:pPr>
      <w:r>
        <w:t xml:space="preserve">This thesis treats perceived usefulness as the single bridge between information characteristics and adoption behaviour. Can you think of a health information scenario where this bridge might not hold, where a factor could influence adoption without first passing through perceived usefulness?</w:t>
      </w:r>
    </w:p>
    <w:p>
      <w:r>
        <w:br w:type="page"/>
      </w:r>
    </w:p>
    <w:p>
      <w:pPr>
        <w:pStyle w:val="Heading1"/>
        <w:spacing w:after="200" w:before="200"/>
      </w:pPr>
      <w:r>
        <w:t xml:space="preserve">2. Yang, Zhenying. Sustainability of Folk Opera Troupes (FOTs)</w:t>
      </w:r>
    </w:p>
    <w:p>
      <w:pPr>
        <w:pStyle w:val="Heading2"/>
        <w:spacing w:after="120" w:before="200"/>
      </w:pPr>
      <w:r>
        <w:t xml:space="preserve">Research Aim</w:t>
      </w:r>
    </w:p>
    <w:p>
      <w:pPr>
        <w:spacing w:after="160"/>
        <w:jc w:val="both"/>
      </w:pPr>
      <w:r>
        <w:t xml:space="preserve">This research aimed to investigate organisational sensemaking in the sustainable management of Folk Opera Troupes under the background of urban rural reconstruction over the past ten years, seeking to understand how state owned and private FOTs adapt to various contradictions in their external environment to achieve sustainable development.</w:t>
      </w:r>
    </w:p>
    <w:p>
      <w:pPr>
        <w:pStyle w:val="Heading2"/>
        <w:spacing w:after="120" w:before="200"/>
      </w:pPr>
      <w:r>
        <w:t xml:space="preserve">Research Questions</w:t>
      </w:r>
    </w:p>
    <w:p>
      <w:pPr>
        <w:spacing w:after="160"/>
        <w:jc w:val="both"/>
      </w:pPr>
      <w:r>
        <w:t xml:space="preserve">1. What are the changes in the FOT impacted by urban rural reconstruction in the past decade?</w:t>
      </w:r>
    </w:p>
    <w:p>
      <w:pPr>
        <w:spacing w:after="160"/>
        <w:jc w:val="both"/>
      </w:pPr>
      <w:r>
        <w:t xml:space="preserve">2. How do pluralistic stakeholder alliances of FOTs adapt to these changes?</w:t>
      </w:r>
    </w:p>
    <w:p>
      <w:pPr>
        <w:spacing w:after="160"/>
        <w:jc w:val="both"/>
      </w:pPr>
      <w:r>
        <w:t xml:space="preserve">3. What are the key factors that impact the sustainable management of FOTs?</w:t>
      </w:r>
    </w:p>
    <w:p>
      <w:pPr>
        <w:pStyle w:val="Heading2"/>
        <w:spacing w:after="120" w:before="200"/>
      </w:pPr>
      <w:r>
        <w:t xml:space="preserve">Research Objectives</w:t>
      </w:r>
    </w:p>
    <w:p>
      <w:pPr>
        <w:spacing w:after="160"/>
        <w:jc w:val="both"/>
      </w:pPr>
      <w:r>
        <w:t xml:space="preserve">1. To understand the changes in the external environment that FOTs experienced as a result of urban rural reconstruction in the past decade.</w:t>
      </w:r>
    </w:p>
    <w:p>
      <w:pPr>
        <w:spacing w:after="160"/>
        <w:jc w:val="both"/>
      </w:pPr>
      <w:r>
        <w:t xml:space="preserve">2. To understand the adaptive processes of FOTs in response to these changes.</w:t>
      </w:r>
    </w:p>
    <w:p>
      <w:pPr>
        <w:spacing w:after="160"/>
        <w:jc w:val="both"/>
      </w:pPr>
      <w:r>
        <w:t xml:space="preserve">3. To understand the impact of the key factors discovered from the adaptive process on the sustainability of FOTs.</w:t>
      </w:r>
    </w:p>
    <w:p>
      <w:pPr>
        <w:pStyle w:val="Heading2"/>
        <w:spacing w:after="120" w:before="200"/>
      </w:pPr>
      <w:r>
        <w:t xml:space="preserve">Research Problem</w:t>
      </w:r>
    </w:p>
    <w:p>
      <w:pPr>
        <w:spacing w:after="160"/>
        <w:jc w:val="both"/>
      </w:pPr>
      <w:r>
        <w:t xml:space="preserve">Schippers (2015) and Wondirad, Tolkach, and King (2020) describe FOT sustainability as an issue situated within the heritage discourse system, in which the multiple meaning of sustainable action is evaluated through collaboration in a cultural ecosystem among pluralistic stakeholders, while Skilton and Purdy (2017) frame this as involving conflict between changes in cultural ecology, shared meanings, and the actions needed to maintain vibrancy. Since the market began to play a decisive role in resource allocation in China, the number of FOTs in Fuzhou has contracted sharply, from around 150 private troupes in 2010 (Lin, 2013) to only about 69 still operating by 2022, according to the Fuzhou Municipal Bureau of Culture and Tourism. Stabl and Tröndle (2019) and Titon (2015) note that research on FOTs has only preliminarily attempted to combine theoretical frameworks from ethnomusicology and business administration, leaving a gap this research addresses by covering both the sensemaking of change in FOTs and the quantitative composition of the constructs involved.</w:t>
      </w:r>
    </w:p>
    <w:p>
      <w:pPr>
        <w:pStyle w:val="Heading2"/>
        <w:spacing w:after="120" w:before="200"/>
      </w:pPr>
      <w:r>
        <w:t xml:space="preserve">Theories and Concepts</w:t>
      </w:r>
    </w:p>
    <w:p>
      <w:pPr>
        <w:spacing w:after="160"/>
        <w:jc w:val="both"/>
      </w:pPr>
      <w:r>
        <w:t xml:space="preserve">The core theoretical lens is organisational sensemaking, particularly Weick's (1995) work and its later extension in Weick, Sutcliffe, and Obstfeld (2005), together with Maitlis and Sonenshein's (2010) contribution on the themes of shared meaning and emotion during organisational change. The study also draws on stakeholder theory, cultural ecology theory from applied ethnomusicology (Titon, 2009a, 2009b), and theories of adaptive management, combining these to build a model in which perceived organisational support and policy support influence emotion at work, which in turn mediates the relationship with sustainability. The temporal dimension of the analysis draws on Kaplan and Orlikowski (2013) and the concept of event time from Kunisch et al. (2017), and the study's theoretical development integrates the Triangular Coordination Model and Balancing of Power theory from Fu and Huang (2016).</w:t>
      </w:r>
    </w:p>
    <w:p>
      <w:pPr>
        <w:pStyle w:val="Heading2"/>
        <w:spacing w:after="120" w:before="200"/>
      </w:pPr>
      <w:r>
        <w:t xml:space="preserve">Paradigm</w:t>
      </w:r>
    </w:p>
    <w:p>
      <w:pPr>
        <w:spacing w:after="160"/>
        <w:jc w:val="both"/>
      </w:pPr>
      <w:r>
        <w:t xml:space="preserve">Paradigm choice follows Guba and Lincoln's (1994) four paradigm typology and Saunders, Lewis, and Thornhill's (2016) five paradigm categorisation, comprising positivism, critical realism, interpretivism, postmodernism, and pragmatism. The overall study adopts a pragmatist paradigm, following Simpson (2018) and drawing on Dewey's (1933) stance on solving practical problems, chosen because the research crosses qualitative and quantitative boundaries in pursuit of a practical understanding of FOT sustainability. The qualitative case study phase draws on an interpretivist stance, following Cassell and Cunliffe (2018), to construct meaning inductively from stakeholders' accounts, while the subsequent quantitative questionnaire phase is described as using a positivism methodology to test the model that emerged from the case studies.</w:t>
      </w:r>
    </w:p>
    <w:p>
      <w:pPr>
        <w:pStyle w:val="Heading2"/>
        <w:spacing w:after="120" w:before="200"/>
      </w:pPr>
      <w:r>
        <w:t xml:space="preserve">Data Analysis</w:t>
      </w:r>
    </w:p>
    <w:p>
      <w:pPr>
        <w:spacing w:after="160"/>
        <w:jc w:val="both"/>
      </w:pPr>
      <w:r>
        <w:t xml:space="preserve">The quantitative phase, based on 153 valid questionnaires, used descriptive statistics and cross tabulations, skewness and kurtosis screening for normality, and Cronbach's alpha for each construct following Cronbach and Meehl (1955) and Hair et al. (2010). Confirmatory Factor Analysis was run per construct in AMOS 26, reporting chi square, degrees of freedom, GFI, AGFI, RMSEA, and CFI, alongside item level standardised factor loadings, squared multiple correlations, and parameter significance (unstandardised estimate, standard error, z value, p value), following the benchmarks set out in Hair et al. (2010). Composite Reliability and Average Variance Extracted established convergent validity, following Raykov (2004) and Fornell and Larcker (1981), and the Fornell Larcker criterion established discriminant validity, drawing also on Campbell and Fiske (1959). The full model was then tested using Structural Equation Modelling in AMOS 26, and mediation was assessed using the Baron and Kenny (1986) causal steps approach.</w:t>
      </w:r>
    </w:p>
    <w:p>
      <w:pPr>
        <w:pStyle w:val="Heading2"/>
        <w:spacing w:after="120" w:before="200"/>
      </w:pPr>
      <w:r>
        <w:t xml:space="preserve">Main Findings</w:t>
      </w:r>
    </w:p>
    <w:p>
      <w:pPr>
        <w:spacing w:after="160"/>
        <w:jc w:val="both"/>
      </w:pPr>
      <w:r>
        <w:t xml:space="preserve">Objective one found that urban rural reconstruction from 2013 to 2023 produced market contraction, talent attrition, and the waning of folk beliefs, with policymakers favouring a laissez faire stance for private troupes while nurturing state owned ones. Objective two found that private and state owned troupes adopted distinct adaptive strategies, with the private troupe relying on flexibility and market expansion, and the state owned troupe depending heavily on leadership's ability to secure funding and communicate with government. Objective three, tested quantitatively, found that stakeholders' emotion at work fully mediated the relationships between organisational support and sustainability, and between policy support and sustainability, and that policy support had a more significant influence on emotion at work and sustainability than organisational support.</w:t>
      </w:r>
    </w:p>
    <w:p>
      <w:pPr>
        <w:pStyle w:val="Heading2"/>
        <w:spacing w:after="120" w:before="200"/>
      </w:pPr>
      <w:r>
        <w:t xml:space="preserve">Contributions</w:t>
      </w:r>
    </w:p>
    <w:p>
      <w:pPr>
        <w:spacing w:after="160"/>
        <w:jc w:val="both"/>
      </w:pPr>
      <w:r>
        <w:t xml:space="preserve">Theoretically, the study integrates the ecosystem of music from applied ethnomusicology into the framework of sensemaking, drawing on Titon (2009a) and Schippers (2015), extending adaptive management theory into the FO industry, and validating the Triangular Coordination Model and Balancing of Power theories developed by Fu and Huang (2016) in this new context. It also develops an innovative interpretive mechanism by applying a temporal model, drawing on Kaplan and Orlikowski (2013) and Kunisch et al. (2017), and the concept of enactment theory from Weick, Sutcliffe, and Obstfeld (2005), to the sensemaking of sustainable management, extending Weber and Glynn's (2006) work on sensemaking within institutional contexts. Practically, the study fills a literature gap on FOT management during a critical decade of marketisation, offering insights for practitioners on adaptive strategy and for policymakers on aligning cultural policy with practitioners' needs and commitments.</w:t>
      </w:r>
    </w:p>
    <w:p>
      <w:pPr>
        <w:pStyle w:val="Heading2"/>
        <w:spacing w:after="120" w:before="200"/>
      </w:pPr>
      <w:r>
        <w:t xml:space="preserve">Reflection Questions for Students</w:t>
      </w:r>
    </w:p>
    <w:p>
      <w:pPr>
        <w:pStyle w:val="Heading3"/>
        <w:spacing w:after="80" w:before="100"/>
      </w:pPr>
      <w:r>
        <w:t xml:space="preserve">Simple questions</w:t>
      </w:r>
    </w:p>
    <w:p>
      <w:pPr>
        <w:pStyle w:val="ListParagraph"/>
        <w:numPr>
          <w:ilvl w:val="0"/>
          <w:numId w:val="1"/>
        </w:numPr>
        <w:spacing w:after="80"/>
      </w:pPr>
      <w:r>
        <w:t xml:space="preserve">What are the two case study organisations in this thesis, and which type of FOT (state owned or private) does each represent?</w:t>
      </w:r>
    </w:p>
    <w:p>
      <w:pPr>
        <w:pStyle w:val="ListParagraph"/>
        <w:numPr>
          <w:ilvl w:val="0"/>
          <w:numId w:val="1"/>
        </w:numPr>
        <w:spacing w:after="80"/>
      </w:pPr>
      <w:r>
        <w:t xml:space="preserve">Which research questions were answered through the case studies, and which was answered through the questionnaire?</w:t>
      </w:r>
    </w:p>
    <w:p>
      <w:pPr>
        <w:pStyle w:val="ListParagraph"/>
        <w:numPr>
          <w:ilvl w:val="0"/>
          <w:numId w:val="1"/>
        </w:numPr>
        <w:spacing w:after="80"/>
      </w:pPr>
      <w:r>
        <w:t xml:space="preserve">What role does emotion at work play in the quantitative model, mediator, moderator, or independent variable?</w:t>
      </w:r>
    </w:p>
    <w:p>
      <w:pPr>
        <w:pStyle w:val="Heading3"/>
        <w:spacing w:after="80" w:before="160"/>
      </w:pPr>
      <w:r>
        <w:t xml:space="preserve">Thought provoking questions</w:t>
      </w:r>
    </w:p>
    <w:p>
      <w:pPr>
        <w:pStyle w:val="ListParagraph"/>
        <w:numPr>
          <w:ilvl w:val="0"/>
          <w:numId w:val="1"/>
        </w:numPr>
        <w:spacing w:after="80"/>
      </w:pPr>
      <w:r>
        <w:t xml:space="preserve">Sensemaking theory assumes meaning is constructed retrospectively, after ambiguous events occur. How comfortable are you applying a quantitative, variance based method (SEM) to test a theory that is fundamentally about interpretation rather than causation? Is there a tension there, or are the two phases answering genuinely different questions?</w:t>
      </w:r>
    </w:p>
    <w:p>
      <w:pPr>
        <w:pStyle w:val="ListParagraph"/>
        <w:numPr>
          <w:ilvl w:val="0"/>
          <w:numId w:val="1"/>
        </w:numPr>
        <w:spacing w:after="80"/>
      </w:pPr>
      <w:r>
        <w:t xml:space="preserve">The thesis argues that policy support matters more than organisational support for sustainability. If you were advising a policymaker, what would you want to know about the direction of causality here, could strong policy support itself be a product of troupes that are already better positioned to survive?</w:t>
      </w:r>
    </w:p>
    <w:p>
      <w:pPr>
        <w:pStyle w:val="ListParagraph"/>
        <w:numPr>
          <w:ilvl w:val="0"/>
          <w:numId w:val="1"/>
        </w:numPr>
        <w:spacing w:after="80"/>
      </w:pPr>
      <w:r>
        <w:t xml:space="preserve">Only two case studies were used to build the sensemaking model before it was tested quantitatively. What are the risks of building a model from two cases and then treating the resulting quantitative results as confirming something general about FOTs in China?</w:t>
      </w:r>
    </w:p>
    <w:p>
      <w:r>
        <w:br w:type="page"/>
      </w:r>
    </w:p>
    <w:p>
      <w:pPr>
        <w:pStyle w:val="Heading1"/>
        <w:spacing w:after="200" w:before="200"/>
      </w:pPr>
      <w:r>
        <w:t xml:space="preserve">3. Yao, X. Strategic Management Accounting in Chinese Organisations, a Contingency Approach</w:t>
      </w:r>
    </w:p>
    <w:p>
      <w:pPr>
        <w:pStyle w:val="Heading2"/>
        <w:spacing w:after="120" w:before="200"/>
      </w:pPr>
      <w:r>
        <w:t xml:space="preserve">Research Aim</w:t>
      </w:r>
    </w:p>
    <w:p>
      <w:pPr>
        <w:spacing w:after="160"/>
        <w:jc w:val="both"/>
      </w:pPr>
      <w:r>
        <w:t xml:space="preserve">Guided by a fit logic and a contingency perspective, this study aims to explore the nature of Strategic Management Accounting (SMA) usage, the contingency factors influencing it, and the implications for organisational performance in the Chinese context.</w:t>
      </w:r>
    </w:p>
    <w:p>
      <w:pPr>
        <w:pStyle w:val="Heading2"/>
        <w:spacing w:after="120" w:before="200"/>
      </w:pPr>
      <w:r>
        <w:t xml:space="preserve">Research Questions</w:t>
      </w:r>
    </w:p>
    <w:p>
      <w:pPr>
        <w:spacing w:after="160"/>
        <w:jc w:val="both"/>
      </w:pPr>
      <w:r>
        <w:t xml:space="preserve">1. To what extent are different types of strategic management accounting techniques adopted by Chinese listed companies?</w:t>
      </w:r>
    </w:p>
    <w:p>
      <w:pPr>
        <w:spacing w:after="160"/>
        <w:jc w:val="both"/>
      </w:pPr>
      <w:r>
        <w:t xml:space="preserve">2. What is the relationship between contingency factors and the adoption of SMA techniques?</w:t>
      </w:r>
    </w:p>
    <w:p>
      <w:pPr>
        <w:spacing w:after="160"/>
        <w:jc w:val="both"/>
      </w:pPr>
      <w:r>
        <w:t xml:space="preserve">3. What is the relationship between the adoption of SMA techniques and organisational performance in Chinese listed companies?</w:t>
      </w:r>
    </w:p>
    <w:p>
      <w:pPr>
        <w:pStyle w:val="Heading2"/>
        <w:spacing w:after="120" w:before="200"/>
      </w:pPr>
      <w:r>
        <w:t xml:space="preserve">Research Objectives</w:t>
      </w:r>
    </w:p>
    <w:p>
      <w:pPr>
        <w:spacing w:after="160"/>
        <w:jc w:val="both"/>
      </w:pPr>
      <w:r>
        <w:t xml:space="preserve">1. Examine the extent of SMA adoption in Chinese organisations.</w:t>
      </w:r>
    </w:p>
    <w:p>
      <w:pPr>
        <w:spacing w:after="160"/>
        <w:jc w:val="both"/>
      </w:pPr>
      <w:r>
        <w:t xml:space="preserve">2. Examine the contingency factors of SMA practices in Chinese organisations.</w:t>
      </w:r>
    </w:p>
    <w:p>
      <w:pPr>
        <w:spacing w:after="160"/>
        <w:jc w:val="both"/>
      </w:pPr>
      <w:r>
        <w:t xml:space="preserve">3. Investigate the performance implications of SMA practice in Chinese firms.</w:t>
      </w:r>
    </w:p>
    <w:p>
      <w:pPr>
        <w:pStyle w:val="Heading2"/>
        <w:spacing w:after="120" w:before="200"/>
      </w:pPr>
      <w:r>
        <w:t xml:space="preserve">Research Problem</w:t>
      </w:r>
    </w:p>
    <w:p>
      <w:pPr>
        <w:spacing w:after="160"/>
        <w:jc w:val="both"/>
      </w:pPr>
      <w:r>
        <w:t xml:space="preserve">A distinctive feature of the Chinese market is the high proportion of state owned enterprises, which by the end of 2021 numbered 1,317 state controlled listed companies accounting for 28.26 per cent of all domestically and Hong Kong listed companies (Xinhua, 2022), alongside younger organisations still exploring their own approaches to business operations. Xian and Meng-Lewis (2018) suggest that Western originated knowledge may not be directly applicable in this setting, a view that finds some support in Easterby-Smith et al. (2021), who note that market behaviour theory developed during the US dominated era must now be rewritten as emerging economies rise. Although research on Chinese management accounting practice is growing, Cooke (2009), Xian and Meng-Lewis (2018), and Cheng, Hail, and Yu (2022) all note that it remains largely simple and descriptive, leaving a gap in understanding how Chinese top managers view SMA techniques, their implementation environment, and their influence on performance.</w:t>
      </w:r>
    </w:p>
    <w:p>
      <w:pPr>
        <w:pStyle w:val="Heading2"/>
        <w:spacing w:after="120" w:before="200"/>
      </w:pPr>
      <w:r>
        <w:t xml:space="preserve">Theories and Concepts</w:t>
      </w:r>
    </w:p>
    <w:p>
      <w:pPr>
        <w:spacing w:after="160"/>
        <w:jc w:val="both"/>
      </w:pPr>
      <w:r>
        <w:t xml:space="preserve">The core theoretical framework is Contingency Theory, applied through the Contingency Based Management Accounting (CBMA) model, following the tradition of Cadez and Guilding (2008, 2012) and Chenhall (2003), which holds that the fit between organisational systems and their context is central to improved outcomes. The contingency factors examined are environmental uncertainty, drawing on Jaworski and Kohli's (1993) dimensional treatment of competitive intensity and market turbulence, business strategy following Miles and Snow's (1978) prospector versus defender typology, technology, organisational structure, and organisational size. The study also draws on structural contingency thinking from organisational behaviour research, referencing Burns and Stalker (1961), Donaldson (2001), and Boyd et al. (2012).</w:t>
      </w:r>
    </w:p>
    <w:p>
      <w:pPr>
        <w:pStyle w:val="Heading2"/>
        <w:spacing w:after="120" w:before="200"/>
      </w:pPr>
      <w:r>
        <w:t xml:space="preserve">Paradigm</w:t>
      </w:r>
    </w:p>
    <w:p>
      <w:pPr>
        <w:spacing w:after="160"/>
        <w:jc w:val="both"/>
      </w:pPr>
      <w:r>
        <w:t xml:space="preserve">The study adopts a positivist paradigm, justified with reference to Gray (2021), Collis and Hussey (2021), and Lincoln, Lynham, and Guba (2018), chosen because the research aims to test the generalisability of an existing theory in a new national context. The study draws on Easterby-Smith et al.'s (2021) tree metaphor, in which a realist ontology is normally paired with a positivist epistemology, which in turn leads to a quantitative research design, and follows methodological precedent set by Guilding (1999), Cinquini and Tenucci (2010), and Ojra (2014) in adopting a quantitative approach for contingency based SMA research.</w:t>
      </w:r>
    </w:p>
    <w:p>
      <w:pPr>
        <w:pStyle w:val="Heading2"/>
        <w:spacing w:after="120" w:before="200"/>
      </w:pPr>
      <w:r>
        <w:t xml:space="preserve">Data Analysis</w:t>
      </w:r>
    </w:p>
    <w:p>
      <w:pPr>
        <w:spacing w:after="160"/>
        <w:jc w:val="both"/>
      </w:pPr>
      <w:r>
        <w:t xml:space="preserve">Using a sample of 346 responses from finance executives, the study conducted descriptive statistics, Cronbach's alpha for every construct following Nunnally and Bernstein (1994), Harman's single factor test for common method bias following Podsakoff et al. (2003), and Kaiser Meyer Olkin and Bartlett's test of sphericity to assess suitability for factor analysis. Principal Component Analysis was used to establish construct validity for every scale, reporting factor loadings, explained variance, eigenvalues, and inter item correlations, drawing on Hair et al. (2014) for the interpretation of significant correlations. Regression diagnostics included checks for linearity and outliers, residual normality and homoscedasticity, and multicollinearity via the Pearson correlation matrix, Variance Inflation Factor and Tolerance thresholds following Field (2018) and Bowerman and O'Connell (1990), and eigenvalue or condition index diagnostics following the sensitivity approach of Belsley, Kuh, and Welsch (1980). Hypothesis testing used multiple linear regression of SMA usage on the five contingency factors, and simple linear regression of SMA usage on financial and non financial performance separately, each reporting beta coefficients, R squared, adjusted R squared, and the model's F test, with effect sizes interpreted against Cohen's (1988) benchmarks as presented in Field (2018, 2024).</w:t>
      </w:r>
    </w:p>
    <w:p>
      <w:pPr>
        <w:pStyle w:val="Heading2"/>
        <w:spacing w:after="120" w:before="200"/>
      </w:pPr>
      <w:r>
        <w:t xml:space="preserve">Main Findings</w:t>
      </w:r>
    </w:p>
    <w:p>
      <w:pPr>
        <w:spacing w:after="160"/>
        <w:jc w:val="both"/>
      </w:pPr>
      <w:r>
        <w:t xml:space="preserve">Market turbulence, technology, decentralised organisational structure, and organisational size were significantly and positively associated with SMA adoption, along with a prospector business strategy. Competitive intensity and formalised organisational structure did not show the expected positive relationship with SMA adoption. Extensive adoption of SMA techniques was significantly and positively related to both financial and non financial organisational performance.</w:t>
      </w:r>
    </w:p>
    <w:p>
      <w:pPr>
        <w:pStyle w:val="Heading2"/>
        <w:spacing w:after="120" w:before="200"/>
      </w:pPr>
      <w:r>
        <w:t xml:space="preserve">Contributions</w:t>
      </w:r>
    </w:p>
    <w:p>
      <w:pPr>
        <w:spacing w:after="160"/>
        <w:jc w:val="both"/>
      </w:pPr>
      <w:r>
        <w:t xml:space="preserve">Theoretically, the study provides further supportive evidence for the impact of perceived environmental uncertainty on SMA practice, showing that only the market turbulence dimension, not competitive intensity, was significantly related to SMA usage, which supports Sharma's (2002) view that this construct needs to be decomposed into its dimensions. It validates Ojra's (2014) finding of a positive relationship between a comprehensive technological environment and SMA practices, extending it beyond the narrower technological focus used by Oyewo (2022), and it demonstrates the applicability of the CBMA framework in a Chinese setting, reinforcing the relevance of structural contingency theory (Burns and Stalker, 1961; Miles and Snow, 1978) in a transitional economy. Managerially, the study shows that SMA use enhances both financial and non financial performance, particularly customer satisfaction and new product or service development, and offers guidance on which SMA techniques matter most under high environmental uncertainty.</w:t>
      </w:r>
    </w:p>
    <w:p>
      <w:pPr>
        <w:pStyle w:val="Heading2"/>
        <w:spacing w:after="120" w:before="200"/>
      </w:pPr>
      <w:r>
        <w:t xml:space="preserve">Reflection Questions for Students</w:t>
      </w:r>
    </w:p>
    <w:p>
      <w:pPr>
        <w:pStyle w:val="Heading3"/>
        <w:spacing w:after="80" w:before="100"/>
      </w:pPr>
      <w:r>
        <w:t xml:space="preserve">Simple questions</w:t>
      </w:r>
    </w:p>
    <w:p>
      <w:pPr>
        <w:pStyle w:val="ListParagraph"/>
        <w:numPr>
          <w:ilvl w:val="0"/>
          <w:numId w:val="1"/>
        </w:numPr>
        <w:spacing w:after="80"/>
      </w:pPr>
      <w:r>
        <w:t xml:space="preserve">What are the five contingency factors tested against SMA adoption in this thesis?</w:t>
      </w:r>
    </w:p>
    <w:p>
      <w:pPr>
        <w:pStyle w:val="ListParagraph"/>
        <w:numPr>
          <w:ilvl w:val="0"/>
          <w:numId w:val="1"/>
        </w:numPr>
        <w:spacing w:after="80"/>
      </w:pPr>
      <w:r>
        <w:t xml:space="preserve">Which two hypotheses were not supported by the regression results, and what were the predicted relationships?</w:t>
      </w:r>
    </w:p>
    <w:p>
      <w:pPr>
        <w:pStyle w:val="ListParagraph"/>
        <w:numPr>
          <w:ilvl w:val="0"/>
          <w:numId w:val="1"/>
        </w:numPr>
        <w:spacing w:after="80"/>
      </w:pPr>
      <w:r>
        <w:t xml:space="preserve">Why did the researcher run Harman's single factor test before the main analysis?</w:t>
      </w:r>
    </w:p>
    <w:p>
      <w:pPr>
        <w:pStyle w:val="Heading3"/>
        <w:spacing w:after="80" w:before="160"/>
      </w:pPr>
      <w:r>
        <w:t xml:space="preserve">Thought provoking questions</w:t>
      </w:r>
    </w:p>
    <w:p>
      <w:pPr>
        <w:pStyle w:val="ListParagraph"/>
        <w:numPr>
          <w:ilvl w:val="0"/>
          <w:numId w:val="1"/>
        </w:numPr>
        <w:spacing w:after="80"/>
      </w:pPr>
      <w:r>
        <w:t xml:space="preserve">The study measured SMA adoption, contingency factors, and performance all via a single online questionnaire completed by finance executives at one point in time. What does this design allow you to conclude about the direction of the relationship between SMA adoption and performance, and what would it not allow you to conclude?</w:t>
      </w:r>
    </w:p>
    <w:p>
      <w:pPr>
        <w:pStyle w:val="ListParagraph"/>
        <w:numPr>
          <w:ilvl w:val="0"/>
          <w:numId w:val="1"/>
        </w:numPr>
        <w:spacing w:after="80"/>
      </w:pPr>
      <w:r>
        <w:t xml:space="preserve">Two hypotheses, competitive intensity and formalisation, were not supported. Is a non significant result here evidence that contingency theory does not apply to those factors in China, or could it reflect something about how the constructs were measured? How would you distinguish between these two explanations?</w:t>
      </w:r>
    </w:p>
    <w:p>
      <w:pPr>
        <w:pStyle w:val="ListParagraph"/>
        <w:numPr>
          <w:ilvl w:val="0"/>
          <w:numId w:val="1"/>
        </w:numPr>
        <w:spacing w:after="80"/>
      </w:pPr>
      <w:r>
        <w:t xml:space="preserve">This is the only one of the ten theses in this set to use classical regression rather than SEM as its core statistical technique. What trade offs do you think the researcher was making in that choice, and what would SEM have added or lost here?</w:t>
      </w:r>
    </w:p>
    <w:p>
      <w:r>
        <w:br w:type="page"/>
      </w:r>
    </w:p>
    <w:p>
      <w:pPr>
        <w:pStyle w:val="Heading1"/>
        <w:spacing w:after="200" w:before="200"/>
      </w:pPr>
      <w:r>
        <w:t xml:space="preserve">4. Zhao, W. Community Participation in Giant Panda National Park (GPNP) Management</w:t>
      </w:r>
    </w:p>
    <w:p>
      <w:pPr>
        <w:pStyle w:val="Heading2"/>
        <w:spacing w:after="120" w:before="200"/>
      </w:pPr>
      <w:r>
        <w:t xml:space="preserve">Research Aim</w:t>
      </w:r>
    </w:p>
    <w:p>
      <w:pPr>
        <w:spacing w:after="160"/>
        <w:jc w:val="both"/>
      </w:pPr>
      <w:r>
        <w:t xml:space="preserve">The aim of this study is to investigate the key factors influencing community participation in the management of the Giant Panda National Park and to develop a conceptual framework to guide practitioners in achieving sustainable management of the GPNP.</w:t>
      </w:r>
    </w:p>
    <w:p>
      <w:pPr>
        <w:pStyle w:val="Heading2"/>
        <w:spacing w:after="120" w:before="200"/>
      </w:pPr>
      <w:r>
        <w:t xml:space="preserve">Research Questions</w:t>
      </w:r>
    </w:p>
    <w:p>
      <w:pPr>
        <w:spacing w:after="160"/>
        <w:jc w:val="both"/>
      </w:pPr>
      <w:r>
        <w:t xml:space="preserve">The primary research question is: What are the key factors influencing community participation in the management of the GPNP?</w:t>
      </w:r>
    </w:p>
    <w:p>
      <w:pPr>
        <w:pStyle w:val="Heading2"/>
        <w:spacing w:after="120" w:before="200"/>
      </w:pPr>
      <w:r>
        <w:t xml:space="preserve">Research Objectives</w:t>
      </w:r>
    </w:p>
    <w:p>
      <w:pPr>
        <w:spacing w:after="160"/>
        <w:jc w:val="both"/>
      </w:pPr>
      <w:r>
        <w:t xml:space="preserve">1. Exploring the current status of community participation in the GPNP management.</w:t>
      </w:r>
    </w:p>
    <w:p>
      <w:pPr>
        <w:spacing w:after="160"/>
        <w:jc w:val="both"/>
      </w:pPr>
      <w:r>
        <w:t xml:space="preserve">2. Identifying key factors that affect community participation in the GPNP management.</w:t>
      </w:r>
    </w:p>
    <w:p>
      <w:pPr>
        <w:spacing w:after="160"/>
        <w:jc w:val="both"/>
      </w:pPr>
      <w:r>
        <w:t xml:space="preserve">3. Developing a conceptual framework for promoting community participation in the GPNP management.</w:t>
      </w:r>
    </w:p>
    <w:p>
      <w:pPr>
        <w:spacing w:after="160"/>
        <w:jc w:val="both"/>
      </w:pPr>
      <w:r>
        <w:t xml:space="preserve">4. Identifying practical solutions via the conceptual framework to promote or assist the sustainable management of the GPNP based on community participation.</w:t>
      </w:r>
    </w:p>
    <w:p>
      <w:pPr>
        <w:pStyle w:val="Heading2"/>
        <w:spacing w:after="120" w:before="200"/>
      </w:pPr>
      <w:r>
        <w:t xml:space="preserve">Research Problem</w:t>
      </w:r>
    </w:p>
    <w:p>
      <w:pPr>
        <w:spacing w:after="160"/>
        <w:jc w:val="both"/>
      </w:pPr>
      <w:r>
        <w:t xml:space="preserve">Borrini et al. (2013), De Vente et al. (2016), Hussain et al. (2017), and Pullin et al. (2013) document the increasing global attention paid to community roles in national park management, while Marlina, Sumarmi, and Astina (2020) and Masozera et al. (2013) note that conflict between resource protection and local residents' use of resources has become increasingly prominent. He, Yang, and Min (2020) trace the development of Community Based Natural Resource Management since the early 1990s and the Integrated Conservation and Development Plan approach of Wells, Brandon, and Hannah (1992). Although community participation in national park management has been widely discussed globally, Chen, Sun, and Su (2021) and He, Yang, and Min (2020) note that no summary of a community participation model adapted specifically to the Chinese context has yet emerged, and existing literature has not applied stakeholder theory, good governance theory, or social exchange theory specifically to the GPNP, leaving the gap this study addresses.</w:t>
      </w:r>
    </w:p>
    <w:p>
      <w:pPr>
        <w:pStyle w:val="Heading2"/>
        <w:spacing w:after="120" w:before="200"/>
      </w:pPr>
      <w:r>
        <w:t xml:space="preserve">Theories and Concepts</w:t>
      </w:r>
    </w:p>
    <w:p>
      <w:pPr>
        <w:spacing w:after="160"/>
        <w:jc w:val="both"/>
      </w:pPr>
      <w:r>
        <w:t xml:space="preserve">The study draws on three principal theories, stakeholder theory, good governance theory, and social exchange theory, and incorporates two additional models, the Triple Bottom Line model of sustainable development and the ladder of citizen participation model. These are combined into a conceptual framework built around five core elements: perceived benefits, community perception, management activities, community supports, and participation limitations, with discriminant and convergent validity procedures for these constructs following Fornell and Larcker (1981).</w:t>
      </w:r>
    </w:p>
    <w:p>
      <w:pPr>
        <w:pStyle w:val="Heading2"/>
        <w:spacing w:after="120" w:before="200"/>
      </w:pPr>
      <w:r>
        <w:t xml:space="preserve">Paradigm</w:t>
      </w:r>
    </w:p>
    <w:p>
      <w:pPr>
        <w:spacing w:after="160"/>
        <w:jc w:val="both"/>
      </w:pPr>
      <w:r>
        <w:t xml:space="preserve">The study adopts an overarching pragmatist paradigm for its exploratory sequential mixed methods design, following Creswell and Clark (2017), Morgan (2014), and Patton (2014), chosen because pragmatism bridges positivist and interpretivist extremes (Kaushik and Walsh, 2019) and judges the value of a claim by its practical usefulness for GPNP management, following Feilzer (2009), rather than by allegiance to a single ontology. The confirmatory quantitative stage that tests the resulting model is run within a positivism methodology, so that data collection and interpretation can proceed through objective, measurable means.</w:t>
      </w:r>
    </w:p>
    <w:p>
      <w:pPr>
        <w:pStyle w:val="Heading2"/>
        <w:spacing w:after="120" w:before="200"/>
      </w:pPr>
      <w:r>
        <w:t xml:space="preserve">Data Analysis</w:t>
      </w:r>
    </w:p>
    <w:p>
      <w:pPr>
        <w:spacing w:after="160"/>
        <w:jc w:val="both"/>
      </w:pPr>
      <w:r>
        <w:t xml:space="preserve">Using a pilot sample of 36 and a main sample of 548, the study used Cronbach's alpha at both stages, and skewness and kurtosis screening for normality against thresholds set out by Sovey, Osman, and Mohd-Matore (2022), with three items dropped for exceeding kurtosis limits. Bivariate Pearson correlation matrices were computed within each of five themes. Exploratory Factor Analysis used Kaiser Meyer Olkin and Bartlett's test of sphericity for suitability following Gaskin and Happell (2014), Principal Component Analysis with Varimax rotation for extraction, and the eigenvalue over one rule for factor retention, yielding a six factor solution. Confirmatory Factor Analysis assessed Composite Reliability and Average Variance Extracted for convergent validity, and the Fornell and Larcker (1981) criterion for discriminant validity. Structural Equation Modelling in AMOS 26 tested the full model, with fit indices interpreted against Hu and Bentler (1999), Byrne (2001), and Marsh, Hau, and Wen (2004), and the chi square sensitivity discussion drawing on Schumacker and Lomax (2004) and Kline (2023). Finally, an independent samples t test and two one way ANOVAs, with post hoc Least Significant Difference and Welch tests where variances were unequal, examined differences in participation commitment by gender, age, and education level, following the general logic set out by Ruxton (2010) and Bewick (2004).</w:t>
      </w:r>
    </w:p>
    <w:p>
      <w:pPr>
        <w:pStyle w:val="Heading2"/>
        <w:spacing w:after="120" w:before="200"/>
      </w:pPr>
      <w:r>
        <w:t xml:space="preserve">Main Findings</w:t>
      </w:r>
    </w:p>
    <w:p>
      <w:pPr>
        <w:spacing w:after="160"/>
        <w:jc w:val="both"/>
      </w:pPr>
      <w:r>
        <w:t xml:space="preserve">The willingness of communities to participate in GPNP management is generally high, but there is a significant gap between willingness and actual participation, driven by insufficient participation capacity, low wages, an ageing population, low female participation, and low education levels, a pattern consistent with Mugizi, Ayorekire, and Obua (2017) and Agrawal and Redford (2009). Perceived benefits, limitations to participation, and community perception were found to have significant positive effects on participation commitment, with perceived benefits having the strongest influence. Management activities and community supports, at the aggregate level, did not show a significant effect on participation commitment, though qualitative findings suggested some of their sub components, such as laws and regulations and professional human resources, were positively associated with participation. Significant differences in participation commitment were found by gender, age, and education level.</w:t>
      </w:r>
    </w:p>
    <w:p>
      <w:pPr>
        <w:pStyle w:val="Heading2"/>
        <w:spacing w:after="120" w:before="200"/>
      </w:pPr>
      <w:r>
        <w:t xml:space="preserve">Contributions</w:t>
      </w:r>
    </w:p>
    <w:p>
      <w:pPr>
        <w:spacing w:after="160"/>
        <w:jc w:val="both"/>
      </w:pPr>
      <w:r>
        <w:t xml:space="preserve">Theoretically, the study enriches research on the relationship between national park management and community development in China's specific demographic, economic, and institutional context, and constructs an interdisciplinary, multi level analytical framework that integrates stakeholder theory, good governance theory, social exchange theory, the Triple Bottom Line, and the ladder of citizen participation into a single, novel analytical dialogue for Chinese national park management. Practically, the study provides theoretical support and empirical evidence for the ongoing construction of China's national park system, offers suggestions for coordinating conservation and community development, such as benefit sharing mechanisms and two way communication platforms, and serves the national strategies of ecological civilisation construction and rural revitalisation.</w:t>
      </w:r>
    </w:p>
    <w:p>
      <w:pPr>
        <w:pStyle w:val="Heading2"/>
        <w:spacing w:after="120" w:before="200"/>
      </w:pPr>
      <w:r>
        <w:t xml:space="preserve">Reflection Questions for Students</w:t>
      </w:r>
    </w:p>
    <w:p>
      <w:pPr>
        <w:pStyle w:val="Heading3"/>
        <w:spacing w:after="80" w:before="100"/>
      </w:pPr>
      <w:r>
        <w:t xml:space="preserve">Simple questions</w:t>
      </w:r>
    </w:p>
    <w:p>
      <w:pPr>
        <w:pStyle w:val="ListParagraph"/>
        <w:numPr>
          <w:ilvl w:val="0"/>
          <w:numId w:val="1"/>
        </w:numPr>
        <w:spacing w:after="80"/>
      </w:pPr>
      <w:r>
        <w:t xml:space="preserve">What are the five core elements in this thesis's conceptual framework of community participation?</w:t>
      </w:r>
    </w:p>
    <w:p>
      <w:pPr>
        <w:pStyle w:val="ListParagraph"/>
        <w:numPr>
          <w:ilvl w:val="0"/>
          <w:numId w:val="1"/>
        </w:numPr>
        <w:spacing w:after="80"/>
      </w:pPr>
      <w:r>
        <w:t xml:space="preserve">Which demographic variables were found to significantly affect participation commitment, and which statistical tests were used for each?</w:t>
      </w:r>
    </w:p>
    <w:p>
      <w:pPr>
        <w:pStyle w:val="ListParagraph"/>
        <w:numPr>
          <w:ilvl w:val="0"/>
          <w:numId w:val="1"/>
        </w:numPr>
        <w:spacing w:after="80"/>
      </w:pPr>
      <w:r>
        <w:t xml:space="preserve">Why did the researcher drop three survey items during the normality check?</w:t>
      </w:r>
    </w:p>
    <w:p>
      <w:pPr>
        <w:pStyle w:val="Heading3"/>
        <w:spacing w:after="80" w:before="160"/>
      </w:pPr>
      <w:r>
        <w:t xml:space="preserve">Thought provoking questions</w:t>
      </w:r>
    </w:p>
    <w:p>
      <w:pPr>
        <w:pStyle w:val="ListParagraph"/>
        <w:numPr>
          <w:ilvl w:val="0"/>
          <w:numId w:val="1"/>
        </w:numPr>
        <w:spacing w:after="80"/>
      </w:pPr>
      <w:r>
        <w:t xml:space="preserve">Management activities and community supports did not show a significant aggregate effect on participation commitment, yet the qualitative interviews suggested some of their sub components mattered. How should a researcher handle a disagreement like this between the quantitative and qualitative strands of a mixed methods study, and what does this tell you about the risk of aggregating diverse items into a single factor?</w:t>
      </w:r>
    </w:p>
    <w:p>
      <w:pPr>
        <w:pStyle w:val="ListParagraph"/>
        <w:numPr>
          <w:ilvl w:val="0"/>
          <w:numId w:val="1"/>
        </w:numPr>
        <w:spacing w:after="80"/>
      </w:pPr>
      <w:r>
        <w:t xml:space="preserve">The thesis found that perceived benefits mattered most to community willingness to participate. If a national park manager used this finding to justify only investing in visible economic incentives, what important nuance from the qualitative findings might they be missing?</w:t>
      </w:r>
    </w:p>
    <w:p>
      <w:pPr>
        <w:pStyle w:val="ListParagraph"/>
        <w:numPr>
          <w:ilvl w:val="0"/>
          <w:numId w:val="1"/>
        </w:numPr>
        <w:spacing w:after="80"/>
      </w:pPr>
      <w:r>
        <w:t xml:space="preserve">This is a single case study, one national park. How much weight should the conceptual framework developed here be given when thinking about community participation in a different national park, with different demographics and history?</w:t>
      </w:r>
    </w:p>
    <w:p>
      <w:r>
        <w:br w:type="page"/>
      </w:r>
    </w:p>
    <w:p>
      <w:pPr>
        <w:pStyle w:val="Heading1"/>
        <w:spacing w:after="200" w:before="200"/>
      </w:pPr>
      <w:r>
        <w:t xml:space="preserve">5. Benphd2. Integrated Health and Social Care for People Living with Chronic Conditions in South Wales</w:t>
      </w:r>
    </w:p>
    <w:p>
      <w:pPr>
        <w:pStyle w:val="Heading2"/>
        <w:spacing w:after="120" w:before="200"/>
      </w:pPr>
      <w:r>
        <w:t xml:space="preserve">Research Aim</w:t>
      </w:r>
    </w:p>
    <w:p>
      <w:pPr>
        <w:spacing w:after="160"/>
        <w:jc w:val="both"/>
      </w:pPr>
      <w:r>
        <w:t xml:space="preserve">This thesis aimed to explore the establishment of a new integrated Chronic Conditions Management (CCM) service in the Bro y Grug locality of Armorshire, answering the research question: How has integrated care for people living with chronic conditions developed during the implementation of the new CCM service?</w:t>
      </w:r>
    </w:p>
    <w:p>
      <w:pPr>
        <w:pStyle w:val="Heading2"/>
        <w:spacing w:after="120" w:before="200"/>
      </w:pPr>
      <w:r>
        <w:t xml:space="preserve">Research Questions</w:t>
      </w:r>
    </w:p>
    <w:p>
      <w:pPr>
        <w:spacing w:after="160"/>
        <w:jc w:val="both"/>
      </w:pPr>
      <w:r>
        <w:t xml:space="preserve">The main research question was operationalised through five sub questions that functioned as the study's objectives (see Research Objectives below).</w:t>
      </w:r>
    </w:p>
    <w:p>
      <w:pPr>
        <w:pStyle w:val="Heading2"/>
        <w:spacing w:after="120" w:before="200"/>
      </w:pPr>
      <w:r>
        <w:t xml:space="preserve">Research Objectives</w:t>
      </w:r>
    </w:p>
    <w:p>
      <w:pPr>
        <w:spacing w:after="160"/>
        <w:jc w:val="both"/>
      </w:pPr>
      <w:r>
        <w:t xml:space="preserve">1. How have different stakeholders been involved in the establishment of the new CCM service?</w:t>
      </w:r>
    </w:p>
    <w:p>
      <w:pPr>
        <w:spacing w:after="160"/>
        <w:jc w:val="both"/>
      </w:pPr>
      <w:r>
        <w:t xml:space="preserve">2. What do the stakeholders involved in the establishment of the new CCM service say about integration?</w:t>
      </w:r>
    </w:p>
    <w:p>
      <w:pPr>
        <w:spacing w:after="160"/>
        <w:jc w:val="both"/>
      </w:pPr>
      <w:r>
        <w:t xml:space="preserve">3. What do people living with chronic conditions and their carers say about the new CCM service and the care they receive?</w:t>
      </w:r>
    </w:p>
    <w:p>
      <w:pPr>
        <w:spacing w:after="160"/>
        <w:jc w:val="both"/>
      </w:pPr>
      <w:r>
        <w:t xml:space="preserve">4. What do front line health and social care professionals say about their work in the new CCM service compared to their work in their previous teams?</w:t>
      </w:r>
    </w:p>
    <w:p>
      <w:pPr>
        <w:spacing w:after="160"/>
        <w:jc w:val="both"/>
      </w:pPr>
      <w:r>
        <w:t xml:space="preserve">5. How has the development of the new CCM service been affected by pre existing services, roles and relationships, and concurrent developments in health and social care?</w:t>
      </w:r>
    </w:p>
    <w:p>
      <w:pPr>
        <w:pStyle w:val="Heading2"/>
        <w:spacing w:after="120" w:before="200"/>
      </w:pPr>
      <w:r>
        <w:t xml:space="preserve">Research Problem</w:t>
      </w:r>
    </w:p>
    <w:p>
      <w:pPr>
        <w:spacing w:after="160"/>
        <w:jc w:val="both"/>
      </w:pPr>
      <w:r>
        <w:t xml:space="preserve">Changing illness patterns and growing numbers of older people living with chronic conditions are placing increasing pressure on health and social care systems designed for acute, episodic illness rather than chronic, long term care (Goodwin et al., 2012). Many countries, including Wales, have turned to integration as a response, yet the evidence base for integrated working is questionable, and Cameron et al. (2012) note the general failure of research to take account of service users' and carers' own perspectives, despite widespread agreement (Goodwin et al., 2012) that these perspectives should determine how integrated care is organised. The case study literature on integration frequently cites definitional and conceptual imprecision as a barrier to effective joint working (Goodwin et al., 2012; Graham et al., 2013; Walker et al., 2013).</w:t>
      </w:r>
    </w:p>
    <w:p>
      <w:pPr>
        <w:pStyle w:val="Heading2"/>
        <w:spacing w:after="120" w:before="200"/>
      </w:pPr>
      <w:r>
        <w:t xml:space="preserve">Theories and Concepts</w:t>
      </w:r>
    </w:p>
    <w:p>
      <w:pPr>
        <w:spacing w:after="160"/>
        <w:jc w:val="both"/>
      </w:pPr>
      <w:r>
        <w:t xml:space="preserve">The thesis makes original use of three concepts not previously applied together in this field: the theory of collaborative advantage and collaborative inertia (Huxham and Vangen, 2004), used to analyse how complex social problems can be addressed through joint working; structuration theory, used to understand how outcomes emerge from the interaction of structure and agency in the project's development; and role ambiguity, used to analyse issues of leadership and unclear responsibilities among the project's staff. Williams and Sullivan's (2010) argument that a lack of clarity at project initiation leads to later problems is drawn on directly, as is the contrasting case of the Torbay Care Trust reported by Thistlethwaite (2011), where long term leadership commitment supported successful integration.</w:t>
      </w:r>
    </w:p>
    <w:p>
      <w:pPr>
        <w:pStyle w:val="Heading2"/>
        <w:spacing w:after="120" w:before="200"/>
      </w:pPr>
      <w:r>
        <w:t xml:space="preserve">Paradigm</w:t>
      </w:r>
    </w:p>
    <w:p>
      <w:pPr>
        <w:spacing w:after="160"/>
        <w:jc w:val="both"/>
      </w:pPr>
      <w:r>
        <w:t xml:space="preserve">Interpretivism is justified through Topping (2010), who explains that human behaviour must be interpreted by taking account of interactions between people, Bryman (2012), who notes that interpretivism rejects the a priori, theory testing methods of the positivist tradition, and Ransome (2013), who describes the interpretive approach as generating theory inductively from data. Rapport (2005) and Schwandt (1994) are drawn on for the argument that interpretivism allows participants to give their own account of the world, and Klenke (2008) for the view that human beings embrace multiple realities that must be understood in context, with the concept of Verstehen traced to Weber (1949) and illustrated through Liebow's (1967) ethnographic stance.</w:t>
      </w:r>
    </w:p>
    <w:p>
      <w:pPr>
        <w:pStyle w:val="Heading2"/>
        <w:spacing w:after="120" w:before="200"/>
      </w:pPr>
      <w:r>
        <w:t xml:space="preserve">Data Analysis</w:t>
      </w:r>
    </w:p>
    <w:p>
      <w:pPr>
        <w:spacing w:after="160"/>
        <w:jc w:val="both"/>
      </w:pPr>
      <w:r>
        <w:t xml:space="preserve">This thesis uses no statistical tests. Data were collected through non participant observation, individual semi structured interviews, focus groups, and documentary research, and analysed qualitatively to build a narrative case study account.</w:t>
      </w:r>
    </w:p>
    <w:p>
      <w:pPr>
        <w:pStyle w:val="Heading2"/>
        <w:spacing w:after="120" w:before="200"/>
      </w:pPr>
      <w:r>
        <w:t xml:space="preserve">Main Findings</w:t>
      </w:r>
    </w:p>
    <w:p>
      <w:pPr>
        <w:spacing w:after="160"/>
        <w:jc w:val="both"/>
      </w:pPr>
      <w:r>
        <w:t xml:space="preserve">The new CCM service in Bro y Grug failed to deliver an integrated service, and a pervasive lack of clarity, in policy documents, in the programme's implementation, and in stakeholders' roles, was a central reason for this failure, consistent with Williams and Sullivan's (2010) prediction that unclear objectives at initiation lead to later difficulties, and with Huxham and Vangen's (2004) prediction that this shifts collaborative advantage towards collaborative inertia. Concurrent structural reform, the NHS Wales Reforms of 2009, drew key stakeholders away from the project and led to the disbandment of its steering group and work streams, undermining both the joint vision for the project and the involvement of service users and carers, in a manner consistent with calls from the House of Commons Health Committee (2009, 2012b) and Glasby et al. (2011) for greater stability and continuity in such projects. Co-location of front line professionals, on its own, did not improve co-working or care experience, consistent with Brown et al. (2003) and Imison et al. (2008). Resource constraints, delays in key appointments, and the absence of joined up IT systems, considered a prerequisite of integration by Leutz (2005) and Imison et al. (2008), further hampered the development of integrated care.</w:t>
      </w:r>
    </w:p>
    <w:p>
      <w:pPr>
        <w:pStyle w:val="Heading2"/>
        <w:spacing w:after="120" w:before="200"/>
      </w:pPr>
      <w:r>
        <w:t xml:space="preserve">Contributions</w:t>
      </w:r>
    </w:p>
    <w:p>
      <w:pPr>
        <w:spacing w:after="160"/>
        <w:jc w:val="both"/>
      </w:pPr>
      <w:r>
        <w:t xml:space="preserve">The thesis makes an original contribution by combining, for the first time, structural reform, chronic conditions management, and integration in a single study, and by incorporating service user and carer perspectives that Cameron et al. (2012) identify as typically absent from research focused on the processes rather than the outcomes of integration. It provides a novel, multi stage comparison of stakeholder perspectives recorded at different points in the project's life, and takes into account previously unexplored contextual factors, such as economic austerity and concurrent strategic change. Its use of the theory of collaborative advantage and inertia (Huxham and Vangen, 2004), structuration theory, and role ambiguity in this field is itself an original contribution, and the study's substantive findings, that co-location alone does not improve integration, that concurrent reform is disruptive, and that the exclusion of service users and front line staff undermines integrated working, add new empirical evidence to the field.</w:t>
      </w:r>
    </w:p>
    <w:p>
      <w:pPr>
        <w:pStyle w:val="Heading2"/>
        <w:spacing w:after="120" w:before="200"/>
      </w:pPr>
      <w:r>
        <w:t xml:space="preserve">Reflection Questions for Students</w:t>
      </w:r>
    </w:p>
    <w:p>
      <w:pPr>
        <w:pStyle w:val="Heading3"/>
        <w:spacing w:after="80" w:before="100"/>
      </w:pPr>
      <w:r>
        <w:t xml:space="preserve">Simple questions</w:t>
      </w:r>
    </w:p>
    <w:p>
      <w:pPr>
        <w:pStyle w:val="ListParagraph"/>
        <w:numPr>
          <w:ilvl w:val="0"/>
          <w:numId w:val="1"/>
        </w:numPr>
        <w:spacing w:after="80"/>
      </w:pPr>
      <w:r>
        <w:t xml:space="preserve">What are the four methods of data collection used in this case study?</w:t>
      </w:r>
    </w:p>
    <w:p>
      <w:pPr>
        <w:pStyle w:val="ListParagraph"/>
        <w:numPr>
          <w:ilvl w:val="0"/>
          <w:numId w:val="1"/>
        </w:numPr>
        <w:spacing w:after="80"/>
      </w:pPr>
      <w:r>
        <w:t xml:space="preserve">Why is this thesis described as using no statistical tests?</w:t>
      </w:r>
    </w:p>
    <w:p>
      <w:pPr>
        <w:pStyle w:val="ListParagraph"/>
        <w:numPr>
          <w:ilvl w:val="0"/>
          <w:numId w:val="1"/>
        </w:numPr>
        <w:spacing w:after="80"/>
      </w:pPr>
      <w:r>
        <w:t xml:space="preserve">Name the three theoretical concepts applied to the case in an original way.</w:t>
      </w:r>
    </w:p>
    <w:p>
      <w:pPr>
        <w:pStyle w:val="Heading3"/>
        <w:spacing w:after="80" w:before="160"/>
      </w:pPr>
      <w:r>
        <w:t xml:space="preserve">Thought provoking questions</w:t>
      </w:r>
    </w:p>
    <w:p>
      <w:pPr>
        <w:pStyle w:val="ListParagraph"/>
        <w:numPr>
          <w:ilvl w:val="0"/>
          <w:numId w:val="1"/>
        </w:numPr>
        <w:spacing w:after="80"/>
      </w:pPr>
      <w:r>
        <w:t xml:space="preserve">The researcher is described as having been offered a scholarship on this exact topic and beginning fieldwork within weeks. How might that closeness to the topic, and the absence of a purely detached outsider position, have shaped what the researcher noticed, and what safeguards would you expect an interpretivist case study like this to use to manage that?</w:t>
      </w:r>
    </w:p>
    <w:p>
      <w:pPr>
        <w:pStyle w:val="ListParagraph"/>
        <w:numPr>
          <w:ilvl w:val="0"/>
          <w:numId w:val="1"/>
        </w:numPr>
        <w:spacing w:after="80"/>
      </w:pPr>
      <w:r>
        <w:t xml:space="preserve">The thesis concludes that co-location alone does not improve integration. If a hospital manager read only that headline finding, what other conditions identified in this case, stability, clarity of objectives, involvement of service users, might they overlook, and how would you word a summary that avoided that risk?</w:t>
      </w:r>
    </w:p>
    <w:p>
      <w:pPr>
        <w:pStyle w:val="ListParagraph"/>
        <w:numPr>
          <w:ilvl w:val="0"/>
          <w:numId w:val="1"/>
        </w:numPr>
        <w:spacing w:after="80"/>
      </w:pPr>
      <w:r>
        <w:t xml:space="preserve">This is a single case study of one locality's CCM service. What kind of claim can a single, richly described case support that a large multi site survey cannot, and what kind of claim can it not support?</w:t>
      </w:r>
    </w:p>
    <w:p>
      <w:r>
        <w:br w:type="page"/>
      </w:r>
    </w:p>
    <w:p>
      <w:pPr>
        <w:pStyle w:val="Heading1"/>
        <w:spacing w:after="200" w:before="200"/>
      </w:pPr>
      <w:r>
        <w:t xml:space="preserve">6. Sun Jiameng. Cultivating Employability Competence of Chinese Language Practitioners Through Capital Theory</w:t>
      </w:r>
    </w:p>
    <w:p>
      <w:pPr>
        <w:pStyle w:val="Heading2"/>
        <w:spacing w:after="120" w:before="200"/>
      </w:pPr>
      <w:r>
        <w:t xml:space="preserve">Research Aim</w:t>
      </w:r>
    </w:p>
    <w:p>
      <w:pPr>
        <w:spacing w:after="160"/>
        <w:jc w:val="both"/>
      </w:pPr>
      <w:r>
        <w:t xml:space="preserve">The aim of this research is to explore the construction of language practitioners' competence, its relationship with perceived employability, and measures for enhancing perceived employability through capital theory, in response to the main research question: How can Chinese language practitioners in the twenty first century cultivate employability competence from the perspective of capital theory?</w:t>
      </w:r>
    </w:p>
    <w:p>
      <w:pPr>
        <w:pStyle w:val="Heading2"/>
        <w:spacing w:after="120" w:before="200"/>
      </w:pPr>
      <w:r>
        <w:t xml:space="preserve">Research Questions</w:t>
      </w:r>
    </w:p>
    <w:p>
      <w:pPr>
        <w:spacing w:after="160"/>
        <w:jc w:val="both"/>
      </w:pPr>
      <w:r>
        <w:t xml:space="preserve">The overarching research question is: How can Chinese language practitioners in the twenty first century cultivate employability competence from the perspective of capital theory? This is broken down through the three objectives below, and further operationalised through specific questions about the relative influence of human, psychological, and social capital, and adaptability, on perceived employability.</w:t>
      </w:r>
    </w:p>
    <w:p>
      <w:pPr>
        <w:pStyle w:val="Heading2"/>
        <w:spacing w:after="120" w:before="200"/>
      </w:pPr>
      <w:r>
        <w:t xml:space="preserve">Research Objectives</w:t>
      </w:r>
    </w:p>
    <w:p>
      <w:pPr>
        <w:spacing w:after="160"/>
        <w:jc w:val="both"/>
      </w:pPr>
      <w:r>
        <w:t xml:space="preserve">1. To critically review the components of necessary competence that language practitioners require in relation to employability in the era of artificial intelligence.</w:t>
      </w:r>
    </w:p>
    <w:p>
      <w:pPr>
        <w:spacing w:after="160"/>
        <w:jc w:val="both"/>
      </w:pPr>
      <w:r>
        <w:t xml:space="preserve">2. To identify, evaluate, and categorise the required capitals of language practitioners regarding how different competences influence their perceived employability from the angle of capital theory.</w:t>
      </w:r>
    </w:p>
    <w:p>
      <w:pPr>
        <w:spacing w:after="160"/>
        <w:jc w:val="both"/>
      </w:pPr>
      <w:r>
        <w:t xml:space="preserve">3. To establish a framework that could benefit language practitioners in enhancing perceived employability in the future.</w:t>
      </w:r>
    </w:p>
    <w:p>
      <w:pPr>
        <w:pStyle w:val="Heading2"/>
        <w:spacing w:after="120" w:before="200"/>
      </w:pPr>
      <w:r>
        <w:t xml:space="preserve">Research Problem</w:t>
      </w:r>
    </w:p>
    <w:p>
      <w:pPr>
        <w:spacing w:after="160"/>
        <w:jc w:val="both"/>
      </w:pPr>
      <w:r>
        <w:t xml:space="preserve">Although artificial intelligence technologies have advanced impressively in language translation and interpretation, they cannot fully replace human language practitioners in the Chinese context, given the complexity, dialectal variety, idiomatic expressions, and cultural references embedded in Chinese. The gap this addresses is framed against Bassnett and Lefevere's (1990) account of the cultural turn in translation studies and Gentzler's (2014) observation that early research on language practitioners was concentrated in Canada, the USA, and the EU, with China comparatively under studied. Government support for AI development is increasingly affecting individual employability in this profession, particularly for practitioners in non traditional employment arrangements such as part time, freelance, or self employed work, whose risk of displacement is under researched, and Kiraly (2013) notes that prior competence models have tended to draw on either post positivist or social constructivist perspectives exclusively, rather than the mixed approach this study adopts.</w:t>
      </w:r>
    </w:p>
    <w:p>
      <w:pPr>
        <w:pStyle w:val="Heading2"/>
        <w:spacing w:after="120" w:before="200"/>
      </w:pPr>
      <w:r>
        <w:t xml:space="preserve">Theories and Concepts</w:t>
      </w:r>
    </w:p>
    <w:p>
      <w:pPr>
        <w:spacing w:after="160"/>
        <w:jc w:val="both"/>
      </w:pPr>
      <w:r>
        <w:t xml:space="preserve">The central theoretical framework is Bourdieu's Capital Theory, operationalised through Human Capital, Social Capital, and Psychological Capital, with the psychological capital constructs drawn from Luthans, Avolio, and Youssef (2006), alongside the construct of Career Adaptability, which the study treats as a further meta competence. These four constructs, Human Capital, Psychological Capital, Sociability, and Adaptability, are examined as predictors of Perceived Employability, the study's dependent variable.</w:t>
      </w:r>
    </w:p>
    <w:p>
      <w:pPr>
        <w:pStyle w:val="Heading2"/>
        <w:spacing w:after="120" w:before="200"/>
      </w:pPr>
      <w:r>
        <w:t xml:space="preserve">Paradigm</w:t>
      </w:r>
    </w:p>
    <w:p>
      <w:pPr>
        <w:spacing w:after="160"/>
        <w:jc w:val="both"/>
      </w:pPr>
      <w:r>
        <w:t xml:space="preserve">The study adopts a pragmatist paradigm, explicitly rejecting both positivism, on the grounds set out by Gray (2014) that positivists believe reality exists independently of human consciousness and is unchanging, and pure interpretivism, on the grounds that these competences are also shaped by an objective technological and market environment external to any one individual. Pragmatism is chosen following Kelly and Cordeiro's (2020) argument that pragmatism focuses on producing actionable knowledge, and Epstein's (2011) formulation that a statement is true if it works, and the paradigm supports the study's mixed methods design, following Morgan's (2007) account of pragmatism's role in combining qualitative and quantitative methods.</w:t>
      </w:r>
    </w:p>
    <w:p>
      <w:pPr>
        <w:pStyle w:val="Heading2"/>
        <w:spacing w:after="120" w:before="200"/>
      </w:pPr>
      <w:r>
        <w:t xml:space="preserve">Data Analysis</w:t>
      </w:r>
    </w:p>
    <w:p>
      <w:pPr>
        <w:spacing w:after="160"/>
        <w:jc w:val="both"/>
      </w:pPr>
      <w:r>
        <w:t xml:space="preserve">Using a pilot sample of 25 and a main survey sample of 320, the study conducted reliability checks, Cronbach's alpha, validity at p under 0.01, Kaiser Meyer Olkin, at the pilot stage, following benchmarks from Tavakol and Dennick (2011), then descriptive statistics and normality screening, skewness and kurtosis, at the main stage following Kline (2016). Exploratory Factor Analysis in SPSS used Kaiser Meyer Olkin and Bartlett's test of sphericity for suitability, Varimax rotation, and Kaiser's (1960) eigenvalue over one criterion, alongside Cattell's (1966, 1977) scree test, reducing the original item pool to 22 items across five factors. Cronbach's alpha was reported for every construct against Nunnally and Bernstein's (1994) benchmark, alongside item to total correlation. Validity was assessed through inter item correlation, explained variance, Kaiser Meyer Olkin, factor loadings, and eigenvalues for each construct, following Costello and Osborne (2005). Correlation and regression analysis used Pearson correlation coefficients as a precursor to a multiple linear regression of Perceived Employability on Human Capital, Psychological Capital, Sociability, and Adaptability, reporting beta coefficients, t values, significance, tolerance, Variance Inflation Factor, R, R squared, adjusted R squared, the Durbin Watson statistic, and an ANOVA table for the overall model, with multicollinearity thresholds following Field (2018) and Menard (2002), and effect sizes interpreted against Cohen's (2013) benchmarks. A series of one way ANOVAs then tested for differences in Perceived Employability by age, working experience, income, personality, overseas experience, and working mode.</w:t>
      </w:r>
    </w:p>
    <w:p>
      <w:pPr>
        <w:pStyle w:val="Heading2"/>
        <w:spacing w:after="120" w:before="200"/>
      </w:pPr>
      <w:r>
        <w:t xml:space="preserve">Main Findings</w:t>
      </w:r>
    </w:p>
    <w:p>
      <w:pPr>
        <w:spacing w:after="160"/>
        <w:jc w:val="both"/>
      </w:pPr>
      <w:r>
        <w:t xml:space="preserve">Human Capital, Sociability, and Adaptability were all significant, positive predictors of Perceived Employability, with Adaptability showing the strongest effect, while Psychological Capital was not a significant predictor at the aggregate level. Perceived Employability differed significantly by working experience, annual income, personality, overseas experience, and working mode, but not significantly by gender or educational level, findings that partly diverge from prior assumptions in the literature, including Roth, Purvis, and Bobko's (2012) work on gender and promotion potential. Adaptability emerged throughout as the most critical competence element for language practitioners navigating the AI era, more so than raw linguistic skill alone.</w:t>
      </w:r>
    </w:p>
    <w:p>
      <w:pPr>
        <w:pStyle w:val="Heading2"/>
        <w:spacing w:after="120" w:before="200"/>
      </w:pPr>
      <w:r>
        <w:t xml:space="preserve">Contributions</w:t>
      </w:r>
    </w:p>
    <w:p>
      <w:pPr>
        <w:spacing w:after="160"/>
        <w:jc w:val="both"/>
      </w:pPr>
      <w:r>
        <w:t xml:space="preserve">Practically, the research offers guidance for translation agencies, educational institutions, and individual practitioners on which competences to prioritise, particularly the meta competence of adaptability, and highlights the importance of social capital and teamwork, an area supported by Symvoulakis et al. (2022) but often overlooked in this field. Theoretically, it extends Bourdieu's Capital Theory, developed in a Western context, into the Chinese language services industry, and introduces a novel, integrated competence framework that connects personal attributes, human capital, social capital, and adaptability to perceived employability, an area previously under explored through a capital lens and, per Kiraly (2013), rarely combining qualitative and quantitative competence research together. Methodologically, it contributes a mixed methods design that combines qualitative interviews with a quantitative survey supported by more thorough reliability and validity reporting than is typical in prior translation studies research, which Han, Lu, and Zhang (2023) argue has often applied statistical methods only at a basic level.</w:t>
      </w:r>
    </w:p>
    <w:p>
      <w:pPr>
        <w:pStyle w:val="Heading2"/>
        <w:spacing w:after="120" w:before="200"/>
      </w:pPr>
      <w:r>
        <w:t xml:space="preserve">Reflection Questions for Students</w:t>
      </w:r>
    </w:p>
    <w:p>
      <w:pPr>
        <w:pStyle w:val="Heading3"/>
        <w:spacing w:after="80" w:before="100"/>
      </w:pPr>
      <w:r>
        <w:t xml:space="preserve">Simple questions</w:t>
      </w:r>
    </w:p>
    <w:p>
      <w:pPr>
        <w:pStyle w:val="ListParagraph"/>
        <w:numPr>
          <w:ilvl w:val="0"/>
          <w:numId w:val="1"/>
        </w:numPr>
        <w:spacing w:after="80"/>
      </w:pPr>
      <w:r>
        <w:t xml:space="preserve">What are the four capital and competence constructs examined as predictors of Perceived Employability?</w:t>
      </w:r>
    </w:p>
    <w:p>
      <w:pPr>
        <w:pStyle w:val="ListParagraph"/>
        <w:numPr>
          <w:ilvl w:val="0"/>
          <w:numId w:val="1"/>
        </w:numPr>
        <w:spacing w:after="80"/>
      </w:pPr>
      <w:r>
        <w:t xml:space="preserve">Which construct was not a significant predictor of Perceived Employability, and what explanation does the researcher offer for this?</w:t>
      </w:r>
    </w:p>
    <w:p>
      <w:pPr>
        <w:pStyle w:val="ListParagraph"/>
        <w:numPr>
          <w:ilvl w:val="0"/>
          <w:numId w:val="1"/>
        </w:numPr>
        <w:spacing w:after="80"/>
      </w:pPr>
      <w:r>
        <w:t xml:space="preserve">Why did the researcher reduce the original item pool from more items down to 22 items across five factors?</w:t>
      </w:r>
    </w:p>
    <w:p>
      <w:pPr>
        <w:pStyle w:val="Heading3"/>
        <w:spacing w:after="80" w:before="160"/>
      </w:pPr>
      <w:r>
        <w:t xml:space="preserve">Thought provoking questions</w:t>
      </w:r>
    </w:p>
    <w:p>
      <w:pPr>
        <w:pStyle w:val="ListParagraph"/>
        <w:numPr>
          <w:ilvl w:val="0"/>
          <w:numId w:val="1"/>
        </w:numPr>
        <w:spacing w:after="80"/>
      </w:pPr>
      <w:r>
        <w:t xml:space="preserve">Psychological Capital was not a significant predictor of Perceived Employability, even though the literature review suggested it should matter. The researcher suggests this may be because language practitioners rely heavily on professional skill rather than personality. Can you think of an alternative explanation, something about how Psychological Capital was measured, or about who responded to the survey, that could also explain this null result?</w:t>
      </w:r>
    </w:p>
    <w:p>
      <w:pPr>
        <w:pStyle w:val="ListParagraph"/>
        <w:numPr>
          <w:ilvl w:val="0"/>
          <w:numId w:val="1"/>
        </w:numPr>
        <w:spacing w:after="80"/>
      </w:pPr>
      <w:r>
        <w:t xml:space="preserve">This thesis studies a single profession, language practitioners, in a single country, China, at a moment when AI is disrupting that profession specifically. How much of the competence framework do you think would transfer to a different profession facing AI disruption, and how much is likely specific to language work?</w:t>
      </w:r>
    </w:p>
    <w:p>
      <w:pPr>
        <w:pStyle w:val="ListParagraph"/>
        <w:numPr>
          <w:ilvl w:val="0"/>
          <w:numId w:val="1"/>
        </w:numPr>
        <w:spacing w:after="80"/>
      </w:pPr>
      <w:r>
        <w:t xml:space="preserve">The study is framed around whether AI threatens language practitioners' employability, yet Adaptability, not any AI specific skill, emerges as the most important factor. What does this suggest about the difference between the threat a technology poses and the competence needed to respond to it?</w:t>
      </w:r>
    </w:p>
    <w:p>
      <w:r>
        <w:br w:type="page"/>
      </w:r>
    </w:p>
    <w:p>
      <w:pPr>
        <w:pStyle w:val="Heading1"/>
        <w:spacing w:after="200" w:before="200"/>
      </w:pPr>
      <w:r>
        <w:t xml:space="preserve">7. Jones Fonchin. Conversational AI Agents Within the Organisation, Adoption Enablers and Barriers in Telecommunications</w:t>
      </w:r>
    </w:p>
    <w:p>
      <w:pPr>
        <w:pStyle w:val="Heading2"/>
        <w:spacing w:after="120" w:before="200"/>
      </w:pPr>
      <w:r>
        <w:t xml:space="preserve">Research Aim</w:t>
      </w:r>
    </w:p>
    <w:p>
      <w:pPr>
        <w:spacing w:after="160"/>
        <w:jc w:val="both"/>
      </w:pPr>
      <w:r>
        <w:t xml:space="preserve">The current study aims to conduct a critical evaluation and analysis of Conversational AI agents (CAs) within the organisation and their implications for employees, using a case study of a major telecommunications company, referred to as GT.</w:t>
      </w:r>
    </w:p>
    <w:p>
      <w:pPr>
        <w:pStyle w:val="Heading2"/>
        <w:spacing w:after="120" w:before="200"/>
      </w:pPr>
      <w:r>
        <w:t xml:space="preserve">Research Questions</w:t>
      </w:r>
    </w:p>
    <w:p>
      <w:pPr>
        <w:spacing w:after="160"/>
        <w:jc w:val="both"/>
      </w:pPr>
      <w:r>
        <w:t xml:space="preserve">1. How do telecommunication employees construct meanings around their interactions with conversational AI?</w:t>
      </w:r>
    </w:p>
    <w:p>
      <w:pPr>
        <w:spacing w:after="160"/>
        <w:jc w:val="both"/>
      </w:pPr>
      <w:r>
        <w:t xml:space="preserve">2. In what ways does the organisational context of a telecommunications company shape the development and implementation of conversational AI?</w:t>
      </w:r>
    </w:p>
    <w:p>
      <w:pPr>
        <w:spacing w:after="160"/>
        <w:jc w:val="both"/>
      </w:pPr>
      <w:r>
        <w:t xml:space="preserve">3. How do the perceptions of conversational AI evolve as users engage with the technology?</w:t>
      </w:r>
    </w:p>
    <w:p>
      <w:pPr>
        <w:spacing w:after="160"/>
        <w:jc w:val="both"/>
      </w:pPr>
      <w:r>
        <w:t xml:space="preserve">4. How do chatbot design features shape the development and implementation of CAs?</w:t>
      </w:r>
    </w:p>
    <w:p>
      <w:pPr>
        <w:pStyle w:val="Heading2"/>
        <w:spacing w:after="120" w:before="200"/>
      </w:pPr>
      <w:r>
        <w:t xml:space="preserve">Research Objectives</w:t>
      </w:r>
    </w:p>
    <w:p>
      <w:pPr>
        <w:spacing w:after="160"/>
        <w:jc w:val="both"/>
      </w:pPr>
      <w:r>
        <w:t xml:space="preserve">1. To review extant literature related to artificial intelligence, CAs, and service failure in the telecommunications industry.</w:t>
      </w:r>
    </w:p>
    <w:p>
      <w:pPr>
        <w:spacing w:after="160"/>
        <w:jc w:val="both"/>
      </w:pPr>
      <w:r>
        <w:t xml:space="preserve">2. To evaluate the organisational and employee level impacts of CA adoption on productivity, decision making, and workforce dynamics within GT.</w:t>
      </w:r>
    </w:p>
    <w:p>
      <w:pPr>
        <w:spacing w:after="160"/>
        <w:jc w:val="both"/>
      </w:pPr>
      <w:r>
        <w:t xml:space="preserve">3. To identify and critically assess the factors influencing the adoption of CAs within the organisation.</w:t>
      </w:r>
    </w:p>
    <w:p>
      <w:pPr>
        <w:spacing w:after="160"/>
        <w:jc w:val="both"/>
      </w:pPr>
      <w:r>
        <w:t xml:space="preserve">4. To formulate recommendations for the development and application of CAs in industry and practice.</w:t>
      </w:r>
    </w:p>
    <w:p>
      <w:pPr>
        <w:pStyle w:val="Heading2"/>
        <w:spacing w:after="120" w:before="200"/>
      </w:pPr>
      <w:r>
        <w:t xml:space="preserve">Research Problem</w:t>
      </w:r>
    </w:p>
    <w:p>
      <w:pPr>
        <w:spacing w:after="160"/>
        <w:jc w:val="both"/>
      </w:pPr>
      <w:r>
        <w:t xml:space="preserve">Organisations are increasingly adopting CAs to gain competitive advantage, yet many CA initiatives encounter setbacks, with Vuori et al. (2026) reporting estimated failure rates as high as 80 per cent. Fountaine et al. (2019) found that only 8 per cent of businesses engaged in core practices supporting AI adoption, arguing that organisational culture, not technology, is the key enabler, a point echoed by Makarius et al. (2020), who identify implementation failures stemming from insufficient attention to the employees who must work alongside the technology. Enholm et al. (2022) similarly found that a lack of coherent understanding of how AI delivers business value acts as a barrier, and identified technological, organisational, and environmental enablers and inhibitors of adoption. Prior research has focused predominantly on external, customer facing CA environments (Ozuem et al., 2025b; Chen et al., 2023a; Crolic et al., 2022) rather than internal, employee facing adoption, leaving the gap this study addresses.</w:t>
      </w:r>
    </w:p>
    <w:p>
      <w:pPr>
        <w:pStyle w:val="Heading2"/>
        <w:spacing w:after="120" w:before="200"/>
      </w:pPr>
      <w:r>
        <w:t xml:space="preserve">Theories and Concepts</w:t>
      </w:r>
    </w:p>
    <w:p>
      <w:pPr>
        <w:spacing w:after="160"/>
        <w:jc w:val="both"/>
      </w:pPr>
      <w:r>
        <w:t xml:space="preserve">The study draws on two theoretical foundations: Resource Based Theory (RBT, Barney, 1991), which frames CAs as strategic organisational resources that must be combined with complementary capabilities to generate value, and Frustration Aggression (FA) theory (Dollard et al., 1939), used to explain the emotional dynamics that arise when employees' goals are blocked by CA related organisational or technological barriers. These are integrated into an emerging conceptual model, referred to as the CBM, which extends and unifies existing partial adoption models from Davenport and Ronanki (2018), Fountaine et al. (2019), and Makarius et al. (2020).</w:t>
      </w:r>
    </w:p>
    <w:p>
      <w:pPr>
        <w:pStyle w:val="Heading2"/>
        <w:spacing w:after="120" w:before="200"/>
      </w:pPr>
      <w:r>
        <w:t xml:space="preserve">Paradigm</w:t>
      </w:r>
    </w:p>
    <w:p>
      <w:pPr>
        <w:spacing w:after="160"/>
        <w:jc w:val="both"/>
      </w:pPr>
      <w:r>
        <w:t xml:space="preserve">The study adopts a social constructivism paradigm, following Guba and Lincoln (1994), on the grounds that CA adoption is a socially constructed phenomenon rather than an objective one waiting to be discovered, drawing also on Crotty's (1998) account of knowledge as constructed through human practices and interactions. The axiological discussion draws on Denzin and Lincoln (2018) and Pretorius (2024), and this paradigm supports the study's qualitative, case study design and its use of thematic analysis.</w:t>
      </w:r>
    </w:p>
    <w:p>
      <w:pPr>
        <w:pStyle w:val="Heading2"/>
        <w:spacing w:after="120" w:before="200"/>
      </w:pPr>
      <w:r>
        <w:t xml:space="preserve">Data Analysis</w:t>
      </w:r>
    </w:p>
    <w:p>
      <w:pPr>
        <w:spacing w:after="160"/>
        <w:jc w:val="both"/>
      </w:pPr>
      <w:r>
        <w:t xml:space="preserve">This thesis is entirely qualitative. It uses a single organisational case study of GT Group, based on semi structured interviews with senior managers and employees, document analysis, and Braun and Clarke's (2006) thematic analysis, with no statistical tests performed.</w:t>
      </w:r>
    </w:p>
    <w:p>
      <w:pPr>
        <w:pStyle w:val="Heading2"/>
        <w:spacing w:after="120" w:before="200"/>
      </w:pPr>
      <w:r>
        <w:t xml:space="preserve">Main Findings</w:t>
      </w:r>
    </w:p>
    <w:p>
      <w:pPr>
        <w:spacing w:after="160"/>
        <w:jc w:val="both"/>
      </w:pPr>
      <w:r>
        <w:t xml:space="preserve">Employees construct the meaning of CAs through an ongoing sense making process shaped by their roles and daily use cases, with interpretations that are fluid rather than fixed, generally conceptualising CAs as augmented, interactive systems supporting routine tasks. Organisational context, comprising human capabilities, organisational structures, technological factors, and outcomes, was found to be the primary enabler of successful CA adoption, interacting iteratively over time within GT's multi layered governance structure. Users' perceptions were found to shift from initial scepticism and fear towards acceptance and trust as they gained experience with CAs and observed productivity gains, consistent with Lou and Wu's (2021) work on AI skills and expertise. Chatbot design features, including natural language capability, interface simplicity, multilingual support, and transparency, were found to be critical to successful adoption and to building user trust.</w:t>
      </w:r>
    </w:p>
    <w:p>
      <w:pPr>
        <w:pStyle w:val="Heading2"/>
        <w:spacing w:after="120" w:before="200"/>
      </w:pPr>
      <w:r>
        <w:t xml:space="preserve">Contributions</w:t>
      </w:r>
    </w:p>
    <w:p>
      <w:pPr>
        <w:spacing w:after="160"/>
        <w:jc w:val="both"/>
      </w:pPr>
      <w:r>
        <w:t xml:space="preserve">Theoretically, the study advances the CBM, integrating and extending Davenport and Ronanki's (2018) typology of process automation, cognitive insight, and cognitive engagement, Fountaine et al.'s (2019) enterprise scalability perspective, and Makarius et al.'s (2020) human AI augmentation focus, reframing CA adoption as a non linear, socio-technical process rather than a stage based progression. It extends RBT (Barney, 1991) by showing that usability and interaction, an area Mikalef and Gupta (2021) overlook, function as strategic resource drivers, and it extends FA theory (Dollard et al., 1939) by identifying new, non psychological sources of frustration, such as poor data quality and fragmented systems, that produce organisational rather than purely emotional consequences. The study also contributes to the literature on trust in AI systems, challenging the consensus of Vuori et al. (2026) and Glikson and Woolley (2020) that trust invariably produces positive CA outcomes, by revealing a dual nature of trust in which over reliance can undermine as well as enable adoption. It reframes automation and augmentation, treated as distinct pathways by Raisch and Krakowski (2021) and Van den Broek et al. (2021), as organisationally led design pathways shaped by socio-technical factors rather than purely technical choices.</w:t>
      </w:r>
    </w:p>
    <w:p>
      <w:pPr>
        <w:pStyle w:val="Heading2"/>
        <w:spacing w:after="120" w:before="200"/>
      </w:pPr>
      <w:r>
        <w:t xml:space="preserve">Reflection Questions for Students</w:t>
      </w:r>
    </w:p>
    <w:p>
      <w:pPr>
        <w:pStyle w:val="Heading3"/>
        <w:spacing w:after="80" w:before="100"/>
      </w:pPr>
      <w:r>
        <w:t xml:space="preserve">Simple questions</w:t>
      </w:r>
    </w:p>
    <w:p>
      <w:pPr>
        <w:pStyle w:val="ListParagraph"/>
        <w:numPr>
          <w:ilvl w:val="0"/>
          <w:numId w:val="1"/>
        </w:numPr>
        <w:spacing w:after="80"/>
      </w:pPr>
      <w:r>
        <w:t xml:space="preserve">Which two theories underpin this study's conceptual model, and what does each theory explain?</w:t>
      </w:r>
    </w:p>
    <w:p>
      <w:pPr>
        <w:pStyle w:val="ListParagraph"/>
        <w:numPr>
          <w:ilvl w:val="0"/>
          <w:numId w:val="1"/>
        </w:numPr>
        <w:spacing w:after="80"/>
      </w:pPr>
      <w:r>
        <w:t xml:space="preserve">Name the four research questions and say which is most directly about the technology's design rather than the organisation.</w:t>
      </w:r>
    </w:p>
    <w:p>
      <w:pPr>
        <w:pStyle w:val="ListParagraph"/>
        <w:numPr>
          <w:ilvl w:val="0"/>
          <w:numId w:val="1"/>
        </w:numPr>
        <w:spacing w:after="80"/>
      </w:pPr>
      <w:r>
        <w:t xml:space="preserve">Why is thematic analysis, rather than a statistical test, the appropriate tool for this data?</w:t>
      </w:r>
    </w:p>
    <w:p>
      <w:pPr>
        <w:pStyle w:val="Heading3"/>
        <w:spacing w:after="80" w:before="160"/>
      </w:pPr>
      <w:r>
        <w:t xml:space="preserve">Thought provoking questions</w:t>
      </w:r>
    </w:p>
    <w:p>
      <w:pPr>
        <w:pStyle w:val="ListParagraph"/>
        <w:numPr>
          <w:ilvl w:val="0"/>
          <w:numId w:val="1"/>
        </w:numPr>
        <w:spacing w:after="80"/>
      </w:pPr>
      <w:r>
        <w:t xml:space="preserve">The researcher is an employee of GT, the organisation studied, and describes personally observing the productivity gains that participants also reported. What specific steps did the study take to manage this insider position, and do you think those steps are sufficient given how directly the researcher's own daily experience overlaps with the phenomenon being studied?</w:t>
      </w:r>
    </w:p>
    <w:p>
      <w:pPr>
        <w:pStyle w:val="ListParagraph"/>
        <w:numPr>
          <w:ilvl w:val="0"/>
          <w:numId w:val="1"/>
        </w:numPr>
        <w:spacing w:after="80"/>
      </w:pPr>
      <w:r>
        <w:t xml:space="preserve">The study finds a dual nature of trust, where growing trust in CAs can lead to over reliance and reduced critical thinking. If you were a senior manager reading this finding, how would you design a training programme that builds employees' trust in a new CA system while trying to avoid this over reliance risk?</w:t>
      </w:r>
    </w:p>
    <w:p>
      <w:pPr>
        <w:pStyle w:val="ListParagraph"/>
        <w:numPr>
          <w:ilvl w:val="0"/>
          <w:numId w:val="1"/>
        </w:numPr>
        <w:spacing w:after="80"/>
      </w:pPr>
      <w:r>
        <w:t xml:space="preserve">This is a single case study of one telecommunications company in the UK. The CBM model is presented as a general contribution to CA adoption theory. What features of GT's specific context, its regulatory environment, its scale, its existing digital maturity, might limit how far this model travels to other organisations or industries?</w:t>
      </w:r>
    </w:p>
    <w:p>
      <w:r>
        <w:br w:type="page"/>
      </w:r>
    </w:p>
    <w:p>
      <w:pPr>
        <w:pStyle w:val="Heading1"/>
        <w:spacing w:after="200" w:before="200"/>
      </w:pPr>
      <w:r>
        <w:t xml:space="preserve">8. Caroline Jawad. Responsible Gambling, Life Histories of Problem Gamblers and an Evaluation of Responsible Gambling Features</w:t>
      </w:r>
    </w:p>
    <w:p>
      <w:pPr>
        <w:pStyle w:val="Heading2"/>
        <w:spacing w:after="120" w:before="200"/>
      </w:pPr>
      <w:r>
        <w:t xml:space="preserve">Research Aim</w:t>
      </w:r>
    </w:p>
    <w:p>
      <w:pPr>
        <w:spacing w:after="160"/>
        <w:jc w:val="both"/>
      </w:pPr>
      <w:r>
        <w:t xml:space="preserve">This thesis aims to evaluate critically the extent to which responsible gambling is possible in relation to the interests of society and gamblers themselves, examining in particular the efficacy of Responsible Gambling Features (RGFs) in the online environment.</w:t>
      </w:r>
    </w:p>
    <w:p>
      <w:pPr>
        <w:pStyle w:val="Heading2"/>
        <w:spacing w:after="120" w:before="200"/>
      </w:pPr>
      <w:r>
        <w:t xml:space="preserve">Research Questions</w:t>
      </w:r>
    </w:p>
    <w:p>
      <w:pPr>
        <w:spacing w:after="160"/>
        <w:jc w:val="both"/>
      </w:pPr>
      <w:r>
        <w:t xml:space="preserve">The research is framed around a central concern with responsible gambling and RGF efficacy, operationalised through the three objectives below, which structure the thesis's qualitative and quantitative phases.</w:t>
      </w:r>
    </w:p>
    <w:p>
      <w:pPr>
        <w:pStyle w:val="Heading2"/>
        <w:spacing w:after="120" w:before="200"/>
      </w:pPr>
      <w:r>
        <w:t xml:space="preserve">Research Objectives</w:t>
      </w:r>
    </w:p>
    <w:p>
      <w:pPr>
        <w:spacing w:after="160"/>
        <w:jc w:val="both"/>
      </w:pPr>
      <w:r>
        <w:t xml:space="preserve">1. To explore what problem gamblers say about their gambling life stories.</w:t>
      </w:r>
    </w:p>
    <w:p>
      <w:pPr>
        <w:spacing w:after="160"/>
        <w:jc w:val="both"/>
      </w:pPr>
      <w:r>
        <w:t xml:space="preserve">2. To explore what problem gamblers consider might have prevented them from experiencing gambling harms.</w:t>
      </w:r>
    </w:p>
    <w:p>
      <w:pPr>
        <w:spacing w:after="160"/>
        <w:jc w:val="both"/>
      </w:pPr>
      <w:r>
        <w:t xml:space="preserve">3. To analyse the opinions of stakeholders towards the efficacy of RGFs.</w:t>
      </w:r>
    </w:p>
    <w:p>
      <w:pPr>
        <w:pStyle w:val="Heading2"/>
        <w:spacing w:after="120" w:before="200"/>
      </w:pPr>
      <w:r>
        <w:t xml:space="preserve">Research Problem</w:t>
      </w:r>
    </w:p>
    <w:p>
      <w:pPr>
        <w:spacing w:after="160"/>
        <w:jc w:val="both"/>
      </w:pPr>
      <w:r>
        <w:t xml:space="preserve">Online gambling carries the heaviest concentration of high risk features associated with problem gambling, including twenty four hour, multi location, continuous access and credit card play, and Hancock (2011) links its growth to a rise in online problem gambling, calling for regulators to use RGFs more proactively and for the Gambling Act 2005 to be amended. Smith and Rubenstein (2011) note that responsible gambling was, historically, more a matter of accident than planning, comprising largely self regulation and voluntary codes of practice, and that despite modest progress, there is currently insufficient published research to design a suitable response to gambling harms, a gap this thesis intends to fill in part.</w:t>
      </w:r>
    </w:p>
    <w:p>
      <w:pPr>
        <w:pStyle w:val="Heading2"/>
        <w:spacing w:after="120" w:before="200"/>
      </w:pPr>
      <w:r>
        <w:t xml:space="preserve">Theories and Concepts</w:t>
      </w:r>
    </w:p>
    <w:p>
      <w:pPr>
        <w:spacing w:after="160"/>
        <w:jc w:val="both"/>
      </w:pPr>
      <w:r>
        <w:t xml:space="preserve">The thesis draws on several theoretical strands: the Reno Model (2005), a strategic framework for minimising problem gambling harms while allowing safe gambling, which the thesis also critiques, drawing on Smith (2009) and Schellinck and Schrans (2005), for being too narrow and highly dependent on assumptions the thesis questions; Freeman's (1984) stakeholder theory, used to frame the responsibilities of operators, regulators, gamblers, and other groups; and a theoretical framework combining Corporate Social Responsibility theory, applied to the organisation, sociological theory, applied to the individual, and political theory, applied to government. Narrative Theory, drawing on Ellis and Bochner (2000) and Burr (2003), is used specifically to analyse the qualitative group interview data.</w:t>
      </w:r>
    </w:p>
    <w:p>
      <w:pPr>
        <w:pStyle w:val="Heading2"/>
        <w:spacing w:after="120" w:before="200"/>
      </w:pPr>
      <w:r>
        <w:t xml:space="preserve">Paradigm</w:t>
      </w:r>
    </w:p>
    <w:p>
      <w:pPr>
        <w:spacing w:after="160"/>
        <w:jc w:val="both"/>
      </w:pPr>
      <w:r>
        <w:t xml:space="preserve">The thesis adopts a pragmatic, mixed methods paradigm, following Burke Johnson et al. (2007), chosen because the study needed both to give voice to problem gamblers' own life stories through Narrative Theory and to produce a statistically defensible comparison of stakeholder opinions on RGFs. Pragmatism is described, following Tashakkori and Teddlie (2003), as accepting a dynamic, action based view of reality in which the value of knowledge is judged by its usefulness, and Patton (2002) and Johnson et al. (2007) are drawn on for the argument that pragmatism offers a powerful third paradigm choice providing informative and balanced research results, while Bryman (2008) is cited on the compensatory benefits of mixing methods.</w:t>
      </w:r>
    </w:p>
    <w:p>
      <w:pPr>
        <w:pStyle w:val="Heading2"/>
        <w:spacing w:after="120" w:before="200"/>
      </w:pPr>
      <w:r>
        <w:t xml:space="preserve">Data Analysis</w:t>
      </w:r>
    </w:p>
    <w:p>
      <w:pPr>
        <w:spacing w:after="160"/>
        <w:jc w:val="both"/>
      </w:pPr>
      <w:r>
        <w:t xml:space="preserve">The quantitative strand, based on 650 online questionnaire responses split across gamblers, academics and counsellors, operators, and others, used descriptive statistics, including percentages, means, medians, and modes, computed from Likert scale ratings of 38 RGFs, to rank the ten most effective features separately for gamblers and for academics and counsellors. An independent samples t test, run in SPSS following Pallant (2013), compared the two main stakeholder groups' overall ratings, reporting group means, standard deviations, standard error, t value, significance, and an effect size interpreted using Cohen's (1988) benchmarks. No regression, ANOVA, chi square test, correlation analysis, or factor analysis was used. The qualitative strand, comprising a group interview with problem gamblers and open ended survey comments, was analysed using Narrative Theory and a Grounded Theory inspired approach to open ended comments.</w:t>
      </w:r>
    </w:p>
    <w:p>
      <w:pPr>
        <w:spacing w:after="160"/>
        <w:jc w:val="both"/>
      </w:pPr>
      <w:r>
        <w:t xml:space="preserve">Additional analyses the quantitative chapter could have included: Beyond the independent samples t test comparing gamblers and academics/counsellors, several further analyses could have strengthened the quantitative strand of this thesis. A one way ANOVA across all four stakeholder groups (gamblers, academics/counsellors, operators, and others) could have been run instead of, or alongside, the two group t test, since the survey collected responses from all four groups. This would have allowed a single omnibus test of whether mean ratings of RGF effectiveness differed across all stakeholders at once, with post hoc tests (such as Tukey or Games-Howell, depending on whether variances were equal) identifying exactly which pairs of groups differed. A chi square test of independence could have been applied to the categorical responsibility data (individual versus government) broken down by stakeholder group, rather than relying on the descriptive percentage table alone, which would have given a formal statistical test of whether the observed association between stakeholder type and attributed responsibility was statistically significant, rather than left as a descriptive pattern. Correlation analysis could have been used to examine whether ratings of individual RGFs clustered together, which might have suggested an underlying factor structure, for example a distinction between informational features, such as time and money limit displays, and structural features, such as self exclusion, which could have led naturally into an exploratory factor analysis of the 38 RGF items, reducing them to a smaller number of underlying dimensions rather than treating each of the 38 features as independent. Reliability analysis, Cronbach's alpha, could have been reported for the RGF rating scale as a whole, or for any such underlying dimensions, to demonstrate the internal consistency of the measure before drawing conclusions from it. A regression analysis could have modelled RGF effectiveness ratings as a function of respondent characteristics, stakeholder type, gambling frequency, whether the respondent identified as a problem gambler, which would have allowed the relative influence of each characteristic to be assessed simultaneously rather than through a single pairwise comparison. None of these analyses appear in the thesis as written; the quantitative chapter relies on descriptive statistics and a single independent samples t test.</w:t>
      </w:r>
    </w:p>
    <w:p>
      <w:pPr>
        <w:pStyle w:val="Heading2"/>
        <w:spacing w:after="120" w:before="200"/>
      </w:pPr>
      <w:r>
        <w:t xml:space="preserve">Main Findings</w:t>
      </w:r>
    </w:p>
    <w:p>
      <w:pPr>
        <w:spacing w:after="160"/>
        <w:jc w:val="both"/>
      </w:pPr>
      <w:r>
        <w:t xml:space="preserve">The group interview with problem gamblers revealed that the concept of responsible gambling itself is unclear, that problem gambling is a complex, diverse issue that seriously affects families as well as gamblers, and that there was no consensus on responsible gambling behaviour or a uniform pattern of help seeking. The quantitative comparison of stakeholder groups found a statistically significant difference between academics and counsellors and gamblers in their ratings of RGF effectiveness, with academics and counsellors rating RGFs as more effective overall. Analysis of open ended comments found that the large majority of academics, counsellors, and gamblers, between 69 and 86 per cent, attributed responsibility for problem gambling to government, in clear contrast to the majority of operators, who attributed responsibility to the individual, a divergence the thesis situates within Volberg (2002) and Blaszczynski et al.'s (2004, 2011) discussion of the balance between gambler and operator responsibility.</w:t>
      </w:r>
    </w:p>
    <w:p>
      <w:pPr>
        <w:pStyle w:val="Heading2"/>
        <w:spacing w:after="120" w:before="200"/>
      </w:pPr>
      <w:r>
        <w:t xml:space="preserve">Contributions</w:t>
      </w:r>
    </w:p>
    <w:p>
      <w:pPr>
        <w:spacing w:after="160"/>
        <w:jc w:val="both"/>
      </w:pPr>
      <w:r>
        <w:t xml:space="preserve">The thesis contributes an original theoretical framework combining Corporate Social Responsibility theory, sociological theory, and political theory, which it argues has not been applied together in this way before, mapped respectively onto the organisation, the individual, and the government. It is enriched by rich, first hand qualitative data from problem gamblers' own life stories, a perspective Smith and Rubenstein (2011) suggest is frequently missing from responsible gambling research, and by engagement across multiple stakeholder groups, including operators, academics, counsellors, and gamblers, allowing their differing views on responsibility to be directly compared. The thesis further offers eighteen specific recommendations for government, industry, and future research, including calls, informed by comparison with the Netherlands and Canada, for problem gambling to be treated as a public health concern, and for an independent review of gambling liberalisation.</w:t>
      </w:r>
    </w:p>
    <w:p>
      <w:pPr>
        <w:pStyle w:val="Heading2"/>
        <w:spacing w:after="120" w:before="200"/>
      </w:pPr>
      <w:r>
        <w:t xml:space="preserve">Reflection Questions for Students</w:t>
      </w:r>
    </w:p>
    <w:p>
      <w:pPr>
        <w:pStyle w:val="Heading3"/>
        <w:spacing w:after="80" w:before="100"/>
      </w:pPr>
      <w:r>
        <w:t xml:space="preserve">Simple questions</w:t>
      </w:r>
    </w:p>
    <w:p>
      <w:pPr>
        <w:pStyle w:val="ListParagraph"/>
        <w:numPr>
          <w:ilvl w:val="0"/>
          <w:numId w:val="1"/>
        </w:numPr>
        <w:spacing w:after="80"/>
      </w:pPr>
      <w:r>
        <w:t xml:space="preserve">How many stakeholder groups completed the online questionnaire, and which two groups were compared in the independent samples t test?</w:t>
      </w:r>
    </w:p>
    <w:p>
      <w:pPr>
        <w:pStyle w:val="ListParagraph"/>
        <w:numPr>
          <w:ilvl w:val="0"/>
          <w:numId w:val="1"/>
        </w:numPr>
        <w:spacing w:after="80"/>
      </w:pPr>
      <w:r>
        <w:t xml:space="preserve">What percentage of gamblers attributed responsibility for problem gambling to government rather than the individual?</w:t>
      </w:r>
    </w:p>
    <w:p>
      <w:pPr>
        <w:pStyle w:val="ListParagraph"/>
        <w:numPr>
          <w:ilvl w:val="0"/>
          <w:numId w:val="1"/>
        </w:numPr>
        <w:spacing w:after="80"/>
      </w:pPr>
      <w:r>
        <w:t xml:space="preserve">Which statistical test would you use to compare RGF ratings across all four stakeholder groups at once, rather than just two?</w:t>
      </w:r>
    </w:p>
    <w:p>
      <w:pPr>
        <w:pStyle w:val="Heading3"/>
        <w:spacing w:after="80" w:before="160"/>
      </w:pPr>
      <w:r>
        <w:t xml:space="preserve">Thought provoking questions</w:t>
      </w:r>
    </w:p>
    <w:p>
      <w:pPr>
        <w:pStyle w:val="ListParagraph"/>
        <w:numPr>
          <w:ilvl w:val="0"/>
          <w:numId w:val="1"/>
        </w:numPr>
        <w:spacing w:after="80"/>
      </w:pPr>
      <w:r>
        <w:t xml:space="preserve">Operators overwhelmingly attributed responsibility for problem gambling to the individual, while gamblers, academics, and counsellors overwhelmingly attributed it to government. Whose account would you weight more heavily in policy, and on what basis, direct experience, professional expertise, or the fact that operators have a financial stake in the answer?</w:t>
      </w:r>
    </w:p>
    <w:p>
      <w:pPr>
        <w:pStyle w:val="ListParagraph"/>
        <w:numPr>
          <w:ilvl w:val="0"/>
          <w:numId w:val="1"/>
        </w:numPr>
        <w:spacing w:after="80"/>
      </w:pPr>
      <w:r>
        <w:t xml:space="preserve">The thesis relies on descriptive statistics and one t test rather than the fuller battery of tests it could have used, such as ANOVA across all four groups, chi square on the responsibility data, or factor analysis of the 38 RGF items. What would each additional test have added to the argument, and do you think the thesis's conclusions would have changed, or simply been more robustly supported?</w:t>
      </w:r>
    </w:p>
    <w:p>
      <w:pPr>
        <w:pStyle w:val="ListParagraph"/>
        <w:numPr>
          <w:ilvl w:val="0"/>
          <w:numId w:val="1"/>
        </w:numPr>
        <w:spacing w:after="80"/>
      </w:pPr>
      <w:r>
        <w:t xml:space="preserve">The group interview participants, all identifying as reformed problem gamblers, said nothing would have prevented their gambling problem developing, while the wider online survey respondents rated many RGFs as potentially useful. How do you reconcile these two, seemingly contradictory, findings from the same thesis?</w:t>
      </w:r>
    </w:p>
    <w:p>
      <w:r>
        <w:br w:type="page"/>
      </w:r>
    </w:p>
    <w:p>
      <w:pPr>
        <w:pStyle w:val="Heading1"/>
        <w:spacing w:after="200" w:before="200"/>
      </w:pPr>
      <w:r>
        <w:t xml:space="preserve">9. Kenuo Chen. Chinese Lawyers and the Meaning of Pro Bono Legal Practice</w:t>
      </w:r>
    </w:p>
    <w:p>
      <w:pPr>
        <w:pStyle w:val="Heading2"/>
        <w:spacing w:after="120" w:before="200"/>
      </w:pPr>
      <w:r>
        <w:t xml:space="preserve">Research Aim</w:t>
      </w:r>
    </w:p>
    <w:p>
      <w:pPr>
        <w:spacing w:after="160"/>
        <w:jc w:val="both"/>
      </w:pPr>
      <w:r>
        <w:t xml:space="preserve">This study aims to critically examine how Chinese lawyers understand, interpret, and experience pro bono within the broader socio-political, cultural, organisational, and institutional environment of contemporary Chinese legal practice.</w:t>
      </w:r>
    </w:p>
    <w:p>
      <w:pPr>
        <w:pStyle w:val="Heading2"/>
        <w:spacing w:after="120" w:before="200"/>
      </w:pPr>
      <w:r>
        <w:t xml:space="preserve">Research Questions</w:t>
      </w:r>
    </w:p>
    <w:p>
      <w:pPr>
        <w:spacing w:after="160"/>
        <w:jc w:val="both"/>
      </w:pPr>
      <w:r>
        <w:t xml:space="preserve">1. How do Chinese lawyers construct and interpret the meaning of pro bono within everyday professional practice?</w:t>
      </w:r>
    </w:p>
    <w:p>
      <w:pPr>
        <w:spacing w:after="160"/>
        <w:jc w:val="both"/>
      </w:pPr>
      <w:r>
        <w:t xml:space="preserve">2. How do lawyers interpret intrinsic motivations, moral commitments, and personal values in relation to pro bono engagement?</w:t>
      </w:r>
    </w:p>
    <w:p>
      <w:pPr>
        <w:spacing w:after="160"/>
        <w:jc w:val="both"/>
      </w:pPr>
      <w:r>
        <w:t xml:space="preserve">3. How do lawyers perceive and negotiate institutional regulation and political expectations within their experiences of pro bono practice?</w:t>
      </w:r>
    </w:p>
    <w:p>
      <w:pPr>
        <w:spacing w:after="160"/>
        <w:jc w:val="both"/>
      </w:pPr>
      <w:r>
        <w:t xml:space="preserve">4. How do lawyers perceive and negotiate broader socio-cultural norms and professional pressures within their experiences of pro bono practice?</w:t>
      </w:r>
    </w:p>
    <w:p>
      <w:pPr>
        <w:pStyle w:val="Heading2"/>
        <w:spacing w:after="120" w:before="200"/>
      </w:pPr>
      <w:r>
        <w:t xml:space="preserve">Research Objectives</w:t>
      </w:r>
    </w:p>
    <w:p>
      <w:pPr>
        <w:spacing w:after="160"/>
        <w:jc w:val="both"/>
      </w:pPr>
      <w:r>
        <w:t xml:space="preserve">1. To explore how Chinese lawyers interpret and construct the meaning of pro bono within professional practice.</w:t>
      </w:r>
    </w:p>
    <w:p>
      <w:pPr>
        <w:spacing w:after="160"/>
        <w:jc w:val="both"/>
      </w:pPr>
      <w:r>
        <w:t xml:space="preserve">2. To examine how intrinsic motivations, moral reasoning, and personal values influence lawyers' engagement in pro bono legal service.</w:t>
      </w:r>
    </w:p>
    <w:p>
      <w:pPr>
        <w:spacing w:after="160"/>
        <w:jc w:val="both"/>
      </w:pPr>
      <w:r>
        <w:t xml:space="preserve">3. To analyse how lawyers perceive, interpret, and negotiate institutional, political, and professional influences on their participation in pro bono.</w:t>
      </w:r>
    </w:p>
    <w:p>
      <w:pPr>
        <w:spacing w:after="160"/>
        <w:jc w:val="both"/>
      </w:pPr>
      <w:r>
        <w:t xml:space="preserve">4. To investigate how broader socio-cultural norms, value systems, and contextual conditions shape lawyers' attitudes towards and experiences of pro bono.</w:t>
      </w:r>
    </w:p>
    <w:p>
      <w:pPr>
        <w:pStyle w:val="Heading2"/>
        <w:spacing w:after="120" w:before="200"/>
      </w:pPr>
      <w:r>
        <w:t xml:space="preserve">Research Problem</w:t>
      </w:r>
    </w:p>
    <w:p>
      <w:pPr>
        <w:spacing w:after="160"/>
        <w:jc w:val="both"/>
      </w:pPr>
      <w:r>
        <w:t xml:space="preserve">Existing research on pro bono in China remains limited in scope and analytical depth, dominated by macro level institutional and policy oriented perspectives, exemplified by Dong (2022), Fu (2020), and Cummings, de Sousa e Silva, and Trubek (2022), that treat lawyers primarily as subjects situated within institutional systems rather than as active interpreters of their own professional practice. Existing empirical work is also methodologically narrow, often descriptive, and geographically concentrated, with Dong's (2016) research focused primarily on lawyers practising in Shanghai, restricting the extent to which findings account for regional variation. Institutional theory, following Scott (1995), has been widely applied to explain how organisational and regulatory environments shape professional behaviour (Granfield, 2007), but its application within the Chinese legal context remains underdeveloped, and altruism theory, frequently used to explain pro bono participation in common law jurisdictions (Bowie, 1988; Freidson, 2001; Abbott, 2014), remains comparatively under explored within Chinese scholarship.</w:t>
      </w:r>
    </w:p>
    <w:p>
      <w:pPr>
        <w:pStyle w:val="Heading2"/>
        <w:spacing w:after="120" w:before="200"/>
      </w:pPr>
      <w:r>
        <w:t xml:space="preserve">Theories and Concepts</w:t>
      </w:r>
    </w:p>
    <w:p>
      <w:pPr>
        <w:spacing w:after="160"/>
        <w:jc w:val="both"/>
      </w:pPr>
      <w:r>
        <w:t xml:space="preserve">Institutional theory, drawing on Scott (1995), highlights how regulative, normative, and cultural cognitive expectations shape organisational and professional practices, with research on pro bono and the legal profession demonstrating the importance of professional norms and organisational environments (Granfield, 2007; Kay and Granfield, 2023). Altruism theory draws on Menkel-Meadow (1992) and Batson (2010), and the professional responsibility literature engages with Rhode (2005) and Sossin's (2008) work on access to justice and public interest. Rather than treating these as fixed, independent explanations, the study develops a phenomenological model in which institutional and motivational factors acquire meaning only through lawyers' lived, interpretive engagement with them.</w:t>
      </w:r>
    </w:p>
    <w:p>
      <w:pPr>
        <w:pStyle w:val="Heading2"/>
        <w:spacing w:after="120" w:before="200"/>
      </w:pPr>
      <w:r>
        <w:t xml:space="preserve">Paradigm</w:t>
      </w:r>
    </w:p>
    <w:p>
      <w:pPr>
        <w:spacing w:after="160"/>
        <w:jc w:val="both"/>
      </w:pPr>
      <w:r>
        <w:t xml:space="preserve">Interpretivism is justified through Alharahsheh and Pius (2020) and Myers (2019), who argue that social reality differs fundamentally from the natural world because individuals actively interpret their experiences, and through Bryman's (2016) and Crotty's (2020) accounts of knowledge as generated through interaction between researcher and participant. The relativist ontology draws on Guba and Lincoln (1994) and Pring (2010), and the double hermeneutic principle central to Interpretative Phenomenological Analysis is drawn from Smith, Flowers, and Larkin (2021).</w:t>
      </w:r>
    </w:p>
    <w:p>
      <w:pPr>
        <w:pStyle w:val="Heading2"/>
        <w:spacing w:after="120" w:before="200"/>
      </w:pPr>
      <w:r>
        <w:t xml:space="preserve">Data Analysis</w:t>
      </w:r>
    </w:p>
    <w:p>
      <w:pPr>
        <w:spacing w:after="160"/>
        <w:jc w:val="both"/>
      </w:pPr>
      <w:r>
        <w:t xml:space="preserve">This thesis is entirely qualitative. It uses in depth semi structured interviews with twelve practising lawyers across mainland China, analysed through Interpretative Phenomenological Analysis as set out by Smith, Flowers, and Larkin (2009), with each participant's account examined individually before patterns of convergence and divergence were explored across the group. No statistical tests of any kind are performed.</w:t>
      </w:r>
    </w:p>
    <w:p>
      <w:pPr>
        <w:pStyle w:val="Heading2"/>
        <w:spacing w:after="120" w:before="200"/>
      </w:pPr>
      <w:r>
        <w:t xml:space="preserve">Main Findings</w:t>
      </w:r>
    </w:p>
    <w:p>
      <w:pPr>
        <w:spacing w:after="160"/>
        <w:jc w:val="both"/>
      </w:pPr>
      <w:r>
        <w:t xml:space="preserve">The analysis generated four interconnected Group Experiential Themes. Pro Bono as a Moral Anchor in an Increasingly Commercialised Profession captured how participation enabled lawyers to revisit professional aspirations and reconstruct professional identity. Intrinsic Motivations and Moral Fulfilment in Pro Bono highlighted empathy, relational purpose, and professional fulfilment beyond material reward. Navigating Institutional Structures and Political Realities showed how institutional context shaped the legitimacy, boundaries, and sustainability of pro bono work. Cultural Values and Moral Understandings in Pro Bono showed how culturally embedded understandings of moral responsibility shaped lawyers' engagement. Overall, pro bono was found to function less as a fixed behavioural outcome and more as an experiential context within which lawyers continually reflect on and reconstruct what it means to be a lawyer.</w:t>
      </w:r>
    </w:p>
    <w:p>
      <w:pPr>
        <w:pStyle w:val="Heading2"/>
        <w:spacing w:after="120" w:before="200"/>
      </w:pPr>
      <w:r>
        <w:t xml:space="preserve">Contributions</w:t>
      </w:r>
    </w:p>
    <w:p>
      <w:pPr>
        <w:spacing w:after="160"/>
        <w:jc w:val="both"/>
      </w:pPr>
      <w:r>
        <w:t xml:space="preserve">The study repositions pro bono conceptually, from an activity lawyers undertake to an experiential context through which professional meaning is developed, extending the motivation based accounts of altruism found in Menkel-Meadow (1992) and Batson (2010) with a temporal and experiential dimension. It contributes an experiential qualification to institutional theory (Scott, 1995), showing that institutional conditions become meaningful only through how individual lawyers encounter and interpret them, rather than through their existence as abstract structures alone, extending Granfield's (2007) and Kay and Granfield's (2023) work on institutional influence. It also shows that commercial and public interest orientations in legal practice, discussed by Rhode (2005) and, in the Chinese context, by Cheng (2021) and Liu and Stern (2021), are negotiated and experienced rather than simply opposing forces, and it contextualises professional meaning making within the distinctive institutional, market, and socio-cultural conditions of the Chinese legal profession described by Dong (2022), Fu (2020), and Liu and Halliday (2016), avoiding both universalist and deterministic explanations.</w:t>
      </w:r>
    </w:p>
    <w:p>
      <w:pPr>
        <w:pStyle w:val="Heading2"/>
        <w:spacing w:after="120" w:before="200"/>
      </w:pPr>
      <w:r>
        <w:t xml:space="preserve">Reflection Questions for Students</w:t>
      </w:r>
    </w:p>
    <w:p>
      <w:pPr>
        <w:pStyle w:val="Heading3"/>
        <w:spacing w:after="80" w:before="100"/>
      </w:pPr>
      <w:r>
        <w:t xml:space="preserve">Simple questions</w:t>
      </w:r>
    </w:p>
    <w:p>
      <w:pPr>
        <w:pStyle w:val="ListParagraph"/>
        <w:numPr>
          <w:ilvl w:val="0"/>
          <w:numId w:val="1"/>
        </w:numPr>
        <w:spacing w:after="80"/>
      </w:pPr>
      <w:r>
        <w:t xml:space="preserve">How many lawyers were interviewed for this study, and what analytical method was used on the transcripts?</w:t>
      </w:r>
    </w:p>
    <w:p>
      <w:pPr>
        <w:pStyle w:val="ListParagraph"/>
        <w:numPr>
          <w:ilvl w:val="0"/>
          <w:numId w:val="1"/>
        </w:numPr>
        <w:spacing w:after="80"/>
      </w:pPr>
      <w:r>
        <w:t xml:space="preserve">Name the four Group Experiential Themes that emerged from the analysis.</w:t>
      </w:r>
    </w:p>
    <w:p>
      <w:pPr>
        <w:pStyle w:val="ListParagraph"/>
        <w:numPr>
          <w:ilvl w:val="0"/>
          <w:numId w:val="1"/>
        </w:numPr>
        <w:spacing w:after="80"/>
      </w:pPr>
      <w:r>
        <w:t xml:space="preserve">Which two theories, previously applied mainly separately, does the study bring into dialogue with each other?</w:t>
      </w:r>
    </w:p>
    <w:p>
      <w:pPr>
        <w:pStyle w:val="Heading3"/>
        <w:spacing w:after="80" w:before="160"/>
      </w:pPr>
      <w:r>
        <w:t xml:space="preserve">Thought provoking questions</w:t>
      </w:r>
    </w:p>
    <w:p>
      <w:pPr>
        <w:pStyle w:val="ListParagraph"/>
        <w:numPr>
          <w:ilvl w:val="0"/>
          <w:numId w:val="1"/>
        </w:numPr>
        <w:spacing w:after="80"/>
      </w:pPr>
      <w:r>
        <w:t xml:space="preserve">The researcher was previously a practising lawyer in China who had personally participated in pro bono work. IPA treats the researcher's interpretation as inseparable from the participant's own sense making, the double hermeneutic. Is this closeness an advantage, allowing richer, more informed interpretation, a risk, of projecting the researcher's own experience onto participants, or genuinely both at once?</w:t>
      </w:r>
    </w:p>
    <w:p>
      <w:pPr>
        <w:pStyle w:val="ListParagraph"/>
        <w:numPr>
          <w:ilvl w:val="0"/>
          <w:numId w:val="1"/>
        </w:numPr>
        <w:spacing w:after="80"/>
      </w:pPr>
      <w:r>
        <w:t xml:space="preserve">The thesis argues that pro bono is best understood as an experiential context for meaning making rather than a behaviour with fixed causes. What would this reframing mean in practice for a law firm trying to decide whether, and how, to encourage more pro bono work among its lawyers?</w:t>
      </w:r>
    </w:p>
    <w:p>
      <w:pPr>
        <w:pStyle w:val="ListParagraph"/>
        <w:numPr>
          <w:ilvl w:val="0"/>
          <w:numId w:val="1"/>
        </w:numPr>
        <w:spacing w:after="80"/>
      </w:pPr>
      <w:r>
        <w:t xml:space="preserve">With only twelve interviews, all from mainland China, how confident can we be that these four themes would also describe the experience of, for example, lawyers in Hong Kong, or lawyers in a common law jurisdiction with a very different professional culture? What kind of further research would help answer that?</w:t>
      </w:r>
    </w:p>
    <w:p>
      <w:r>
        <w:br w:type="page"/>
      </w:r>
    </w:p>
    <w:p>
      <w:pPr>
        <w:pStyle w:val="Heading1"/>
        <w:spacing w:after="200" w:before="200"/>
      </w:pPr>
      <w:r>
        <w:t xml:space="preserve">10. Jing Wang. The Evaluation and Application of a Tourism Destination Competitiveness Model to Sichuan Tianfu Famous Tourism Counties</w:t>
      </w:r>
    </w:p>
    <w:p>
      <w:pPr>
        <w:pStyle w:val="Heading2"/>
        <w:spacing w:after="120" w:before="200"/>
      </w:pPr>
      <w:r>
        <w:t xml:space="preserve">Research Aim</w:t>
      </w:r>
    </w:p>
    <w:p>
      <w:pPr>
        <w:spacing w:after="160"/>
        <w:jc w:val="both"/>
      </w:pPr>
      <w:r>
        <w:t xml:space="preserve">This research aims to develop a new Tourism Destination Competitiveness (TDC) model from the tourists' perspective, focusing specifically on county level tourism destinations represented by the Tianfu Famous Tourism Counties within Sichuan province, China.</w:t>
      </w:r>
    </w:p>
    <w:p>
      <w:pPr>
        <w:pStyle w:val="Heading2"/>
        <w:spacing w:after="120" w:before="200"/>
      </w:pPr>
      <w:r>
        <w:t xml:space="preserve">Research Questions</w:t>
      </w:r>
    </w:p>
    <w:p>
      <w:pPr>
        <w:spacing w:after="160"/>
        <w:jc w:val="both"/>
      </w:pPr>
      <w:r>
        <w:t xml:space="preserve">1. What are the important factors contributing to the competitiveness of the county level tourism destinations represented by the Tianfu Famous Tourism Counties in Sichuan province, China?</w:t>
      </w:r>
    </w:p>
    <w:p>
      <w:pPr>
        <w:spacing w:after="160"/>
        <w:jc w:val="both"/>
      </w:pPr>
      <w:r>
        <w:t xml:space="preserve">2. What are the important factors contributing to the competitiveness of county level tourism destinations from the tourists' perspective?</w:t>
      </w:r>
    </w:p>
    <w:p>
      <w:pPr>
        <w:spacing w:after="160"/>
        <w:jc w:val="both"/>
      </w:pPr>
      <w:r>
        <w:t xml:space="preserve">3. What is the relative importance of different factors from the tourists' perspective?</w:t>
      </w:r>
    </w:p>
    <w:p>
      <w:pPr>
        <w:spacing w:after="160"/>
        <w:jc w:val="both"/>
      </w:pPr>
      <w:r>
        <w:t xml:space="preserve">4. Do different tourist groups differ in the importance of factors influencing their perceived competitiveness?</w:t>
      </w:r>
    </w:p>
    <w:p>
      <w:pPr>
        <w:pStyle w:val="Heading2"/>
        <w:spacing w:after="120" w:before="200"/>
      </w:pPr>
      <w:r>
        <w:t xml:space="preserve">Research Objectives</w:t>
      </w:r>
    </w:p>
    <w:p>
      <w:pPr>
        <w:spacing w:after="160"/>
        <w:jc w:val="both"/>
      </w:pPr>
      <w:r>
        <w:t xml:space="preserve">1. Critique some existing representative TDC models to explore their strengths and weaknesses.</w:t>
      </w:r>
    </w:p>
    <w:p>
      <w:pPr>
        <w:spacing w:after="160"/>
        <w:jc w:val="both"/>
      </w:pPr>
      <w:r>
        <w:t xml:space="preserve">2. Develop a new TDC model tailored to Sichuan Tianfu Famous Tourism Counties.</w:t>
      </w:r>
    </w:p>
    <w:p>
      <w:pPr>
        <w:spacing w:after="160"/>
        <w:jc w:val="both"/>
      </w:pPr>
      <w:r>
        <w:t xml:space="preserve">3. Evaluate how appropriate these factors are perceived by a defined sample of tourists to the area.</w:t>
      </w:r>
    </w:p>
    <w:p>
      <w:pPr>
        <w:spacing w:after="160"/>
        <w:jc w:val="both"/>
      </w:pPr>
      <w:r>
        <w:t xml:space="preserve">4. Make practical recommendations for government and industry practitioners to maximise the TDC of Sichuan province.</w:t>
      </w:r>
    </w:p>
    <w:p>
      <w:pPr>
        <w:pStyle w:val="Heading2"/>
        <w:spacing w:after="120" w:before="200"/>
      </w:pPr>
      <w:r>
        <w:t xml:space="preserve">Research Problem</w:t>
      </w:r>
    </w:p>
    <w:p>
      <w:pPr>
        <w:spacing w:after="160"/>
        <w:jc w:val="both"/>
      </w:pPr>
      <w:r>
        <w:t xml:space="preserve">Abreu-Novais, Ruhanen, and Arcodia (2016) note that although many TDC determinants share common expressions, labels, and organisation across existing models, there is widespread acknowledgement (Goffi and Cucculelli, 2019; Tleuberdinova, Salauatova, and Pratt, 2022; Xia et al., 2024) that no universal, one size fits all framework applies to all destinations at all times. Most empirical TDC research has focused on the macro level, on countries or large regions in Europe (Goffi, Cucculelli, and Del Chiappa, 2023; Kim, Liu, and Williams, 2022; Xia et al., 2024), and predominantly from a supply side rather than a tourist perspective. Xu and Au (2023) report that mainland China accounts for only 3.5 per cent of global TDC studies despite its large tourism market, and that few, if any, studies have examined TDC at the micro, county level in China. Sichuan province, despite abundant tourism resources, does not hold a prominent position in national tourism competitiveness rankings, and this gap in both geographic scope and level of analysis motivates the present study.</w:t>
      </w:r>
    </w:p>
    <w:p>
      <w:pPr>
        <w:pStyle w:val="Heading2"/>
        <w:spacing w:after="120" w:before="200"/>
      </w:pPr>
      <w:r>
        <w:t xml:space="preserve">Theories and Concepts</w:t>
      </w:r>
    </w:p>
    <w:p>
      <w:pPr>
        <w:spacing w:after="160"/>
        <w:jc w:val="both"/>
      </w:pPr>
      <w:r>
        <w:t xml:space="preserve">The study is grounded in the established TDC modelling tradition, principally Crouch and Ritchie's (1999, 2003) Model of TDC and Dwyer and Kim's (2003) Model of TDC, the latter incorporating elements of competitive advantage theory, alongside consideration of Enright and Newton's (2004) model, which builds on Crouch and Ritchie's earlier work. Drawing on these, the study develops its own seven factor conceptual TDC model, comprising Cultural Resources, Created Resources, Infrastructure, Hospitality, Quality of Service, Human Resources, and Price Competitiveness.</w:t>
      </w:r>
    </w:p>
    <w:p>
      <w:pPr>
        <w:pStyle w:val="Heading2"/>
        <w:spacing w:after="120" w:before="200"/>
      </w:pPr>
      <w:r>
        <w:t xml:space="preserve">Paradigm</w:t>
      </w:r>
    </w:p>
    <w:p>
      <w:pPr>
        <w:spacing w:after="160"/>
        <w:jc w:val="both"/>
      </w:pPr>
      <w:r>
        <w:t xml:space="preserve">The study adopts a positivist paradigm, justified with reference to Gray (2021), who holds that reality exists independently of the researcher and can be understood through rigorous scientific method, and Delanty (2005) and Healy and Perry (2000), who note that positivism is best served by survey and mathematical analysis tools. The deductive, theory testing rationale is drawn from Saunders, Lewis, and Thornhill (2019) and Johnson and Onwuegbuzie's (2004) characterisation of traditional quantitative research as focused on deduction, hypothesis testing, and statistical analysis, and Bhattacherjee (2012) is cited for the value of positivism in large scale social research.</w:t>
      </w:r>
    </w:p>
    <w:p>
      <w:pPr>
        <w:pStyle w:val="Heading2"/>
        <w:spacing w:after="120" w:before="200"/>
      </w:pPr>
      <w:r>
        <w:t xml:space="preserve">Data Analysis</w:t>
      </w:r>
    </w:p>
    <w:p>
      <w:pPr>
        <w:spacing w:after="160"/>
        <w:jc w:val="both"/>
      </w:pPr>
      <w:r>
        <w:t xml:space="preserve">Using a sample of 481 valid questionnaires, the study conducted descriptive statistics and normality checks via the Kolmogorov Smirnov test, following Razali and Wah (2011) and Mishra et al. (2019), alongside skewness and kurtosis interpreted against Byrne's (2010) thresholds. Reliability was assessed through Cronbach's alpha, Corrected Item Total Correlation, and Cronbach's alpha if item deleted, computed in SPSS 26 and interpreted against Nunnally's (1978) and Daud et al.'s (2018) benchmarks. Exploratory Factor Analysis used Kaiser Meyer Olkin and Bartlett's test of sphericity for suitability following Tabachnick, Fidell, and Ullman (2013), Principal Component Analysis for extraction guided by Churchill's (1979) iterative scale purification procedure, and Varimax rotation, using Kaiser's (1960) eigenvalue criterion and Cattell's (1966) scree test, yielding a seven factor, twenty three item solution. Confirmatory Factor Analysis in AMOS 24 assessed model fit through chi square over degrees of freedom, CFI, IFI, GFI, AGFI, RMSEA, and SRMR, following the thresholds of Hu and Bentler (1999) and Schermelleh-Engel, Moosbrugger, and Müller (2003), and assessed convergent validity through significance of factor loadings, Average Variance Extracted, and Composite Reliability following Fornell and Larcker (1981), and discriminant validity through both the Fornell Larcker criterion and the Heterotrait Monotrait ratio following Henseler, Ringle, and Sarstedt (2015). Factor scores were calculated to rank the relative importance of each factor. Independent samples t tests, preceded by Levene's test for equality of variance, examined differences by gender, and one way ANOVA, supplemented by the Welch (1951) test where the equal variance assumption was violated, examined differences by age group, with post hoc Least Significant Difference (Fisher, 1935) and Tamhane T2 tests used to locate specific group differences.</w:t>
      </w:r>
    </w:p>
    <w:p>
      <w:pPr>
        <w:pStyle w:val="Heading2"/>
        <w:spacing w:after="120" w:before="200"/>
      </w:pPr>
      <w:r>
        <w:t xml:space="preserve">Main Findings</w:t>
      </w:r>
    </w:p>
    <w:p>
      <w:pPr>
        <w:spacing w:after="160"/>
        <w:jc w:val="both"/>
      </w:pPr>
      <w:r>
        <w:t xml:space="preserve">Seven factors were identified as important to tourists: Cultural Resources, Created Resources, Infrastructure, Hospitality, Quality of Service, Human Resources, and Price Competitiveness, with two further factors, Local Food and Crowded Tourists, emerging from open ended responses but not captured in the original conceptual model, the latter aligning with the concept of Tourism Capacity discussed by Crouch and Ritchie (1999) and Ritchie and Crouch (2003). Some factors identified by tourists differed from those typically emphasised in supply side TDC studies. Quality of Service and Human Resources were rated as the two most important factors overall, a finding that runs counter to the traditional resource based view of destination competitiveness. Female tourists rated Cultural Resources, Infrastructure, and Price Competitiveness as significantly more important than male tourists did, while ratings of Quality of Service, Human Resources, and Hospitality were consistent across genders. Tourists aged over 55 rated the importance of most factors more highly than younger age groups, particularly Hospitality and Human Resources.</w:t>
      </w:r>
    </w:p>
    <w:p>
      <w:pPr>
        <w:pStyle w:val="Heading2"/>
        <w:spacing w:after="120" w:before="200"/>
      </w:pPr>
      <w:r>
        <w:t xml:space="preserve">Contributions</w:t>
      </w:r>
    </w:p>
    <w:p>
      <w:pPr>
        <w:spacing w:after="160"/>
        <w:jc w:val="both"/>
      </w:pPr>
      <w:r>
        <w:t xml:space="preserve">Theoretically, the study is among the first empirical investigations of TDC at the county level in China, and the first to focus specifically on Tianfu Famous Tourism Counties, developing and validating a new measurement scale from the tourists' own perspective rather than the traditionally dominant supply side view associated with Crouch and Ritchie (1999) and Dwyer and Kim (2003). It contributes a more rigorous, statistically confirmed approach to establishing the relative importance of TDC factors, addressing the criticism raised by Fernández et al. (2020), Knežević Cvelbar et al. (2016), and Mendola and Volo (2017) that many studies neglect relative importance analysis or weight factors arbitrarily, and it demonstrates that tourists' perceptions differ meaningfully by demographic segment, particularly age and gender, an area Wilde (2010) notes had been largely neglected by treating tourists as a homogeneous group. Practically, the study offers Sichuan's destination governments and tourism practitioners specific, evidence based guidance on where to prioritise limited resources, including improving human centred service quality and adapting management practices for an ageing tourist market.</w:t>
      </w:r>
    </w:p>
    <w:p>
      <w:pPr>
        <w:pStyle w:val="Heading2"/>
        <w:spacing w:after="120" w:before="200"/>
      </w:pPr>
      <w:r>
        <w:t xml:space="preserve">Reflection Questions for Students</w:t>
      </w:r>
    </w:p>
    <w:p>
      <w:pPr>
        <w:pStyle w:val="Heading3"/>
        <w:spacing w:after="80" w:before="100"/>
      </w:pPr>
      <w:r>
        <w:t xml:space="preserve">Simple questions</w:t>
      </w:r>
    </w:p>
    <w:p>
      <w:pPr>
        <w:pStyle w:val="ListParagraph"/>
        <w:numPr>
          <w:ilvl w:val="0"/>
          <w:numId w:val="1"/>
        </w:numPr>
        <w:spacing w:after="80"/>
      </w:pPr>
      <w:r>
        <w:t xml:space="preserve">What are the seven factors in this study's final TDC model?</w:t>
      </w:r>
    </w:p>
    <w:p>
      <w:pPr>
        <w:pStyle w:val="ListParagraph"/>
        <w:numPr>
          <w:ilvl w:val="0"/>
          <w:numId w:val="1"/>
        </w:numPr>
        <w:spacing w:after="80"/>
      </w:pPr>
      <w:r>
        <w:t xml:space="preserve">Which two factors emerged only from the open ended survey question, and were not part of the original conceptual model?</w:t>
      </w:r>
    </w:p>
    <w:p>
      <w:pPr>
        <w:pStyle w:val="ListParagraph"/>
        <w:numPr>
          <w:ilvl w:val="0"/>
          <w:numId w:val="1"/>
        </w:numPr>
        <w:spacing w:after="80"/>
      </w:pPr>
      <w:r>
        <w:t xml:space="preserve">Which two demographic variables were tested for differences in factor importance, and which statistical tests were used for each?</w:t>
      </w:r>
    </w:p>
    <w:p>
      <w:pPr>
        <w:pStyle w:val="Heading3"/>
        <w:spacing w:after="80" w:before="160"/>
      </w:pPr>
      <w:r>
        <w:t xml:space="preserve">Thought provoking questions</w:t>
      </w:r>
    </w:p>
    <w:p>
      <w:pPr>
        <w:pStyle w:val="ListParagraph"/>
        <w:numPr>
          <w:ilvl w:val="0"/>
          <w:numId w:val="1"/>
        </w:numPr>
        <w:spacing w:after="80"/>
      </w:pPr>
      <w:r>
        <w:t xml:space="preserve">The study found that Quality of Service and Human Resources, not natural or cultural resources, were rated most important by tourists, a finding the thesis says runs counter to the traditional resource based view. If you were a Sichuan tourism official reading only the resource based literature, what decision might you make that this thesis's findings suggest could be a mistake?</w:t>
      </w:r>
    </w:p>
    <w:p>
      <w:pPr>
        <w:pStyle w:val="ListParagraph"/>
        <w:numPr>
          <w:ilvl w:val="0"/>
          <w:numId w:val="1"/>
        </w:numPr>
        <w:spacing w:after="80"/>
      </w:pPr>
      <w:r>
        <w:t xml:space="preserve">Two new factors, Local Food and Crowded Tourists, emerged from a single open ended question rather than from the structured, literature derived model. What does this suggest about the limits of building a quantitative model entirely from prior literature, however extensive, before collecting any local, exploratory data?</w:t>
      </w:r>
    </w:p>
    <w:p>
      <w:pPr>
        <w:pStyle w:val="ListParagraph"/>
        <w:numPr>
          <w:ilvl w:val="0"/>
          <w:numId w:val="1"/>
        </w:numPr>
        <w:spacing w:after="80"/>
      </w:pPr>
      <w:r>
        <w:t xml:space="preserve">The researcher describes a strong personal connection to Sichuan province as part of the motivation for this research. From a positivist standpoint, which claims researcher neutrality is important, how should a reader weigh that personal connection against the study's claim to objective, generalisable measurement?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updateFields/>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2026-09-20T11:06:14.570Z</dcterms:created>
  <dcterms:modified xsi:type="dcterms:W3CDTF">2026-09-20T11:06:14.578Z</dcterms:modified>
</cp:coreProperties>
</file>

<file path=docProps/custom.xml><?xml version="1.0" encoding="utf-8"?>
<Properties xmlns="http://schemas.openxmlformats.org/officeDocument/2006/custom-properties" xmlns:vt="http://schemas.openxmlformats.org/officeDocument/2006/docPropsVTypes"/>
</file>