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B06A73D" wp14:paraId="2E32835B" wp14:textId="511CF104">
      <w:pPr>
        <w:spacing w:line="360" w:lineRule="auto"/>
        <w:jc w:val="center"/>
        <w:rPr>
          <w:rFonts w:ascii="Times New Roman" w:hAnsi="Times New Roman" w:eastAsia="Times New Roman" w:cs="Times New Roman"/>
          <w:noProof w:val="0"/>
          <w:color w:val="000000" w:themeColor="text1" w:themeTint="FF" w:themeShade="FF"/>
          <w:sz w:val="24"/>
          <w:szCs w:val="24"/>
          <w:lang w:val="en-GB"/>
        </w:rPr>
      </w:pPr>
      <w:r w:rsidRPr="0B06A73D" w:rsidR="25C39E17">
        <w:rPr>
          <w:rFonts w:ascii="Times New Roman" w:hAnsi="Times New Roman" w:eastAsia="Times New Roman" w:cs="Times New Roman"/>
          <w:b w:val="1"/>
          <w:bCs w:val="1"/>
          <w:noProof w:val="0"/>
          <w:color w:val="000000" w:themeColor="text1" w:themeTint="FF" w:themeShade="FF"/>
          <w:sz w:val="24"/>
          <w:szCs w:val="24"/>
          <w:lang w:val="en-GB"/>
        </w:rPr>
        <w:t>BMOE7014 Reflective paper</w:t>
      </w:r>
    </w:p>
    <w:p xmlns:wp14="http://schemas.microsoft.com/office/word/2010/wordml" w:rsidP="0B06A73D" wp14:paraId="3D39F1DB" wp14:textId="4680C9AC">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xmlns:wp14="http://schemas.microsoft.com/office/word/2010/wordml" w:rsidP="0B06A73D" wp14:paraId="7FD67214" wp14:textId="6C82C348">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2EAEBD0E">
        <w:rPr>
          <w:rFonts w:ascii="Times New Roman" w:hAnsi="Times New Roman" w:eastAsia="Times New Roman" w:cs="Times New Roman"/>
          <w:noProof w:val="0"/>
          <w:color w:val="000000" w:themeColor="text1" w:themeTint="FF" w:themeShade="FF"/>
          <w:sz w:val="24"/>
          <w:szCs w:val="24"/>
          <w:lang w:val="en-GB"/>
        </w:rPr>
        <w:t xml:space="preserve">Reflective practice is widely recognised as a fundamental process within both academic and professional contexts, enabling individuals to critically evaluate </w:t>
      </w:r>
      <w:r w:rsidRPr="0B06A73D" w:rsidR="28B28B83">
        <w:rPr>
          <w:rFonts w:ascii="Times New Roman" w:hAnsi="Times New Roman" w:eastAsia="Times New Roman" w:cs="Times New Roman"/>
          <w:noProof w:val="0"/>
          <w:color w:val="000000" w:themeColor="text1" w:themeTint="FF" w:themeShade="FF"/>
          <w:sz w:val="24"/>
          <w:szCs w:val="24"/>
          <w:lang w:val="en-GB"/>
        </w:rPr>
        <w:t xml:space="preserve">experiences, </w:t>
      </w:r>
      <w:r w:rsidRPr="0B06A73D" w:rsidR="28B28B83">
        <w:rPr>
          <w:rFonts w:ascii="Times New Roman" w:hAnsi="Times New Roman" w:eastAsia="Times New Roman" w:cs="Times New Roman"/>
          <w:noProof w:val="0"/>
          <w:color w:val="000000" w:themeColor="text1" w:themeTint="FF" w:themeShade="FF"/>
          <w:sz w:val="24"/>
          <w:szCs w:val="24"/>
          <w:lang w:val="en-GB"/>
        </w:rPr>
        <w:t>identify strengths</w:t>
      </w:r>
      <w:r w:rsidRPr="0B06A73D" w:rsidR="2EAEBD0E">
        <w:rPr>
          <w:rFonts w:ascii="Times New Roman" w:hAnsi="Times New Roman" w:eastAsia="Times New Roman" w:cs="Times New Roman"/>
          <w:noProof w:val="0"/>
          <w:color w:val="000000" w:themeColor="text1" w:themeTint="FF" w:themeShade="FF"/>
          <w:sz w:val="24"/>
          <w:szCs w:val="24"/>
          <w:lang w:val="en-GB"/>
        </w:rPr>
        <w:t xml:space="preserve"> and limitations, and apply learning to inform future practice (Harvey et al., 2025).</w:t>
      </w:r>
      <w:r w:rsidRPr="0B06A73D" w:rsidR="355F82F9">
        <w:rPr>
          <w:rFonts w:ascii="Times New Roman" w:hAnsi="Times New Roman" w:eastAsia="Times New Roman" w:cs="Times New Roman"/>
          <w:noProof w:val="0"/>
          <w:color w:val="000000" w:themeColor="text1" w:themeTint="FF" w:themeShade="FF"/>
          <w:sz w:val="24"/>
          <w:szCs w:val="24"/>
          <w:lang w:val="en-GB"/>
        </w:rPr>
        <w:t xml:space="preserve"> Rather than merely describing events, effective reflection requires deeper engagement with the underlying processes, including consideration of why decisions were made, how outcomes were influenced, and what can be improved in future situations (</w:t>
      </w:r>
      <w:r w:rsidRPr="0B06A73D" w:rsidR="355F82F9">
        <w:rPr>
          <w:rFonts w:ascii="Times New Roman" w:hAnsi="Times New Roman" w:eastAsia="Times New Roman" w:cs="Times New Roman"/>
          <w:noProof w:val="0"/>
          <w:color w:val="000000" w:themeColor="text1" w:themeTint="FF" w:themeShade="FF"/>
          <w:sz w:val="24"/>
          <w:szCs w:val="24"/>
          <w:lang w:val="en-GB"/>
        </w:rPr>
        <w:t>Machost</w:t>
      </w:r>
      <w:r w:rsidRPr="0B06A73D" w:rsidR="355F82F9">
        <w:rPr>
          <w:rFonts w:ascii="Times New Roman" w:hAnsi="Times New Roman" w:eastAsia="Times New Roman" w:cs="Times New Roman"/>
          <w:noProof w:val="0"/>
          <w:color w:val="000000" w:themeColor="text1" w:themeTint="FF" w:themeShade="FF"/>
          <w:sz w:val="24"/>
          <w:szCs w:val="24"/>
          <w:lang w:val="en-GB"/>
        </w:rPr>
        <w:t xml:space="preserve"> and Stains, 2023). Within research and applied practice, structured reflective models are often employed to guide this process and ensure a systematic and critical approach (Orsini, Soto-</w:t>
      </w:r>
      <w:r w:rsidRPr="0B06A73D" w:rsidR="355F82F9">
        <w:rPr>
          <w:rFonts w:ascii="Times New Roman" w:hAnsi="Times New Roman" w:eastAsia="Times New Roman" w:cs="Times New Roman"/>
          <w:noProof w:val="0"/>
          <w:color w:val="000000" w:themeColor="text1" w:themeTint="FF" w:themeShade="FF"/>
          <w:sz w:val="24"/>
          <w:szCs w:val="24"/>
          <w:lang w:val="en-GB"/>
        </w:rPr>
        <w:t>Faúndez</w:t>
      </w:r>
      <w:r w:rsidRPr="0B06A73D" w:rsidR="355F82F9">
        <w:rPr>
          <w:rFonts w:ascii="Times New Roman" w:hAnsi="Times New Roman" w:eastAsia="Times New Roman" w:cs="Times New Roman"/>
          <w:noProof w:val="0"/>
          <w:color w:val="000000" w:themeColor="text1" w:themeTint="FF" w:themeShade="FF"/>
          <w:sz w:val="24"/>
          <w:szCs w:val="24"/>
          <w:lang w:val="en-GB"/>
        </w:rPr>
        <w:t xml:space="preserve"> and Taha, 2026).</w:t>
      </w:r>
    </w:p>
    <w:p xmlns:wp14="http://schemas.microsoft.com/office/word/2010/wordml" w:rsidP="0B06A73D" wp14:paraId="272E1DFF" wp14:textId="45C63255">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25C39E17">
        <w:rPr>
          <w:rFonts w:ascii="Times New Roman" w:hAnsi="Times New Roman" w:eastAsia="Times New Roman" w:cs="Times New Roman"/>
          <w:noProof w:val="0"/>
          <w:color w:val="000000" w:themeColor="text1" w:themeTint="FF" w:themeShade="FF"/>
          <w:sz w:val="24"/>
          <w:szCs w:val="24"/>
          <w:lang w:val="en-GB"/>
        </w:rPr>
        <w:t xml:space="preserve">Kolb’s Experiential Learning Cycle (Kolb, 2015) is one of the most established frameworks, conceptualising learning as a cyclical process consisting of four stages: concrete experience, reflective observation, abstract conceptualisation, and active experimentation. This model is particularly valuable in highlighting the relationship between experience and learning, emphasising how knowledge is constructed through reflection and application (Haritha and Rao, 2024). It has been widely used within health, education, and sport contexts due to its focus on experiential learning (Ghorbel et al., 2025; Taneja, Kiran and Bose, 2022). However, despite its strengths, Kolb’s model has been criticised for its limited attention to the emotional dimension of reflection and its tendency to present reflection as a linear, rational process, potentially overlooking the complexity of individual experiences (Dillard, Sisco and Collins, 2024; Matsuo and Nagata, 2026). As such, while it is effective for understanding learning processes, it may not provide sufficient depth for critically evaluating </w:t>
      </w:r>
      <w:r w:rsidRPr="0B06A73D" w:rsidR="25C39E17">
        <w:rPr>
          <w:rFonts w:ascii="Times New Roman" w:hAnsi="Times New Roman" w:eastAsia="Times New Roman" w:cs="Times New Roman"/>
          <w:noProof w:val="0"/>
          <w:color w:val="000000" w:themeColor="text1" w:themeTint="FF" w:themeShade="FF"/>
          <w:sz w:val="24"/>
          <w:szCs w:val="24"/>
          <w:lang w:val="en-GB"/>
        </w:rPr>
        <w:t>personal experiences</w:t>
      </w:r>
      <w:r w:rsidRPr="0B06A73D" w:rsidR="25C39E17">
        <w:rPr>
          <w:rFonts w:ascii="Times New Roman" w:hAnsi="Times New Roman" w:eastAsia="Times New Roman" w:cs="Times New Roman"/>
          <w:noProof w:val="0"/>
          <w:color w:val="000000" w:themeColor="text1" w:themeTint="FF" w:themeShade="FF"/>
          <w:sz w:val="24"/>
          <w:szCs w:val="24"/>
          <w:lang w:val="en-GB"/>
        </w:rPr>
        <w:t xml:space="preserve"> within research contexts.</w:t>
      </w:r>
    </w:p>
    <w:p xmlns:wp14="http://schemas.microsoft.com/office/word/2010/wordml" w:rsidP="0B06A73D" wp14:paraId="70733362" wp14:textId="2768D04F">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25C39E17">
        <w:rPr>
          <w:rFonts w:ascii="Times New Roman" w:hAnsi="Times New Roman" w:eastAsia="Times New Roman" w:cs="Times New Roman"/>
          <w:noProof w:val="0"/>
          <w:color w:val="000000" w:themeColor="text1" w:themeTint="FF" w:themeShade="FF"/>
          <w:sz w:val="24"/>
          <w:szCs w:val="24"/>
          <w:lang w:val="en-GB"/>
        </w:rPr>
        <w:t>In contrast, Gibbs’ Reflective Cycle (Gibbs, 1988) offers a more detailed and structured framework, comprising six stages: description, feelings, evaluation, analysis, conclusion, and action plan. A key strength of Gibbs’ model is its explicit inclusion of the feelings stage, which encourages individuals to consider the emotional aspects of their experience alongside cognitive evaluation (McLeod, 2025). This is particularly important in reflective research, as emotions can influence decision-making, interpretation of data, and engagement with the research process (Nurbolatova and Seidaliyeva, 2025). Furthermore, Gibbs’ model promotes deeper critical thinking by clearly distinguishing between evaluation and analysis, allowing for both identification of strengths and weaknesses and exploration of the underlying reasons behind them (Wheat, 2025). This layered approach supports more comprehensive reflection and facilitates the development of actionable insights for future practice (Zainuddin et al., 2026).</w:t>
      </w:r>
    </w:p>
    <w:p xmlns:wp14="http://schemas.microsoft.com/office/word/2010/wordml" w:rsidP="0B06A73D" wp14:paraId="6D42F2CE" wp14:textId="1A549A1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25C39E17">
        <w:rPr>
          <w:rFonts w:ascii="Times New Roman" w:hAnsi="Times New Roman" w:eastAsia="Times New Roman" w:cs="Times New Roman"/>
          <w:noProof w:val="0"/>
          <w:color w:val="000000" w:themeColor="text1" w:themeTint="FF" w:themeShade="FF"/>
          <w:sz w:val="24"/>
          <w:szCs w:val="24"/>
          <w:lang w:val="en-GB"/>
        </w:rPr>
        <w:t xml:space="preserve">Driscoll’s model (Driscoll, 2007), based on the questions “What?”, “So what?” and “Now what?”, provides a more concise and accessible approach to </w:t>
      </w:r>
      <w:r w:rsidRPr="0B06A73D" w:rsidR="1C90342B">
        <w:rPr>
          <w:rFonts w:ascii="Times New Roman" w:hAnsi="Times New Roman" w:eastAsia="Times New Roman" w:cs="Times New Roman"/>
          <w:noProof w:val="0"/>
          <w:color w:val="000000" w:themeColor="text1" w:themeTint="FF" w:themeShade="FF"/>
          <w:sz w:val="24"/>
          <w:szCs w:val="24"/>
          <w:lang w:val="en-GB"/>
        </w:rPr>
        <w:t>reflection (</w:t>
      </w:r>
      <w:r w:rsidRPr="0B06A73D" w:rsidR="25C39E17">
        <w:rPr>
          <w:rFonts w:ascii="Times New Roman" w:hAnsi="Times New Roman" w:eastAsia="Times New Roman" w:cs="Times New Roman"/>
          <w:noProof w:val="0"/>
          <w:color w:val="000000" w:themeColor="text1" w:themeTint="FF" w:themeShade="FF"/>
          <w:sz w:val="24"/>
          <w:szCs w:val="24"/>
          <w:lang w:val="en-GB"/>
        </w:rPr>
        <w:t>Thomas et al., 2022; Boud, Keogh and Walker, 1985). It is particularly useful in time-constrained environments or for developing initial reflective skills, as it simplifies the reflective process into three core stages (</w:t>
      </w:r>
      <w:r w:rsidRPr="0B06A73D" w:rsidR="25C39E17">
        <w:rPr>
          <w:rFonts w:ascii="Times New Roman" w:hAnsi="Times New Roman" w:eastAsia="Times New Roman" w:cs="Times New Roman"/>
          <w:noProof w:val="0"/>
          <w:color w:val="000000" w:themeColor="text1" w:themeTint="FF" w:themeShade="FF"/>
          <w:sz w:val="24"/>
          <w:szCs w:val="24"/>
          <w:lang w:val="en-GB"/>
        </w:rPr>
        <w:t>Polisetty,Sowmya</w:t>
      </w:r>
      <w:r w:rsidRPr="0B06A73D" w:rsidR="25C39E17">
        <w:rPr>
          <w:rFonts w:ascii="Times New Roman" w:hAnsi="Times New Roman" w:eastAsia="Times New Roman" w:cs="Times New Roman"/>
          <w:noProof w:val="0"/>
          <w:color w:val="000000" w:themeColor="text1" w:themeTint="FF" w:themeShade="FF"/>
          <w:sz w:val="24"/>
          <w:szCs w:val="24"/>
          <w:lang w:val="en-GB"/>
        </w:rPr>
        <w:t xml:space="preserve"> and Pahari, 2023). However, its simplicity can also be a limitation, as it may not encourage sufficient depth of analysis or critical engagement for complex academic tasks. In comparison to Gibbs’ framework, Driscoll’s model offers less guidance on exploring emotions, evaluating experiences in detail, and developing structured action plans.</w:t>
      </w:r>
    </w:p>
    <w:p xmlns:wp14="http://schemas.microsoft.com/office/word/2010/wordml" w:rsidP="0B06A73D" wp14:paraId="20119240" wp14:textId="4E7DF4A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25C39E17">
        <w:rPr>
          <w:rFonts w:ascii="Times New Roman" w:hAnsi="Times New Roman" w:eastAsia="Times New Roman" w:cs="Times New Roman"/>
          <w:noProof w:val="0"/>
          <w:color w:val="000000" w:themeColor="text1" w:themeTint="FF" w:themeShade="FF"/>
          <w:sz w:val="24"/>
          <w:szCs w:val="24"/>
          <w:lang w:val="en-GB"/>
        </w:rPr>
        <w:t xml:space="preserve">Given the requirements of this reflective paper, which demand critical evaluation of the research process, methodological decision-making, and personal learning, Gibbs’ Reflective Cycle was considered the most </w:t>
      </w:r>
      <w:r w:rsidRPr="0B06A73D" w:rsidR="25C39E17">
        <w:rPr>
          <w:rFonts w:ascii="Times New Roman" w:hAnsi="Times New Roman" w:eastAsia="Times New Roman" w:cs="Times New Roman"/>
          <w:noProof w:val="0"/>
          <w:color w:val="000000" w:themeColor="text1" w:themeTint="FF" w:themeShade="FF"/>
          <w:sz w:val="24"/>
          <w:szCs w:val="24"/>
          <w:lang w:val="en-GB"/>
        </w:rPr>
        <w:t>appropriate framework</w:t>
      </w:r>
      <w:r w:rsidRPr="0B06A73D" w:rsidR="25C39E17">
        <w:rPr>
          <w:rFonts w:ascii="Times New Roman" w:hAnsi="Times New Roman" w:eastAsia="Times New Roman" w:cs="Times New Roman"/>
          <w:noProof w:val="0"/>
          <w:color w:val="000000" w:themeColor="text1" w:themeTint="FF" w:themeShade="FF"/>
          <w:sz w:val="24"/>
          <w:szCs w:val="24"/>
          <w:lang w:val="en-GB"/>
        </w:rPr>
        <w:t xml:space="preserve">. Its structured yet comprehensive approach enables systematic reflection across all aspects of the research process, while also encouraging deeper critical analysis and integration of both cognitive and emotional responses. Additionally, the inclusion of an explicit action planning stage aligns with the </w:t>
      </w:r>
      <w:r w:rsidRPr="0B06A73D" w:rsidR="25C39E17">
        <w:rPr>
          <w:rFonts w:ascii="Times New Roman" w:hAnsi="Times New Roman" w:eastAsia="Times New Roman" w:cs="Times New Roman"/>
          <w:noProof w:val="0"/>
          <w:color w:val="000000" w:themeColor="text1" w:themeTint="FF" w:themeShade="FF"/>
          <w:sz w:val="24"/>
          <w:szCs w:val="24"/>
          <w:lang w:val="en-GB"/>
        </w:rPr>
        <w:t>objective</w:t>
      </w:r>
      <w:r w:rsidRPr="0B06A73D" w:rsidR="25C39E17">
        <w:rPr>
          <w:rFonts w:ascii="Times New Roman" w:hAnsi="Times New Roman" w:eastAsia="Times New Roman" w:cs="Times New Roman"/>
          <w:noProof w:val="0"/>
          <w:color w:val="000000" w:themeColor="text1" w:themeTint="FF" w:themeShade="FF"/>
          <w:sz w:val="24"/>
          <w:szCs w:val="24"/>
          <w:lang w:val="en-GB"/>
        </w:rPr>
        <w:t xml:space="preserve"> of </w:t>
      </w:r>
      <w:r w:rsidRPr="0B06A73D" w:rsidR="25C39E17">
        <w:rPr>
          <w:rFonts w:ascii="Times New Roman" w:hAnsi="Times New Roman" w:eastAsia="Times New Roman" w:cs="Times New Roman"/>
          <w:noProof w:val="0"/>
          <w:color w:val="000000" w:themeColor="text1" w:themeTint="FF" w:themeShade="FF"/>
          <w:sz w:val="24"/>
          <w:szCs w:val="24"/>
          <w:lang w:val="en-GB"/>
        </w:rPr>
        <w:t>identifying</w:t>
      </w:r>
      <w:r w:rsidRPr="0B06A73D" w:rsidR="25C39E17">
        <w:rPr>
          <w:rFonts w:ascii="Times New Roman" w:hAnsi="Times New Roman" w:eastAsia="Times New Roman" w:cs="Times New Roman"/>
          <w:noProof w:val="0"/>
          <w:color w:val="000000" w:themeColor="text1" w:themeTint="FF" w:themeShade="FF"/>
          <w:sz w:val="24"/>
          <w:szCs w:val="24"/>
          <w:lang w:val="en-GB"/>
        </w:rPr>
        <w:t xml:space="preserve"> improvements for future research and professional practice. Therefore, Gibbs’ model provides a more robust and academically rigorous framework for reflective writing compared to alternative models.</w:t>
      </w:r>
    </w:p>
    <w:p xmlns:wp14="http://schemas.microsoft.com/office/word/2010/wordml" w:rsidP="0B06A73D" wp14:paraId="25AC90CD" wp14:textId="0F379F0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25C39E17">
        <w:rPr>
          <w:rFonts w:ascii="Times New Roman" w:hAnsi="Times New Roman" w:eastAsia="Times New Roman" w:cs="Times New Roman"/>
          <w:noProof w:val="0"/>
          <w:color w:val="000000" w:themeColor="text1" w:themeTint="FF" w:themeShade="FF"/>
          <w:sz w:val="24"/>
          <w:szCs w:val="24"/>
          <w:lang w:val="en-GB"/>
        </w:rPr>
        <w:t>Gibbs’ model will therefore be applied to reflect on three key areas: the alignment of the research design with the research question, the experience of conducting the research including ethical issues and lessons learned, and the implications for my future academic and professional practice.</w:t>
      </w:r>
    </w:p>
    <w:p xmlns:wp14="http://schemas.microsoft.com/office/word/2010/wordml" w:rsidP="0B06A73D" wp14:paraId="5E5787A5" wp14:textId="05946696">
      <w:pPr>
        <w:spacing w:line="360" w:lineRule="auto"/>
      </w:pPr>
    </w:p>
    <w:p w:rsidR="0B06A73D" w:rsidP="0B06A73D" w:rsidRDefault="0B06A73D" w14:paraId="784E989E" w14:textId="569D3703">
      <w:pPr>
        <w:spacing w:line="360" w:lineRule="auto"/>
      </w:pPr>
    </w:p>
    <w:p w:rsidR="0B06A73D" w:rsidP="0B06A73D" w:rsidRDefault="0B06A73D" w14:paraId="54FD17B9" w14:textId="1A9E42DB">
      <w:pPr>
        <w:pStyle w:val="Normal"/>
        <w:spacing w:line="360" w:lineRule="auto"/>
      </w:pPr>
    </w:p>
    <w:p w:rsidR="0B06A73D" w:rsidP="0B06A73D" w:rsidRDefault="0B06A73D" w14:paraId="2B83E2EA" w14:textId="482D6FB1">
      <w:pPr>
        <w:pStyle w:val="Normal"/>
        <w:spacing w:line="360" w:lineRule="auto"/>
      </w:pPr>
    </w:p>
    <w:p w:rsidR="25C39E17" w:rsidP="0B06A73D" w:rsidRDefault="25C39E17" w14:paraId="1351254B" w14:textId="15DD0C8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25C39E17">
        <w:rPr>
          <w:rFonts w:ascii="Times New Roman" w:hAnsi="Times New Roman" w:eastAsia="Times New Roman" w:cs="Times New Roman"/>
          <w:b w:val="1"/>
          <w:bCs w:val="1"/>
          <w:noProof w:val="0"/>
          <w:color w:val="000000" w:themeColor="text1" w:themeTint="FF" w:themeShade="FF"/>
          <w:sz w:val="24"/>
          <w:szCs w:val="24"/>
          <w:lang w:val="en-GB"/>
        </w:rPr>
        <w:t>Research Design</w:t>
      </w:r>
    </w:p>
    <w:p w:rsidR="43A72149" w:rsidP="0B06A73D" w:rsidRDefault="43A72149" w14:paraId="4B806612" w14:textId="06A43362">
      <w:pPr>
        <w:pStyle w:val="Normal"/>
        <w:spacing w:before="240" w:beforeAutospacing="off" w:after="240" w:afterAutospacing="off" w:line="360" w:lineRule="auto"/>
      </w:pPr>
      <w:r w:rsidRPr="0B06A73D" w:rsidR="43A72149">
        <w:rPr>
          <w:rFonts w:ascii="Times New Roman" w:hAnsi="Times New Roman" w:eastAsia="Times New Roman" w:cs="Times New Roman"/>
          <w:noProof w:val="0"/>
          <w:color w:val="000000" w:themeColor="text1" w:themeTint="FF" w:themeShade="FF"/>
          <w:sz w:val="24"/>
          <w:szCs w:val="24"/>
          <w:lang w:val="en-GB"/>
        </w:rPr>
        <w:t>Following Gibbs’ (1988) description stage,</w:t>
      </w:r>
      <w:r w:rsidRPr="0B06A73D" w:rsidR="6B50D035">
        <w:rPr>
          <w:rFonts w:ascii="Times New Roman" w:hAnsi="Times New Roman" w:eastAsia="Times New Roman" w:cs="Times New Roman"/>
          <w:noProof w:val="0"/>
          <w:color w:val="000000" w:themeColor="text1" w:themeTint="FF" w:themeShade="FF"/>
          <w:sz w:val="24"/>
          <w:szCs w:val="24"/>
          <w:lang w:val="en-GB"/>
        </w:rPr>
        <w:t xml:space="preserve"> the study aimed to assess general and sport-specific nutrition knowledge among recreational athletes and </w:t>
      </w:r>
      <w:r w:rsidRPr="0B06A73D" w:rsidR="6B50D035">
        <w:rPr>
          <w:rFonts w:ascii="Times New Roman" w:hAnsi="Times New Roman" w:eastAsia="Times New Roman" w:cs="Times New Roman"/>
          <w:noProof w:val="0"/>
          <w:color w:val="000000" w:themeColor="text1" w:themeTint="FF" w:themeShade="FF"/>
          <w:sz w:val="24"/>
          <w:szCs w:val="24"/>
          <w:lang w:val="en-GB"/>
        </w:rPr>
        <w:t>determine</w:t>
      </w:r>
      <w:r w:rsidRPr="0B06A73D" w:rsidR="6B50D035">
        <w:rPr>
          <w:rFonts w:ascii="Times New Roman" w:hAnsi="Times New Roman" w:eastAsia="Times New Roman" w:cs="Times New Roman"/>
          <w:noProof w:val="0"/>
          <w:color w:val="000000" w:themeColor="text1" w:themeTint="FF" w:themeShade="FF"/>
          <w:sz w:val="24"/>
          <w:szCs w:val="24"/>
          <w:lang w:val="en-GB"/>
        </w:rPr>
        <w:t xml:space="preserve"> whether knowledge differed according to sex and employment within the health and fitness industry. To address this aim, a cross-sectional quantitative research design was employed using the Abridged Nutrition for Sport Knowledge Questionnaire (A-NSKQ). This approach was selected due to its practicality, efficiency, and alignment with existing research in sports nutrition. Data were collected via Microsoft Forms and distributed through social media, gyms, and sports clubs, allowing access to a relevant and physically active population. The </w:t>
      </w:r>
      <w:r w:rsidRPr="0B06A73D" w:rsidR="6B50D035">
        <w:rPr>
          <w:rFonts w:ascii="Times New Roman" w:hAnsi="Times New Roman" w:eastAsia="Times New Roman" w:cs="Times New Roman"/>
          <w:noProof w:val="0"/>
          <w:color w:val="000000" w:themeColor="text1" w:themeTint="FF" w:themeShade="FF"/>
          <w:sz w:val="24"/>
          <w:szCs w:val="24"/>
          <w:lang w:val="en-GB"/>
        </w:rPr>
        <w:t>methodology</w:t>
      </w:r>
      <w:r w:rsidRPr="0B06A73D" w:rsidR="6B50D035">
        <w:rPr>
          <w:rFonts w:ascii="Times New Roman" w:hAnsi="Times New Roman" w:eastAsia="Times New Roman" w:cs="Times New Roman"/>
          <w:noProof w:val="0"/>
          <w:color w:val="000000" w:themeColor="text1" w:themeTint="FF" w:themeShade="FF"/>
          <w:sz w:val="24"/>
          <w:szCs w:val="24"/>
          <w:lang w:val="en-GB"/>
        </w:rPr>
        <w:t xml:space="preserve"> was deliberately kept simple to maximise participation and ensure feasibility within the timeframe of the study.</w:t>
      </w:r>
    </w:p>
    <w:p w:rsidR="6B50D035" w:rsidP="0B06A73D" w:rsidRDefault="6B50D035" w14:paraId="3A2675EC" w14:textId="0A5485C9">
      <w:pPr>
        <w:spacing w:before="240" w:beforeAutospacing="off" w:after="240" w:afterAutospacing="off" w:line="360" w:lineRule="auto"/>
      </w:pPr>
      <w:r w:rsidRPr="0B06A73D" w:rsidR="6B50D035">
        <w:rPr>
          <w:rFonts w:ascii="Times New Roman" w:hAnsi="Times New Roman" w:eastAsia="Times New Roman" w:cs="Times New Roman"/>
          <w:noProof w:val="0"/>
          <w:color w:val="000000" w:themeColor="text1" w:themeTint="FF" w:themeShade="FF"/>
          <w:sz w:val="24"/>
          <w:szCs w:val="24"/>
          <w:lang w:val="en-GB"/>
        </w:rPr>
        <w:t>From an alignment perspective, the chosen design was appropriate for addressing the research question. The use of a questionnaire enabled the collection of quantitative data, allowing nutrition knowledge to be measured through scores, percentages, and mean values. This provided an objective method of assessing knowledge across participants. Furthermore, the quantitative design allowed for group comparisons between males and females, and between individuals working within the health and fitness industry and those who were not. The use of statistical analysis, including independent-samples t-tests conducted in SPSS, enabled the identification of differences between groups, directly addressing the aims of the study. The A-NSKQ, as a validated and reliable tool, further strengthened the design by ensuring consistency and comparability of results with existing literature. Additionally, the use of an online format improved accessibility and ease of participation, while facilitating efficient transfer of data into Excel and subsequently into SPSS for statistical analysis. Therefore, the overall design was effective in producing quantifiable data that aligned closely with the research objectives.</w:t>
      </w:r>
    </w:p>
    <w:p w:rsidR="6B50D035" w:rsidP="0B06A73D" w:rsidRDefault="6B50D035" w14:paraId="39E90228" w14:textId="5D41C1FD">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B06A73D" w:rsidR="6B50D035">
        <w:rPr>
          <w:rFonts w:ascii="Times New Roman" w:hAnsi="Times New Roman" w:eastAsia="Times New Roman" w:cs="Times New Roman"/>
          <w:b w:val="0"/>
          <w:bCs w:val="0"/>
          <w:noProof w:val="0"/>
          <w:color w:val="000000" w:themeColor="text1" w:themeTint="FF" w:themeShade="FF"/>
          <w:sz w:val="24"/>
          <w:szCs w:val="24"/>
          <w:lang w:val="en-GB"/>
        </w:rPr>
        <w:t xml:space="preserve">However, </w:t>
      </w:r>
      <w:r w:rsidRPr="0B06A73D" w:rsidR="6B50D035">
        <w:rPr>
          <w:rFonts w:ascii="Times New Roman" w:hAnsi="Times New Roman" w:eastAsia="Times New Roman" w:cs="Times New Roman"/>
          <w:b w:val="0"/>
          <w:bCs w:val="0"/>
          <w:noProof w:val="0"/>
          <w:color w:val="000000" w:themeColor="text1" w:themeTint="FF" w:themeShade="FF"/>
          <w:sz w:val="24"/>
          <w:szCs w:val="24"/>
          <w:lang w:val="en-GB"/>
        </w:rPr>
        <w:t>evaluating the design more critically highlights several limitations</w:t>
      </w:r>
      <w:r w:rsidRPr="0B06A73D" w:rsidR="6B50D035">
        <w:rPr>
          <w:rFonts w:ascii="Times New Roman" w:hAnsi="Times New Roman" w:eastAsia="Times New Roman" w:cs="Times New Roman"/>
          <w:b w:val="0"/>
          <w:bCs w:val="0"/>
          <w:noProof w:val="0"/>
          <w:color w:val="000000" w:themeColor="text1" w:themeTint="FF" w:themeShade="FF"/>
          <w:sz w:val="24"/>
          <w:szCs w:val="24"/>
          <w:lang w:val="en-GB"/>
        </w:rPr>
        <w:t>. While cross-sectional studies are effective for providing a snapshot of knowledge at a single point in time, they do not allow for causal relationships to be established or changes over time to be observed. As such, although differences between groups could be identified, it was not possible to determine whether fac</w:t>
      </w:r>
      <w:r w:rsidRPr="0B06A73D" w:rsidR="6B50D035">
        <w:rPr>
          <w:rFonts w:ascii="Times New Roman" w:hAnsi="Times New Roman" w:eastAsia="Times New Roman" w:cs="Times New Roman"/>
          <w:b w:val="0"/>
          <w:bCs w:val="0"/>
          <w:noProof w:val="0"/>
          <w:color w:val="000000" w:themeColor="text1" w:themeTint="FF" w:themeShade="FF"/>
          <w:sz w:val="24"/>
          <w:szCs w:val="24"/>
          <w:lang w:val="en-GB"/>
        </w:rPr>
        <w:t>tors such as employment within the health and fitness industry directly influenced nutrition knowledge. Additionally, the use of convenience sampling may have reduced the representativeness of the sample, as participants were primarily recruited through gyms, clubs, and social media, potentially excluding individuals less engaged in these environments.</w:t>
      </w:r>
    </w:p>
    <w:p w:rsidR="6B50D035" w:rsidP="0B06A73D" w:rsidRDefault="6B50D035" w14:paraId="7F8891E8" w14:textId="518562D5">
      <w:pPr>
        <w:spacing w:before="240" w:beforeAutospacing="off" w:after="240" w:afterAutospacing="off" w:line="360" w:lineRule="auto"/>
      </w:pPr>
      <w:r w:rsidRPr="0B06A73D" w:rsidR="6B50D035">
        <w:rPr>
          <w:rFonts w:ascii="Times New Roman" w:hAnsi="Times New Roman" w:eastAsia="Times New Roman" w:cs="Times New Roman"/>
          <w:noProof w:val="0"/>
          <w:color w:val="000000" w:themeColor="text1" w:themeTint="FF" w:themeShade="FF"/>
          <w:sz w:val="24"/>
          <w:szCs w:val="24"/>
          <w:lang w:val="en-GB"/>
        </w:rPr>
        <w:t>From a methodological perspective, the use of a short and accessible questionnaire was both a strength and a limitation. While it enhanced participation and reduced participant burden, it may have limited the depth of analysis. The A-NSKQ assesses both general and sport-specific nutrition knowledge; however, the shorter format may not provide sufficient detail to fully capture the complexity of participants’ understanding. Furthermore, questionnaire-based methods rely on self-reported responses, meaning participants may guess answers or provide socially desirable responses, which can affect accuracy.</w:t>
      </w:r>
    </w:p>
    <w:p w:rsidR="6B50D035" w:rsidP="0B06A73D" w:rsidRDefault="6B50D035" w14:paraId="61B7FF77" w14:textId="6848CDB0">
      <w:pPr>
        <w:spacing w:before="240" w:beforeAutospacing="off" w:after="240" w:afterAutospacing="off" w:line="360" w:lineRule="auto"/>
      </w:pPr>
      <w:r w:rsidRPr="0B06A73D" w:rsidR="6B50D035">
        <w:rPr>
          <w:rFonts w:ascii="Times New Roman" w:hAnsi="Times New Roman" w:eastAsia="Times New Roman" w:cs="Times New Roman"/>
          <w:noProof w:val="0"/>
          <w:color w:val="000000" w:themeColor="text1" w:themeTint="FF" w:themeShade="FF"/>
          <w:sz w:val="24"/>
          <w:szCs w:val="24"/>
          <w:lang w:val="en-GB"/>
        </w:rPr>
        <w:t>A deeper analysis suggests that alternative or additional methods could have strengthened the research design. For example, incorporating qualitative approaches, such as interviews, could have provided greater insight into participants’ understanding, reasoning, and sources of nutrition knowledge. This would allow researchers to explore whether participants genuinely understand concepts or are simply selecting correct answers without deeper comprehension. Additionally, the inclusion of a food diary could enable comparison between nutrition knowledge and actual dietary behaviour, providing a more applied perspective on whether knowledge translates into practice. However, these methods also present limitations, including increased participant burden, time constraints, and potential inaccuracies, as food diaries rely on honest and consistent self-reporting.</w:t>
      </w:r>
    </w:p>
    <w:p w:rsidR="6B50D035" w:rsidP="0B06A73D" w:rsidRDefault="6B50D035" w14:paraId="1912CD6A" w14:textId="2102DA6E">
      <w:pPr>
        <w:spacing w:before="240" w:beforeAutospacing="off" w:after="240" w:afterAutospacing="off" w:line="360" w:lineRule="auto"/>
      </w:pPr>
      <w:r w:rsidRPr="0B06A73D" w:rsidR="6B50D035">
        <w:rPr>
          <w:rFonts w:ascii="Times New Roman" w:hAnsi="Times New Roman" w:eastAsia="Times New Roman" w:cs="Times New Roman"/>
          <w:noProof w:val="0"/>
          <w:color w:val="000000" w:themeColor="text1" w:themeTint="FF" w:themeShade="FF"/>
          <w:sz w:val="24"/>
          <w:szCs w:val="24"/>
          <w:lang w:val="en-GB"/>
        </w:rPr>
        <w:t>In conclusion, the research design demonstrated strong alignment with the research aims, as it enabled the measurement of nutrition knowledge and comparison between groups using quantitative data and statistical analysis. The use of a validated questionnaire, alongside mean scores and t-tests, allowed for objective and reliable findings. However, while effective in generating measurable outcomes, the design was limited in its ability to provide depth and explore behavioural application.</w:t>
      </w:r>
    </w:p>
    <w:p w:rsidR="312ADC67" w:rsidP="0B06A73D" w:rsidRDefault="312ADC67" w14:paraId="15A08A45" w14:textId="1914E3C4">
      <w:pPr>
        <w:pStyle w:val="Normal"/>
        <w:spacing w:before="240" w:beforeAutospacing="off" w:after="240" w:afterAutospacing="off" w:line="360" w:lineRule="auto"/>
      </w:pPr>
      <w:r w:rsidRPr="0B06A73D" w:rsidR="312ADC67">
        <w:rPr>
          <w:rFonts w:ascii="Times New Roman" w:hAnsi="Times New Roman" w:eastAsia="Times New Roman" w:cs="Times New Roman"/>
          <w:b w:val="0"/>
          <w:bCs w:val="0"/>
          <w:noProof w:val="0"/>
          <w:color w:val="000000" w:themeColor="text1" w:themeTint="FF" w:themeShade="FF"/>
          <w:sz w:val="24"/>
          <w:szCs w:val="24"/>
          <w:lang w:val="en-GB"/>
        </w:rPr>
        <w:t>When considering future research directions</w:t>
      </w:r>
      <w:r w:rsidRPr="0B06A73D" w:rsidR="312ADC67">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0B06A73D" w:rsidR="312ADC67">
        <w:rPr>
          <w:rFonts w:ascii="Times New Roman" w:hAnsi="Times New Roman" w:eastAsia="Times New Roman" w:cs="Times New Roman"/>
          <w:noProof w:val="0"/>
          <w:color w:val="000000" w:themeColor="text1" w:themeTint="FF" w:themeShade="FF"/>
          <w:sz w:val="24"/>
          <w:szCs w:val="24"/>
          <w:lang w:val="en-GB"/>
        </w:rPr>
        <w:t>greater methodological diversity could strengthen the study. Combining quantitative data with qualitative methods, such as interviews, would allow deeper exploration of participants’ understanding and sources of knowledge, while tools such as food diaries may provide insight into the relationship between knowledge and behaviour.</w:t>
      </w:r>
      <w:r w:rsidRPr="0B06A73D" w:rsidR="6B50D035">
        <w:rPr>
          <w:rFonts w:ascii="Times New Roman" w:hAnsi="Times New Roman" w:eastAsia="Times New Roman" w:cs="Times New Roman"/>
          <w:noProof w:val="0"/>
          <w:color w:val="000000" w:themeColor="text1" w:themeTint="FF" w:themeShade="FF"/>
          <w:sz w:val="24"/>
          <w:szCs w:val="24"/>
          <w:lang w:val="en-GB"/>
        </w:rPr>
        <w:t xml:space="preserve"> Furthermore, adopting longitudinal or intervention-based designs would allow for the assessment of changes in knowledge over time and the effectiveness of nutrition education strategies. These adaptations would provide a more comprehensive understanding of nutrition knowledge and its practical application, </w:t>
      </w:r>
      <w:r w:rsidRPr="0B06A73D" w:rsidR="6B50D035">
        <w:rPr>
          <w:rFonts w:ascii="Times New Roman" w:hAnsi="Times New Roman" w:eastAsia="Times New Roman" w:cs="Times New Roman"/>
          <w:noProof w:val="0"/>
          <w:color w:val="000000" w:themeColor="text1" w:themeTint="FF" w:themeShade="FF"/>
          <w:sz w:val="24"/>
          <w:szCs w:val="24"/>
          <w:lang w:val="en-GB"/>
        </w:rPr>
        <w:t>ultimately enhancing</w:t>
      </w:r>
      <w:r w:rsidRPr="0B06A73D" w:rsidR="6B50D035">
        <w:rPr>
          <w:rFonts w:ascii="Times New Roman" w:hAnsi="Times New Roman" w:eastAsia="Times New Roman" w:cs="Times New Roman"/>
          <w:noProof w:val="0"/>
          <w:color w:val="000000" w:themeColor="text1" w:themeTint="FF" w:themeShade="FF"/>
          <w:sz w:val="24"/>
          <w:szCs w:val="24"/>
          <w:lang w:val="en-GB"/>
        </w:rPr>
        <w:t xml:space="preserve"> the quality and impact of future research.</w:t>
      </w:r>
    </w:p>
    <w:p w:rsidR="0B06A73D" w:rsidP="0B06A73D" w:rsidRDefault="0B06A73D" w14:paraId="4DB45AF2" w14:textId="20776EDC">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2AFE4943" w:rsidP="0B06A73D" w:rsidRDefault="2AFE4943" w14:paraId="05160DCE" w14:textId="7BE617D3">
      <w:pPr>
        <w:pStyle w:val="Heading1"/>
        <w:keepNext w:val="1"/>
        <w:keepLines w:val="1"/>
        <w:spacing w:before="322" w:beforeAutospacing="off" w:after="322"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2AFE4943">
        <w:rPr>
          <w:rFonts w:ascii="Times New Roman" w:hAnsi="Times New Roman" w:eastAsia="Times New Roman" w:cs="Times New Roman"/>
          <w:b w:val="1"/>
          <w:bCs w:val="1"/>
          <w:noProof w:val="0"/>
          <w:color w:val="000000" w:themeColor="text1" w:themeTint="FF" w:themeShade="FF"/>
          <w:sz w:val="24"/>
          <w:szCs w:val="24"/>
          <w:lang w:val="en-GB"/>
        </w:rPr>
        <w:t>Experience of Conducting Research and Lessons Learned</w:t>
      </w:r>
    </w:p>
    <w:p w:rsidR="75FD29CC" w:rsidP="0B06A73D" w:rsidRDefault="75FD29CC" w14:paraId="4EF61FB8" w14:textId="01EF61E8">
      <w:pPr>
        <w:pStyle w:val="Normal"/>
        <w:spacing w:before="240" w:beforeAutospacing="off" w:after="240" w:afterAutospacing="off" w:line="360" w:lineRule="auto"/>
      </w:pPr>
      <w:r w:rsidRPr="0B06A73D" w:rsidR="75FD29CC">
        <w:rPr>
          <w:rFonts w:ascii="Times New Roman" w:hAnsi="Times New Roman" w:eastAsia="Times New Roman" w:cs="Times New Roman"/>
          <w:noProof w:val="0"/>
          <w:color w:val="000000" w:themeColor="text1" w:themeTint="FF" w:themeShade="FF"/>
          <w:sz w:val="24"/>
          <w:szCs w:val="24"/>
          <w:lang w:val="en-GB"/>
        </w:rPr>
        <w:t xml:space="preserve">The research process involved recruiting participants, collecting data using the Abridged Nutrition for Sport Knowledge Questionnaire (A-NSKQ) via Microsoft Forms, and analysing the results using Excel and SPSS. At the outset, there was uncertainty regarding whether a sufficient sample size would be achieved, with an initial target of approximately 50 participants </w:t>
      </w:r>
      <w:r w:rsidRPr="0B06A73D" w:rsidR="75FD29CC">
        <w:rPr>
          <w:rFonts w:ascii="Times New Roman" w:hAnsi="Times New Roman" w:eastAsia="Times New Roman" w:cs="Times New Roman"/>
          <w:noProof w:val="0"/>
          <w:color w:val="000000" w:themeColor="text1" w:themeTint="FF" w:themeShade="FF"/>
          <w:sz w:val="24"/>
          <w:szCs w:val="24"/>
          <w:lang w:val="en-GB"/>
        </w:rPr>
        <w:t>established</w:t>
      </w:r>
      <w:r w:rsidRPr="0B06A73D" w:rsidR="75FD29CC">
        <w:rPr>
          <w:rFonts w:ascii="Times New Roman" w:hAnsi="Times New Roman" w:eastAsia="Times New Roman" w:cs="Times New Roman"/>
          <w:noProof w:val="0"/>
          <w:color w:val="000000" w:themeColor="text1" w:themeTint="FF" w:themeShade="FF"/>
          <w:sz w:val="24"/>
          <w:szCs w:val="24"/>
          <w:lang w:val="en-GB"/>
        </w:rPr>
        <w:t xml:space="preserve"> to support meaningful analysis. Participants were recruited through social media, gyms, and sports clubs using a convenience sampling approach. While responses were successfully obtained, challenges </w:t>
      </w:r>
      <w:r w:rsidRPr="0B06A73D" w:rsidR="75FD29CC">
        <w:rPr>
          <w:rFonts w:ascii="Times New Roman" w:hAnsi="Times New Roman" w:eastAsia="Times New Roman" w:cs="Times New Roman"/>
          <w:noProof w:val="0"/>
          <w:color w:val="000000" w:themeColor="text1" w:themeTint="FF" w:themeShade="FF"/>
          <w:sz w:val="24"/>
          <w:szCs w:val="24"/>
          <w:lang w:val="en-GB"/>
        </w:rPr>
        <w:t>emerged</w:t>
      </w:r>
      <w:r w:rsidRPr="0B06A73D" w:rsidR="75FD29CC">
        <w:rPr>
          <w:rFonts w:ascii="Times New Roman" w:hAnsi="Times New Roman" w:eastAsia="Times New Roman" w:cs="Times New Roman"/>
          <w:noProof w:val="0"/>
          <w:color w:val="000000" w:themeColor="text1" w:themeTint="FF" w:themeShade="FF"/>
          <w:sz w:val="24"/>
          <w:szCs w:val="24"/>
          <w:lang w:val="en-GB"/>
        </w:rPr>
        <w:t xml:space="preserve"> throughout the process, </w:t>
      </w:r>
      <w:r w:rsidRPr="0B06A73D" w:rsidR="75FD29CC">
        <w:rPr>
          <w:rFonts w:ascii="Times New Roman" w:hAnsi="Times New Roman" w:eastAsia="Times New Roman" w:cs="Times New Roman" w:asciiTheme="minorAscii" w:hAnsiTheme="minorAscii" w:eastAsiaTheme="minorAscii" w:cstheme="minorAscii"/>
          <w:noProof w:val="0"/>
          <w:color w:val="000000" w:themeColor="text1" w:themeTint="FF" w:themeShade="FF"/>
          <w:sz w:val="24"/>
          <w:szCs w:val="24"/>
          <w:lang w:val="en-GB"/>
        </w:rPr>
        <w:t xml:space="preserve">particularly in relation to recruitment, data analysis, and participant understanding of eligibility. </w:t>
      </w:r>
      <w:r w:rsidRPr="0B06A73D" w:rsidR="4B37C556">
        <w:rPr>
          <w:rFonts w:ascii="Times New Roman" w:hAnsi="Times New Roman" w:eastAsia="Times New Roman" w:cs="Times New Roman" w:asciiTheme="minorAscii" w:hAnsiTheme="minorAscii" w:eastAsiaTheme="minorAscii" w:cstheme="minorAscii"/>
          <w:noProof w:val="0"/>
          <w:color w:val="000000" w:themeColor="text1" w:themeTint="FF" w:themeShade="FF"/>
          <w:sz w:val="24"/>
          <w:szCs w:val="24"/>
          <w:lang w:val="en-GB"/>
        </w:rPr>
        <w:t>In alignment with Gibbs</w:t>
      </w:r>
      <w:r w:rsidRPr="0B06A73D" w:rsidR="75FD29CC">
        <w:rPr>
          <w:rFonts w:ascii="Times New Roman" w:hAnsi="Times New Roman" w:eastAsia="Times New Roman" w:cs="Times New Roman" w:asciiTheme="minorAscii" w:hAnsiTheme="minorAscii" w:eastAsiaTheme="minorAscii" w:cstheme="minorAscii"/>
          <w:noProof w:val="0"/>
          <w:color w:val="000000" w:themeColor="text1" w:themeTint="FF" w:themeShade="FF"/>
          <w:sz w:val="24"/>
          <w:szCs w:val="24"/>
          <w:lang w:val="en-GB"/>
        </w:rPr>
        <w:t xml:space="preserve">, this stage </w:t>
      </w:r>
      <w:r w:rsidRPr="0B06A73D" w:rsidR="75FD29CC">
        <w:rPr>
          <w:rFonts w:ascii="Times New Roman" w:hAnsi="Times New Roman" w:eastAsia="Times New Roman" w:cs="Times New Roman" w:asciiTheme="minorAscii" w:hAnsiTheme="minorAscii" w:eastAsiaTheme="minorAscii" w:cstheme="minorAscii"/>
          <w:noProof w:val="0"/>
          <w:color w:val="000000" w:themeColor="text1" w:themeTint="FF" w:themeShade="FF"/>
          <w:sz w:val="24"/>
          <w:szCs w:val="24"/>
          <w:lang w:val="en-GB"/>
        </w:rPr>
        <w:t>represents</w:t>
      </w:r>
      <w:r w:rsidRPr="0B06A73D" w:rsidR="75FD29CC">
        <w:rPr>
          <w:rFonts w:ascii="Times New Roman" w:hAnsi="Times New Roman" w:eastAsia="Times New Roman" w:cs="Times New Roman" w:asciiTheme="minorAscii" w:hAnsiTheme="minorAscii" w:eastAsiaTheme="minorAscii" w:cstheme="minorAscii"/>
          <w:noProof w:val="0"/>
          <w:color w:val="000000" w:themeColor="text1" w:themeTint="FF" w:themeShade="FF"/>
          <w:sz w:val="24"/>
          <w:szCs w:val="24"/>
          <w:lang w:val="en-GB"/>
        </w:rPr>
        <w:t xml:space="preserve"> the description of the research experience, providing the basis for further critical reflection.</w:t>
      </w:r>
    </w:p>
    <w:p w:rsidR="09250685" w:rsidP="0B06A73D" w:rsidRDefault="09250685" w14:paraId="3C0B7803" w14:textId="6C6BE551">
      <w:pPr>
        <w:pStyle w:val="Normal"/>
        <w:spacing w:before="240" w:beforeAutospacing="off" w:after="240" w:afterAutospacing="off" w:line="360" w:lineRule="auto"/>
      </w:pPr>
      <w:r w:rsidRPr="0B06A73D" w:rsidR="09250685">
        <w:rPr>
          <w:rFonts w:ascii="Times New Roman" w:hAnsi="Times New Roman" w:eastAsia="Times New Roman" w:cs="Times New Roman"/>
          <w:b w:val="0"/>
          <w:bCs w:val="0"/>
          <w:noProof w:val="0"/>
          <w:color w:val="000000" w:themeColor="text1" w:themeTint="FF" w:themeShade="FF"/>
          <w:sz w:val="24"/>
          <w:szCs w:val="24"/>
          <w:lang w:val="en-GB"/>
        </w:rPr>
        <w:t>In considering the emotional response to the research process</w:t>
      </w:r>
      <w:r w:rsidRPr="0B06A73D" w:rsidR="09250685">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t</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 xml:space="preserve">here was </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initial</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 xml:space="preserve"> uncertainty </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regarding</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 xml:space="preserve"> participant engagement due to the voluntary nature of recruitment. As responses began to increase, this uncertainty shifted towards a sense of motivation and encouragement, reflecting positively on the accessibility of the research design. However, as the study progressed, feelings of frustration became </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evident</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 xml:space="preserve">, particularly due to the </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low number</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 xml:space="preserve"> of male participants, which resulted in an imbalance within the sample and limited the robustness of comparisons between groups. It was also unexpected that individuals working within the health and fitness industry, particularly personal trainers, were among the most difficult to recruit, despite being a key target group. This required a more proactive approach, including direct communication with individuals, which proved time-consuming and, at times, discouraging. During the data analysis stage, a lack of confidence was also experienced, particularly when transferring data from Excel into SPSS and converting responses into </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appropriate scoring</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 xml:space="preserve"> formats, as this process was more complex than </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anticipated</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 xml:space="preserve">. Despite these challenges, the overall research experience remained positive, as analysing results and </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identifying</w:t>
      </w:r>
      <w:r w:rsidRPr="0B06A73D" w:rsidR="75FD29CC">
        <w:rPr>
          <w:rFonts w:ascii="Times New Roman" w:hAnsi="Times New Roman" w:eastAsia="Times New Roman" w:cs="Times New Roman"/>
          <w:b w:val="0"/>
          <w:bCs w:val="0"/>
          <w:noProof w:val="0"/>
          <w:color w:val="000000" w:themeColor="text1" w:themeTint="FF" w:themeShade="FF"/>
          <w:sz w:val="24"/>
          <w:szCs w:val="24"/>
          <w:lang w:val="en-GB"/>
        </w:rPr>
        <w:t xml:space="preserve"> patterns within the data was both engaging and rewarding, reinforcing an interest in research.</w:t>
      </w:r>
    </w:p>
    <w:p w:rsidR="0B06A73D" w:rsidP="0B06A73D" w:rsidRDefault="0B06A73D" w14:paraId="2089E00E" w14:textId="4F88DF1C">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520BCFEC" w:rsidP="0B06A73D" w:rsidRDefault="520BCFEC" w14:paraId="7AB31CF2" w14:textId="74750E94">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0B06A73D" w:rsidR="520BCFEC">
        <w:rPr>
          <w:rFonts w:ascii="Times New Roman" w:hAnsi="Times New Roman" w:eastAsia="Times New Roman" w:cs="Times New Roman"/>
          <w:noProof w:val="0"/>
          <w:color w:val="000000" w:themeColor="text1" w:themeTint="FF" w:themeShade="FF"/>
          <w:sz w:val="24"/>
          <w:szCs w:val="24"/>
          <w:lang w:val="en-GB"/>
        </w:rPr>
        <w:t>Evaluating the research process highlights several strengths and limitations. A key strength was the use of a short and structured questionnaire, which reduced participant burden and contributed to the response rate. Additionally, distributing the questionnaire across multiple platforms increased accessibility and broadened the reach of the study. However, several limitations were identified. The low representation of male participants reduced the reliability of comparisons, while the difficulty in recruiting individuals employed within the health and fitness sector suggested that the recruitment strategy lacked sufficient effectiveness in targeting specific populations. Although the data collection method was efficient, the simplicity of the questionnaire limited the depth of information obtained, restricting the ability to explore underlying factors influencing nutrition knowledge. Furthermore, the data analysis process highlighted limitations in technical competence, particularly in relation to data handling and statistical procedures.</w:t>
      </w:r>
    </w:p>
    <w:p w:rsidR="520BCFEC" w:rsidP="0B06A73D" w:rsidRDefault="520BCFEC" w14:paraId="0121563C" w14:textId="4316A189">
      <w:pPr>
        <w:pStyle w:val="Normal"/>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B06A73D" w:rsidR="520BCFEC">
        <w:rPr>
          <w:rFonts w:ascii="Times New Roman" w:hAnsi="Times New Roman" w:eastAsia="Times New Roman" w:cs="Times New Roman"/>
          <w:noProof w:val="0"/>
          <w:color w:val="000000" w:themeColor="text1" w:themeTint="FF" w:themeShade="FF"/>
          <w:sz w:val="24"/>
          <w:szCs w:val="24"/>
          <w:lang w:val="en-GB"/>
        </w:rPr>
        <w:t xml:space="preserve">A deeper analysis of these experiences </w:t>
      </w:r>
      <w:r w:rsidRPr="0B06A73D" w:rsidR="520BCFEC">
        <w:rPr>
          <w:rFonts w:ascii="Times New Roman" w:hAnsi="Times New Roman" w:eastAsia="Times New Roman" w:cs="Times New Roman"/>
          <w:noProof w:val="0"/>
          <w:color w:val="000000" w:themeColor="text1" w:themeTint="FF" w:themeShade="FF"/>
          <w:sz w:val="24"/>
          <w:szCs w:val="24"/>
          <w:lang w:val="en-GB"/>
        </w:rPr>
        <w:t>demonstrates</w:t>
      </w:r>
      <w:r w:rsidRPr="0B06A73D" w:rsidR="520BCFEC">
        <w:rPr>
          <w:rFonts w:ascii="Times New Roman" w:hAnsi="Times New Roman" w:eastAsia="Times New Roman" w:cs="Times New Roman"/>
          <w:noProof w:val="0"/>
          <w:color w:val="000000" w:themeColor="text1" w:themeTint="FF" w:themeShade="FF"/>
          <w:sz w:val="24"/>
          <w:szCs w:val="24"/>
          <w:lang w:val="en-GB"/>
        </w:rPr>
        <w:t xml:space="preserve"> the importance of aligning methodological decisions with both the research question and practical application. The challenges </w:t>
      </w:r>
      <w:r w:rsidRPr="0B06A73D" w:rsidR="520BCFEC">
        <w:rPr>
          <w:rFonts w:ascii="Times New Roman" w:hAnsi="Times New Roman" w:eastAsia="Times New Roman" w:cs="Times New Roman"/>
          <w:noProof w:val="0"/>
          <w:color w:val="000000" w:themeColor="text1" w:themeTint="FF" w:themeShade="FF"/>
          <w:sz w:val="24"/>
          <w:szCs w:val="24"/>
          <w:lang w:val="en-GB"/>
        </w:rPr>
        <w:t>encountered</w:t>
      </w:r>
      <w:r w:rsidRPr="0B06A73D" w:rsidR="520BCFEC">
        <w:rPr>
          <w:rFonts w:ascii="Times New Roman" w:hAnsi="Times New Roman" w:eastAsia="Times New Roman" w:cs="Times New Roman"/>
          <w:noProof w:val="0"/>
          <w:color w:val="000000" w:themeColor="text1" w:themeTint="FF" w:themeShade="FF"/>
          <w:sz w:val="24"/>
          <w:szCs w:val="24"/>
          <w:lang w:val="en-GB"/>
        </w:rPr>
        <w:t xml:space="preserve"> during recruitment emphasise that reliance on convenience sampling and passive recruitment strategies may not be sufficient to engage all relevant groups. </w:t>
      </w:r>
      <w:r w:rsidRPr="0B06A73D" w:rsidR="520BCFEC">
        <w:rPr>
          <w:rFonts w:ascii="Times New Roman" w:hAnsi="Times New Roman" w:eastAsia="Times New Roman" w:cs="Times New Roman"/>
          <w:b w:val="0"/>
          <w:bCs w:val="0"/>
          <w:noProof w:val="0"/>
          <w:color w:val="000000" w:themeColor="text1" w:themeTint="FF" w:themeShade="FF"/>
          <w:sz w:val="24"/>
          <w:szCs w:val="24"/>
          <w:lang w:val="en-GB"/>
        </w:rPr>
        <w:t>The lower participation of males may reflect broader trends identified within existing research, which suggests that females are often more engaged with health-related topics and research participation.</w:t>
      </w:r>
    </w:p>
    <w:p w:rsidR="3886A8D4" w:rsidP="0B06A73D" w:rsidRDefault="3886A8D4" w14:paraId="16D16DDF" w14:textId="0D5D3FEE">
      <w:pPr>
        <w:spacing w:before="240" w:beforeAutospacing="off" w:after="240" w:afterAutospacing="off" w:line="360" w:lineRule="auto"/>
      </w:pPr>
      <w:r w:rsidRPr="0B06A73D" w:rsidR="3886A8D4">
        <w:rPr>
          <w:rFonts w:ascii="Times New Roman" w:hAnsi="Times New Roman" w:eastAsia="Times New Roman" w:cs="Times New Roman"/>
          <w:noProof w:val="0"/>
          <w:color w:val="000000" w:themeColor="text1" w:themeTint="FF" w:themeShade="FF"/>
          <w:sz w:val="24"/>
          <w:szCs w:val="24"/>
          <w:lang w:val="en-GB"/>
        </w:rPr>
        <w:t xml:space="preserve">In conclusion, the research process highlighted both strengths and areas for improvement. The use of the A-NSKQ provided an effective and practical method for assessing nutrition knowledge, enabling efficient data collection and the generation of quantifiable results. However, several limitations were </w:t>
      </w:r>
      <w:r w:rsidRPr="0B06A73D" w:rsidR="3886A8D4">
        <w:rPr>
          <w:rFonts w:ascii="Times New Roman" w:hAnsi="Times New Roman" w:eastAsia="Times New Roman" w:cs="Times New Roman"/>
          <w:noProof w:val="0"/>
          <w:color w:val="000000" w:themeColor="text1" w:themeTint="FF" w:themeShade="FF"/>
          <w:sz w:val="24"/>
          <w:szCs w:val="24"/>
          <w:lang w:val="en-GB"/>
        </w:rPr>
        <w:t>evident</w:t>
      </w:r>
      <w:r w:rsidRPr="0B06A73D" w:rsidR="3886A8D4">
        <w:rPr>
          <w:rFonts w:ascii="Times New Roman" w:hAnsi="Times New Roman" w:eastAsia="Times New Roman" w:cs="Times New Roman"/>
          <w:noProof w:val="0"/>
          <w:color w:val="000000" w:themeColor="text1" w:themeTint="FF" w:themeShade="FF"/>
          <w:sz w:val="24"/>
          <w:szCs w:val="24"/>
          <w:lang w:val="en-GB"/>
        </w:rPr>
        <w:t>, particularly in relation to recruitment strategies, sample representation, and the depth of data obtained.</w:t>
      </w:r>
    </w:p>
    <w:p w:rsidR="3383D448" w:rsidP="0B06A73D" w:rsidRDefault="3383D448" w14:paraId="085EF3CF" w14:textId="1B0B019A">
      <w:pPr>
        <w:pStyle w:val="Normal"/>
        <w:spacing w:before="240" w:beforeAutospacing="off" w:after="240" w:afterAutospacing="off" w:line="360" w:lineRule="auto"/>
      </w:pPr>
      <w:r w:rsidRPr="0B06A73D" w:rsidR="3383D448">
        <w:rPr>
          <w:rFonts w:ascii="Times New Roman" w:hAnsi="Times New Roman" w:eastAsia="Times New Roman" w:cs="Times New Roman"/>
          <w:noProof w:val="0"/>
          <w:color w:val="000000" w:themeColor="text1" w:themeTint="FF" w:themeShade="FF"/>
          <w:sz w:val="24"/>
          <w:szCs w:val="24"/>
          <w:lang w:val="en-GB"/>
        </w:rPr>
        <w:t xml:space="preserve">In considering the findings of this study, several recommendations for future research can be </w:t>
      </w:r>
      <w:r w:rsidRPr="0B06A73D" w:rsidR="3383D448">
        <w:rPr>
          <w:rFonts w:ascii="Times New Roman" w:hAnsi="Times New Roman" w:eastAsia="Times New Roman" w:cs="Times New Roman"/>
          <w:noProof w:val="0"/>
          <w:color w:val="000000" w:themeColor="text1" w:themeTint="FF" w:themeShade="FF"/>
          <w:sz w:val="24"/>
          <w:szCs w:val="24"/>
          <w:lang w:val="en-GB"/>
        </w:rPr>
        <w:t>identified</w:t>
      </w:r>
      <w:r w:rsidRPr="0B06A73D" w:rsidR="3383D448">
        <w:rPr>
          <w:rFonts w:ascii="Times New Roman" w:hAnsi="Times New Roman" w:eastAsia="Times New Roman" w:cs="Times New Roman"/>
          <w:noProof w:val="0"/>
          <w:color w:val="000000" w:themeColor="text1" w:themeTint="FF" w:themeShade="FF"/>
          <w:sz w:val="24"/>
          <w:szCs w:val="24"/>
          <w:lang w:val="en-GB"/>
        </w:rPr>
        <w:t>.</w:t>
      </w:r>
      <w:r w:rsidRPr="0B06A73D" w:rsidR="3886A8D4">
        <w:rPr>
          <w:rFonts w:ascii="Times New Roman" w:hAnsi="Times New Roman" w:eastAsia="Times New Roman" w:cs="Times New Roman"/>
          <w:noProof w:val="0"/>
          <w:color w:val="000000" w:themeColor="text1" w:themeTint="FF" w:themeShade="FF"/>
          <w:sz w:val="24"/>
          <w:szCs w:val="24"/>
          <w:lang w:val="en-GB"/>
        </w:rPr>
        <w:t xml:space="preserve"> Recruitment strategies could be enhanced by implementing more targeted and proactive approaches. For example, redistributing the questionnaire as a follow-up reminder, particularly within WhatsApp groups, and clearly emphasising the need for underrepresented groups, such as male participants, may improve engagement. Similarly, greater use of relevant online communities, such as personal trainer and coaching groups on social media platforms, could increase participation from individuals working within the health and fitness industry.</w:t>
      </w:r>
    </w:p>
    <w:p w:rsidR="3886A8D4" w:rsidP="0B06A73D" w:rsidRDefault="3886A8D4" w14:paraId="47F55DCC" w14:textId="2C4CCD83">
      <w:pPr>
        <w:pStyle w:val="Normal"/>
        <w:spacing w:before="240" w:beforeAutospacing="off" w:after="240" w:afterAutospacing="off" w:line="360" w:lineRule="auto"/>
      </w:pPr>
      <w:r w:rsidRPr="0B06A73D" w:rsidR="3886A8D4">
        <w:rPr>
          <w:rFonts w:ascii="Times New Roman" w:hAnsi="Times New Roman" w:eastAsia="Times New Roman" w:cs="Times New Roman"/>
          <w:noProof w:val="0"/>
          <w:color w:val="000000" w:themeColor="text1" w:themeTint="FF" w:themeShade="FF"/>
          <w:sz w:val="24"/>
          <w:szCs w:val="24"/>
          <w:lang w:val="en-GB"/>
        </w:rPr>
        <w:t>Additionally, future studies should consider expanding the questionnaire to include questions related to the sources of nutrition knowledge, as well as how participants accessed the survey, to provide greater context and understanding of engagement pathways. While the A-NSKQ proved effective in assessing nutrition knowledge, consideration could also be given to using the full Nutrition for Sport Knowledge Questionnaire (NSKQ) to obtain more detailed insights. However, it is acknowledged that this may reduce response rates due to increased participant burden, highlighting the need to balance depth of data with feasibility and participation.</w:t>
      </w:r>
    </w:p>
    <w:p w:rsidR="3886A8D4" w:rsidP="0B06A73D" w:rsidRDefault="3886A8D4" w14:paraId="7B63A639" w14:textId="67875AA2">
      <w:pPr>
        <w:spacing w:before="240" w:beforeAutospacing="off" w:after="240" w:afterAutospacing="off" w:line="360" w:lineRule="auto"/>
      </w:pPr>
      <w:r w:rsidRPr="0B06A73D" w:rsidR="3886A8D4">
        <w:rPr>
          <w:rFonts w:ascii="Times New Roman" w:hAnsi="Times New Roman" w:eastAsia="Times New Roman" w:cs="Times New Roman"/>
          <w:noProof w:val="0"/>
          <w:color w:val="000000" w:themeColor="text1" w:themeTint="FF" w:themeShade="FF"/>
          <w:sz w:val="24"/>
          <w:szCs w:val="24"/>
          <w:lang w:val="en-GB"/>
        </w:rPr>
        <w:t xml:space="preserve">Overall, this reflection </w:t>
      </w:r>
      <w:r w:rsidRPr="0B06A73D" w:rsidR="3886A8D4">
        <w:rPr>
          <w:rFonts w:ascii="Times New Roman" w:hAnsi="Times New Roman" w:eastAsia="Times New Roman" w:cs="Times New Roman"/>
          <w:noProof w:val="0"/>
          <w:color w:val="000000" w:themeColor="text1" w:themeTint="FF" w:themeShade="FF"/>
          <w:sz w:val="24"/>
          <w:szCs w:val="24"/>
          <w:lang w:val="en-GB"/>
        </w:rPr>
        <w:t>demonstrates</w:t>
      </w:r>
      <w:r w:rsidRPr="0B06A73D" w:rsidR="3886A8D4">
        <w:rPr>
          <w:rFonts w:ascii="Times New Roman" w:hAnsi="Times New Roman" w:eastAsia="Times New Roman" w:cs="Times New Roman"/>
          <w:noProof w:val="0"/>
          <w:color w:val="000000" w:themeColor="text1" w:themeTint="FF" w:themeShade="FF"/>
          <w:sz w:val="24"/>
          <w:szCs w:val="24"/>
          <w:lang w:val="en-GB"/>
        </w:rPr>
        <w:t xml:space="preserve"> that while the chosen methodology was </w:t>
      </w:r>
      <w:r w:rsidRPr="0B06A73D" w:rsidR="3886A8D4">
        <w:rPr>
          <w:rFonts w:ascii="Times New Roman" w:hAnsi="Times New Roman" w:eastAsia="Times New Roman" w:cs="Times New Roman"/>
          <w:noProof w:val="0"/>
          <w:color w:val="000000" w:themeColor="text1" w:themeTint="FF" w:themeShade="FF"/>
          <w:sz w:val="24"/>
          <w:szCs w:val="24"/>
          <w:lang w:val="en-GB"/>
        </w:rPr>
        <w:t>appropriate</w:t>
      </w:r>
      <w:r w:rsidRPr="0B06A73D" w:rsidR="3886A8D4">
        <w:rPr>
          <w:rFonts w:ascii="Times New Roman" w:hAnsi="Times New Roman" w:eastAsia="Times New Roman" w:cs="Times New Roman"/>
          <w:noProof w:val="0"/>
          <w:color w:val="000000" w:themeColor="text1" w:themeTint="FF" w:themeShade="FF"/>
          <w:sz w:val="24"/>
          <w:szCs w:val="24"/>
          <w:lang w:val="en-GB"/>
        </w:rPr>
        <w:t xml:space="preserve"> and effective for achieving the research aims, future research would </w:t>
      </w:r>
      <w:r w:rsidRPr="0B06A73D" w:rsidR="3886A8D4">
        <w:rPr>
          <w:rFonts w:ascii="Times New Roman" w:hAnsi="Times New Roman" w:eastAsia="Times New Roman" w:cs="Times New Roman"/>
          <w:noProof w:val="0"/>
          <w:color w:val="000000" w:themeColor="text1" w:themeTint="FF" w:themeShade="FF"/>
          <w:sz w:val="24"/>
          <w:szCs w:val="24"/>
          <w:lang w:val="en-GB"/>
        </w:rPr>
        <w:t>benefit</w:t>
      </w:r>
      <w:r w:rsidRPr="0B06A73D" w:rsidR="3886A8D4">
        <w:rPr>
          <w:rFonts w:ascii="Times New Roman" w:hAnsi="Times New Roman" w:eastAsia="Times New Roman" w:cs="Times New Roman"/>
          <w:noProof w:val="0"/>
          <w:color w:val="000000" w:themeColor="text1" w:themeTint="FF" w:themeShade="FF"/>
          <w:sz w:val="24"/>
          <w:szCs w:val="24"/>
          <w:lang w:val="en-GB"/>
        </w:rPr>
        <w:t xml:space="preserve"> from more targeted recruitment strategies and enhanced data collection methods to improve both the depth and representativeness of findings.</w:t>
      </w:r>
    </w:p>
    <w:p w:rsidR="7F0C209A" w:rsidP="0B06A73D" w:rsidRDefault="7F0C209A" w14:paraId="50838FE6" w14:textId="11E903A9">
      <w:pPr>
        <w:spacing w:before="240" w:beforeAutospacing="off" w:after="240" w:afterAutospacing="off" w:line="360" w:lineRule="auto"/>
      </w:pPr>
      <w:r w:rsidRPr="0B06A73D" w:rsidR="7F0C209A">
        <w:rPr>
          <w:rFonts w:ascii="Times New Roman" w:hAnsi="Times New Roman" w:eastAsia="Times New Roman" w:cs="Times New Roman"/>
          <w:noProof w:val="0"/>
          <w:color w:val="000000" w:themeColor="text1" w:themeTint="FF" w:themeShade="FF"/>
          <w:sz w:val="24"/>
          <w:szCs w:val="24"/>
          <w:lang w:val="en-GB"/>
        </w:rPr>
        <w:t>Furthermore, critical reflection on the research process requires consideration of ethical principles and the potential impact on participants. Ethical considerations were appropriately addressed throughout the study. Participation was voluntary, informed consent was obtained, and data were collected anonymously in accordance with GDPR guidelines. The use of an online questionnaire reduced potential risks and allowed participants to respond honestly without pressure or identification.</w:t>
      </w:r>
    </w:p>
    <w:p w:rsidR="7F0C209A" w:rsidP="0B06A73D" w:rsidRDefault="7F0C209A" w14:paraId="4856FE15" w14:textId="57BEDBB8">
      <w:pPr>
        <w:spacing w:before="240" w:beforeAutospacing="off" w:after="240" w:afterAutospacing="off" w:line="360" w:lineRule="auto"/>
      </w:pPr>
      <w:r w:rsidRPr="0B06A73D" w:rsidR="7F0C209A">
        <w:rPr>
          <w:rFonts w:ascii="Times New Roman" w:hAnsi="Times New Roman" w:eastAsia="Times New Roman" w:cs="Times New Roman"/>
          <w:noProof w:val="0"/>
          <w:color w:val="000000" w:themeColor="text1" w:themeTint="FF" w:themeShade="FF"/>
          <w:sz w:val="24"/>
          <w:szCs w:val="24"/>
          <w:lang w:val="en-GB"/>
        </w:rPr>
        <w:t>However, evaluating the research process more critically highlights ethical considerations beyond procedural requirements. In particular, the inclusion of individuals working within the health and fitness industry, such as personal trainers, may have introduced an element of perceived pressure. Given their professional role, participants may have felt expected to demonstrate a higher level of nutrition knowledge, potentially leading to feelings of inadequacy or influencing responses through guessing or socially desirable answering.</w:t>
      </w:r>
    </w:p>
    <w:p w:rsidR="7F0C209A" w:rsidP="0B06A73D" w:rsidRDefault="7F0C209A" w14:paraId="66C446EF" w14:textId="553D5262">
      <w:pPr>
        <w:spacing w:before="240" w:beforeAutospacing="off" w:after="240" w:afterAutospacing="off" w:line="360" w:lineRule="auto"/>
      </w:pPr>
      <w:r w:rsidRPr="0B06A73D" w:rsidR="7F0C209A">
        <w:rPr>
          <w:rFonts w:ascii="Times New Roman" w:hAnsi="Times New Roman" w:eastAsia="Times New Roman" w:cs="Times New Roman"/>
          <w:noProof w:val="0"/>
          <w:color w:val="000000" w:themeColor="text1" w:themeTint="FF" w:themeShade="FF"/>
          <w:sz w:val="24"/>
          <w:szCs w:val="24"/>
          <w:lang w:val="en-GB"/>
        </w:rPr>
        <w:t>A deeper analysis suggests that ethical considerations extend beyond anonymity and consent to include the psychological experience of participants. Even in low-risk research, there is potential for unintended emotional impact, particularly when individuals are assessed on knowledge related to their professional identity. This highlights the importance of ensuring that participants feel comfortable, supported, and free from judgement throughout the research process.</w:t>
      </w:r>
    </w:p>
    <w:p w:rsidR="7F0C209A" w:rsidP="0B06A73D" w:rsidRDefault="7F0C209A" w14:paraId="35F893C7" w14:textId="63507D07">
      <w:pPr>
        <w:spacing w:before="240" w:beforeAutospacing="off" w:after="240" w:afterAutospacing="off" w:line="360" w:lineRule="auto"/>
      </w:pPr>
      <w:r w:rsidRPr="0B06A73D" w:rsidR="7F0C209A">
        <w:rPr>
          <w:rFonts w:ascii="Times New Roman" w:hAnsi="Times New Roman" w:eastAsia="Times New Roman" w:cs="Times New Roman"/>
          <w:noProof w:val="0"/>
          <w:color w:val="000000" w:themeColor="text1" w:themeTint="FF" w:themeShade="FF"/>
          <w:sz w:val="24"/>
          <w:szCs w:val="24"/>
          <w:lang w:val="en-GB"/>
        </w:rPr>
        <w:t>In evaluating the ethical implications of this study, it was considered that future research should place greater emphasis on clearly communicating parti</w:t>
      </w:r>
      <w:r w:rsidRPr="0B06A73D" w:rsidR="7F0C209A">
        <w:rPr>
          <w:rFonts w:ascii="Times New Roman" w:hAnsi="Times New Roman" w:eastAsia="Times New Roman" w:cs="Times New Roman"/>
          <w:noProof w:val="0"/>
          <w:color w:val="000000" w:themeColor="text1" w:themeTint="FF" w:themeShade="FF"/>
          <w:sz w:val="24"/>
          <w:szCs w:val="24"/>
          <w:lang w:val="en-GB"/>
        </w:rPr>
        <w:t xml:space="preserve">cipants’ rights and expectations. This includes explicitly </w:t>
      </w:r>
      <w:r w:rsidRPr="0B06A73D" w:rsidR="7F0C209A">
        <w:rPr>
          <w:rFonts w:ascii="Times New Roman" w:hAnsi="Times New Roman" w:eastAsia="Times New Roman" w:cs="Times New Roman"/>
          <w:noProof w:val="0"/>
          <w:color w:val="000000" w:themeColor="text1" w:themeTint="FF" w:themeShade="FF"/>
          <w:sz w:val="24"/>
          <w:szCs w:val="24"/>
          <w:lang w:val="en-GB"/>
        </w:rPr>
        <w:t>stating</w:t>
      </w:r>
      <w:r w:rsidRPr="0B06A73D" w:rsidR="7F0C209A">
        <w:rPr>
          <w:rFonts w:ascii="Times New Roman" w:hAnsi="Times New Roman" w:eastAsia="Times New Roman" w:cs="Times New Roman"/>
          <w:noProof w:val="0"/>
          <w:color w:val="000000" w:themeColor="text1" w:themeTint="FF" w:themeShade="FF"/>
          <w:sz w:val="24"/>
          <w:szCs w:val="24"/>
          <w:lang w:val="en-GB"/>
        </w:rPr>
        <w:t xml:space="preserve"> that participants can withdraw at any time without consequence, that the questionnaire is not a test of competence, and that responses are confidential and used solely for research purposes. Additionally, providing reassurance that the study aims to understand general trends rather than evaluate individual ability may help to reduce perceived pressure.</w:t>
      </w:r>
    </w:p>
    <w:p w:rsidR="7F0C209A" w:rsidP="0B06A73D" w:rsidRDefault="7F0C209A" w14:paraId="03B0ED86" w14:textId="21BBDD27">
      <w:pPr>
        <w:spacing w:before="240" w:beforeAutospacing="off" w:after="240" w:afterAutospacing="off" w:line="360" w:lineRule="auto"/>
      </w:pPr>
      <w:r w:rsidRPr="0B06A73D" w:rsidR="7F0C209A">
        <w:rPr>
          <w:rFonts w:ascii="Times New Roman" w:hAnsi="Times New Roman" w:eastAsia="Times New Roman" w:cs="Times New Roman"/>
          <w:noProof w:val="0"/>
          <w:color w:val="000000" w:themeColor="text1" w:themeTint="FF" w:themeShade="FF"/>
          <w:sz w:val="24"/>
          <w:szCs w:val="24"/>
          <w:lang w:val="en-GB"/>
        </w:rPr>
        <w:t>Overall, while ethical standards were met, this reflection demonstrates that ethical practice extends beyond formal procedures and requires consideration of participants’ emotional responses and experiences. Future studies should therefore adopt a more participant-centred approach to ensure both ethical integrity and positive participant engagement.</w:t>
      </w:r>
    </w:p>
    <w:p w:rsidR="0B06A73D" w:rsidP="0B06A73D" w:rsidRDefault="0B06A73D" w14:paraId="50FA571E" w14:textId="4977A260">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351B6207" w:rsidP="0B06A73D" w:rsidRDefault="351B6207" w14:paraId="4EA94193" w14:textId="1278E1CF">
      <w:pPr>
        <w:pStyle w:val="Normal"/>
        <w:spacing w:before="0" w:beforeAutospacing="off" w:after="0" w:afterAutospacing="off" w:line="360" w:lineRule="auto"/>
        <w:ind w:left="0" w:right="0" w:hanging="0"/>
        <w:rPr>
          <w:rFonts w:ascii="Times New Roman" w:hAnsi="Times New Roman" w:eastAsia="Times New Roman" w:cs="Times New Roman" w:asciiTheme="minorAscii" w:hAnsiTheme="minorAscii" w:eastAsiaTheme="minorAscii" w:cstheme="minorAscii"/>
          <w:b w:val="1"/>
          <w:bCs w:val="1"/>
          <w:noProof w:val="0"/>
          <w:sz w:val="24"/>
          <w:szCs w:val="24"/>
          <w:lang w:val="en-GB"/>
        </w:rPr>
      </w:pPr>
      <w:r w:rsidRPr="0B06A73D" w:rsidR="351B6207">
        <w:rPr>
          <w:rFonts w:ascii="Times New Roman" w:hAnsi="Times New Roman" w:eastAsia="Times New Roman" w:cs="Times New Roman" w:asciiTheme="minorAscii" w:hAnsiTheme="minorAscii" w:eastAsiaTheme="minorAscii" w:cstheme="minorAscii"/>
          <w:b w:val="1"/>
          <w:bCs w:val="1"/>
          <w:noProof w:val="0"/>
          <w:sz w:val="24"/>
          <w:szCs w:val="24"/>
          <w:lang w:val="en-GB"/>
        </w:rPr>
        <w:t>The implications for your future study and practice</w:t>
      </w:r>
      <w:r w:rsidRPr="0B06A73D" w:rsidR="351B6207">
        <w:rPr>
          <w:rFonts w:ascii="Times New Roman" w:hAnsi="Times New Roman" w:eastAsia="Times New Roman" w:cs="Times New Roman"/>
          <w:noProof w:val="0"/>
          <w:color w:val="000000" w:themeColor="text1" w:themeTint="FF" w:themeShade="FF"/>
          <w:sz w:val="24"/>
          <w:szCs w:val="24"/>
          <w:lang w:val="en-GB"/>
        </w:rPr>
        <w:t xml:space="preserve"> </w:t>
      </w:r>
    </w:p>
    <w:p w:rsidR="21D48769" w:rsidP="0B06A73D" w:rsidRDefault="21D48769" w14:paraId="1A0CFE1D" w14:textId="5338A69F">
      <w:pPr>
        <w:pStyle w:val="Normal"/>
        <w:spacing w:before="240" w:beforeAutospacing="off" w:after="240" w:afterAutospacing="off" w:line="360" w:lineRule="auto"/>
      </w:pPr>
      <w:r w:rsidRPr="0B06A73D" w:rsidR="21D48769">
        <w:rPr>
          <w:rFonts w:ascii="Times New Roman" w:hAnsi="Times New Roman" w:eastAsia="Times New Roman" w:cs="Times New Roman"/>
          <w:noProof w:val="0"/>
          <w:color w:val="000000" w:themeColor="text1" w:themeTint="FF" w:themeShade="FF"/>
          <w:sz w:val="24"/>
          <w:szCs w:val="24"/>
          <w:lang w:val="en-GB"/>
        </w:rPr>
        <w:t>Reflecting on the descriptive stage of Gibbs’ (1988) reflective cycle, it became evident that a simple and structured methodological approach was highly effective in supporting both data collection and researcher confidence.</w:t>
      </w:r>
      <w:r w:rsidRPr="0B06A73D" w:rsidR="1232FE95">
        <w:rPr>
          <w:rFonts w:ascii="Times New Roman" w:hAnsi="Times New Roman" w:eastAsia="Times New Roman" w:cs="Times New Roman"/>
          <w:noProof w:val="0"/>
          <w:color w:val="000000" w:themeColor="text1" w:themeTint="FF" w:themeShade="FF"/>
          <w:sz w:val="24"/>
          <w:szCs w:val="24"/>
          <w:lang w:val="en-GB"/>
        </w:rPr>
        <w:t xml:space="preserve"> The decision to use a short and accessible questionnaire reduced the risk of becoming overwhelmed during the research process and enabled efficient data collection within the given </w:t>
      </w:r>
      <w:r w:rsidRPr="0B06A73D" w:rsidR="1232FE95">
        <w:rPr>
          <w:rFonts w:ascii="Times New Roman" w:hAnsi="Times New Roman" w:eastAsia="Times New Roman" w:cs="Times New Roman"/>
          <w:noProof w:val="0"/>
          <w:color w:val="000000" w:themeColor="text1" w:themeTint="FF" w:themeShade="FF"/>
          <w:sz w:val="24"/>
          <w:szCs w:val="24"/>
          <w:lang w:val="en-GB"/>
        </w:rPr>
        <w:t>timeframe</w:t>
      </w:r>
      <w:r w:rsidRPr="0B06A73D" w:rsidR="1232FE95">
        <w:rPr>
          <w:rFonts w:ascii="Times New Roman" w:hAnsi="Times New Roman" w:eastAsia="Times New Roman" w:cs="Times New Roman"/>
          <w:noProof w:val="0"/>
          <w:color w:val="000000" w:themeColor="text1" w:themeTint="FF" w:themeShade="FF"/>
          <w:sz w:val="24"/>
          <w:szCs w:val="24"/>
          <w:lang w:val="en-GB"/>
        </w:rPr>
        <w:t xml:space="preserve">. The process of collecting and analysing data was both engaging and enjoyable, and initial concerns </w:t>
      </w:r>
      <w:r w:rsidRPr="0B06A73D" w:rsidR="1232FE95">
        <w:rPr>
          <w:rFonts w:ascii="Times New Roman" w:hAnsi="Times New Roman" w:eastAsia="Times New Roman" w:cs="Times New Roman"/>
          <w:noProof w:val="0"/>
          <w:color w:val="000000" w:themeColor="text1" w:themeTint="FF" w:themeShade="FF"/>
          <w:sz w:val="24"/>
          <w:szCs w:val="24"/>
          <w:lang w:val="en-GB"/>
        </w:rPr>
        <w:t>regarding</w:t>
      </w:r>
      <w:r w:rsidRPr="0B06A73D" w:rsidR="1232FE95">
        <w:rPr>
          <w:rFonts w:ascii="Times New Roman" w:hAnsi="Times New Roman" w:eastAsia="Times New Roman" w:cs="Times New Roman"/>
          <w:noProof w:val="0"/>
          <w:color w:val="000000" w:themeColor="text1" w:themeTint="FF" w:themeShade="FF"/>
          <w:sz w:val="24"/>
          <w:szCs w:val="24"/>
          <w:lang w:val="en-GB"/>
        </w:rPr>
        <w:t xml:space="preserve"> participant numbers were alleviated by a satisfactory response rate. It was particularly notable that a higher proportion of female participants engaged with the study, prompting consideration of whether this reflects a greater willingness among females to </w:t>
      </w:r>
      <w:r w:rsidRPr="0B06A73D" w:rsidR="1232FE95">
        <w:rPr>
          <w:rFonts w:ascii="Times New Roman" w:hAnsi="Times New Roman" w:eastAsia="Times New Roman" w:cs="Times New Roman"/>
          <w:noProof w:val="0"/>
          <w:color w:val="000000" w:themeColor="text1" w:themeTint="FF" w:themeShade="FF"/>
          <w:sz w:val="24"/>
          <w:szCs w:val="24"/>
          <w:lang w:val="en-GB"/>
        </w:rPr>
        <w:t>participate</w:t>
      </w:r>
      <w:r w:rsidRPr="0B06A73D" w:rsidR="1232FE95">
        <w:rPr>
          <w:rFonts w:ascii="Times New Roman" w:hAnsi="Times New Roman" w:eastAsia="Times New Roman" w:cs="Times New Roman"/>
          <w:noProof w:val="0"/>
          <w:color w:val="000000" w:themeColor="text1" w:themeTint="FF" w:themeShade="FF"/>
          <w:sz w:val="24"/>
          <w:szCs w:val="24"/>
          <w:lang w:val="en-GB"/>
        </w:rPr>
        <w:t xml:space="preserve"> in research or the demographic composition of the health and fitness environment.</w:t>
      </w:r>
    </w:p>
    <w:p w:rsidR="1232FE95" w:rsidP="0B06A73D" w:rsidRDefault="1232FE95" w14:paraId="7B57B117" w14:textId="44E00E71">
      <w:pPr>
        <w:spacing w:before="240" w:beforeAutospacing="off" w:after="240" w:afterAutospacing="off" w:line="360" w:lineRule="auto"/>
      </w:pPr>
      <w:r w:rsidRPr="0B06A73D" w:rsidR="1232FE95">
        <w:rPr>
          <w:rFonts w:ascii="Times New Roman" w:hAnsi="Times New Roman" w:eastAsia="Times New Roman" w:cs="Times New Roman"/>
          <w:noProof w:val="0"/>
          <w:color w:val="000000" w:themeColor="text1" w:themeTint="FF" w:themeShade="FF"/>
          <w:sz w:val="24"/>
          <w:szCs w:val="24"/>
          <w:lang w:val="en-GB"/>
        </w:rPr>
        <w:t>When evaluating this experience, several strengths and limitations can be identified. A key strength was the simplicity of the questionnaire, which reduced participant burden and acknowledged the time constraints of individuals with busy lifestyles, likely contributing to the response rate and overall feasibility of the study. However, this simplicity also limited the depth of data collected. Additional questions could have provided greater context, such as identifying which recruitment methods were most effective or exploring participants’ sources of nutrition knowledge. This would have enhanced both the quality and applicability of the findings.</w:t>
      </w:r>
    </w:p>
    <w:p w:rsidR="06B91229" w:rsidP="0B06A73D" w:rsidRDefault="06B91229" w14:paraId="723AFBE9" w14:textId="09017C4B">
      <w:pPr>
        <w:pStyle w:val="Normal"/>
        <w:spacing w:before="240" w:beforeAutospacing="off" w:after="240" w:afterAutospacing="off" w:line="360" w:lineRule="auto"/>
      </w:pPr>
      <w:r w:rsidRPr="0B06A73D" w:rsidR="06B91229">
        <w:rPr>
          <w:rFonts w:ascii="Times New Roman" w:hAnsi="Times New Roman" w:eastAsia="Times New Roman" w:cs="Times New Roman"/>
          <w:noProof w:val="0"/>
          <w:color w:val="000000" w:themeColor="text1" w:themeTint="FF" w:themeShade="FF"/>
          <w:sz w:val="24"/>
          <w:szCs w:val="24"/>
          <w:lang w:val="en-GB"/>
        </w:rPr>
        <w:t>Consistent with Gibbs’ analysis stage, reflection on these findings suggested that participant engagement may have been influenced by both practical and psychological factors.</w:t>
      </w:r>
      <w:r w:rsidRPr="0B06A73D" w:rsidR="1232FE95">
        <w:rPr>
          <w:rFonts w:ascii="Times New Roman" w:hAnsi="Times New Roman" w:eastAsia="Times New Roman" w:cs="Times New Roman"/>
          <w:noProof w:val="0"/>
          <w:color w:val="000000" w:themeColor="text1" w:themeTint="FF" w:themeShade="FF"/>
          <w:sz w:val="24"/>
          <w:szCs w:val="24"/>
          <w:lang w:val="en-GB"/>
        </w:rPr>
        <w:t xml:space="preserve"> For example, the lower participation of individuals working within the health and fitness industry may reflect perceived expectations, whereby professionals feel they should already possess </w:t>
      </w:r>
      <w:r w:rsidRPr="0B06A73D" w:rsidR="1232FE95">
        <w:rPr>
          <w:rFonts w:ascii="Times New Roman" w:hAnsi="Times New Roman" w:eastAsia="Times New Roman" w:cs="Times New Roman"/>
          <w:noProof w:val="0"/>
          <w:color w:val="000000" w:themeColor="text1" w:themeTint="FF" w:themeShade="FF"/>
          <w:sz w:val="24"/>
          <w:szCs w:val="24"/>
          <w:lang w:val="en-GB"/>
        </w:rPr>
        <w:t>a high level</w:t>
      </w:r>
      <w:r w:rsidRPr="0B06A73D" w:rsidR="1232FE95">
        <w:rPr>
          <w:rFonts w:ascii="Times New Roman" w:hAnsi="Times New Roman" w:eastAsia="Times New Roman" w:cs="Times New Roman"/>
          <w:noProof w:val="0"/>
          <w:color w:val="000000" w:themeColor="text1" w:themeTint="FF" w:themeShade="FF"/>
          <w:sz w:val="24"/>
          <w:szCs w:val="24"/>
          <w:lang w:val="en-GB"/>
        </w:rPr>
        <w:t xml:space="preserve"> of nutrition knowledge, potentially leading to avoidance if confidence is low. </w:t>
      </w:r>
      <w:r w:rsidRPr="0B06A73D" w:rsidR="781DEDC3">
        <w:rPr>
          <w:rFonts w:ascii="Times New Roman" w:hAnsi="Times New Roman" w:eastAsia="Times New Roman" w:cs="Times New Roman"/>
          <w:b w:val="0"/>
          <w:bCs w:val="0"/>
          <w:noProof w:val="0"/>
          <w:color w:val="000000" w:themeColor="text1" w:themeTint="FF" w:themeShade="FF"/>
          <w:sz w:val="24"/>
          <w:szCs w:val="24"/>
          <w:lang w:val="en-GB"/>
        </w:rPr>
        <w:t xml:space="preserve">This may reflect the influence of demand characteristics (Orne, 1962), where participants </w:t>
      </w:r>
      <w:r w:rsidRPr="0B06A73D" w:rsidR="781DEDC3">
        <w:rPr>
          <w:rFonts w:ascii="Times New Roman" w:hAnsi="Times New Roman" w:eastAsia="Times New Roman" w:cs="Times New Roman"/>
          <w:b w:val="0"/>
          <w:bCs w:val="0"/>
          <w:noProof w:val="0"/>
          <w:color w:val="000000" w:themeColor="text1" w:themeTint="FF" w:themeShade="FF"/>
          <w:sz w:val="24"/>
          <w:szCs w:val="24"/>
          <w:lang w:val="en-GB"/>
        </w:rPr>
        <w:t>modify</w:t>
      </w:r>
      <w:r w:rsidRPr="0B06A73D" w:rsidR="781DEDC3">
        <w:rPr>
          <w:rFonts w:ascii="Times New Roman" w:hAnsi="Times New Roman" w:eastAsia="Times New Roman" w:cs="Times New Roman"/>
          <w:b w:val="0"/>
          <w:bCs w:val="0"/>
          <w:noProof w:val="0"/>
          <w:color w:val="000000" w:themeColor="text1" w:themeTint="FF" w:themeShade="FF"/>
          <w:sz w:val="24"/>
          <w:szCs w:val="24"/>
          <w:lang w:val="en-GB"/>
        </w:rPr>
        <w:t xml:space="preserve"> their behaviour or responses based on perceived expectations of the study. For example, individuals may provide answers they believe are desirable or expected, rather than reflecting their true knowledge, which may </w:t>
      </w:r>
      <w:r w:rsidRPr="0B06A73D" w:rsidR="781DEDC3">
        <w:rPr>
          <w:rFonts w:ascii="Times New Roman" w:hAnsi="Times New Roman" w:eastAsia="Times New Roman" w:cs="Times New Roman"/>
          <w:b w:val="0"/>
          <w:bCs w:val="0"/>
          <w:noProof w:val="0"/>
          <w:color w:val="000000" w:themeColor="text1" w:themeTint="FF" w:themeShade="FF"/>
          <w:sz w:val="24"/>
          <w:szCs w:val="24"/>
          <w:lang w:val="en-GB"/>
        </w:rPr>
        <w:t>impact</w:t>
      </w:r>
      <w:r w:rsidRPr="0B06A73D" w:rsidR="781DEDC3">
        <w:rPr>
          <w:rFonts w:ascii="Times New Roman" w:hAnsi="Times New Roman" w:eastAsia="Times New Roman" w:cs="Times New Roman"/>
          <w:b w:val="0"/>
          <w:bCs w:val="0"/>
          <w:noProof w:val="0"/>
          <w:color w:val="000000" w:themeColor="text1" w:themeTint="FF" w:themeShade="FF"/>
          <w:sz w:val="24"/>
          <w:szCs w:val="24"/>
          <w:lang w:val="en-GB"/>
        </w:rPr>
        <w:t xml:space="preserve"> the validity of the findings. </w:t>
      </w:r>
      <w:r w:rsidRPr="0B06A73D" w:rsidR="1232FE95">
        <w:rPr>
          <w:rFonts w:ascii="Times New Roman" w:hAnsi="Times New Roman" w:eastAsia="Times New Roman" w:cs="Times New Roman"/>
          <w:noProof w:val="0"/>
          <w:color w:val="000000" w:themeColor="text1" w:themeTint="FF" w:themeShade="FF"/>
          <w:sz w:val="24"/>
          <w:szCs w:val="24"/>
          <w:lang w:val="en-GB"/>
        </w:rPr>
        <w:t>This highlights the importance of considering how research topics may be perceived by different participant groups and how this may influence engagement. Furthermore, ethical considerations extend beyond procedural requirements, as knowledge-based assessments may unintentionally create pressure or discomfort, particularly when linked to professional identity. It is therefore important that future research ensures participants feel supported rather than judged, with clear communication around confidentiality, voluntary participation, and the purpose of the research.</w:t>
      </w:r>
    </w:p>
    <w:p w:rsidR="1232FE95" w:rsidP="0B06A73D" w:rsidRDefault="1232FE95" w14:paraId="6FE3D182" w14:textId="0CEA6EDE">
      <w:pPr>
        <w:spacing w:before="240" w:beforeAutospacing="off" w:after="240" w:afterAutospacing="off" w:line="360" w:lineRule="auto"/>
      </w:pPr>
      <w:r w:rsidRPr="0B06A73D" w:rsidR="1232FE95">
        <w:rPr>
          <w:rFonts w:ascii="Times New Roman" w:hAnsi="Times New Roman" w:eastAsia="Times New Roman" w:cs="Times New Roman"/>
          <w:noProof w:val="0"/>
          <w:color w:val="000000" w:themeColor="text1" w:themeTint="FF" w:themeShade="FF"/>
          <w:sz w:val="24"/>
          <w:szCs w:val="24"/>
          <w:lang w:val="en-GB"/>
        </w:rPr>
        <w:t>In conclusion, the study demonstrated that the A-NSKQ is an effective tool for assessing nutrition knowledge, particularly when combined with a simple and accessible research design. However, future research would benefit from incorporating additional questions to enhance the depth of data collected. There is also potential to explore the relationship between nutrition knowledge and actual dietary behaviour; however, it is acknowledged that methods such as food diaries may introduce bias, as participants may not accurately record their intake.</w:t>
      </w:r>
    </w:p>
    <w:p w:rsidR="1232FE95" w:rsidP="0B06A73D" w:rsidRDefault="1232FE95" w14:paraId="0D508E0E" w14:textId="28A76B4B">
      <w:pPr>
        <w:spacing w:before="240" w:beforeAutospacing="off" w:after="240" w:afterAutospacing="off" w:line="360" w:lineRule="auto"/>
      </w:pPr>
      <w:r w:rsidRPr="0B06A73D" w:rsidR="1232FE95">
        <w:rPr>
          <w:rFonts w:ascii="Times New Roman" w:hAnsi="Times New Roman" w:eastAsia="Times New Roman" w:cs="Times New Roman"/>
          <w:noProof w:val="0"/>
          <w:color w:val="000000" w:themeColor="text1" w:themeTint="FF" w:themeShade="FF"/>
          <w:sz w:val="24"/>
          <w:szCs w:val="24"/>
          <w:lang w:val="en-GB"/>
        </w:rPr>
        <w:t>In analysing the outcomes of this study, it was considered that future research should build on these findings by maintaining the use of the A-NSKQ while expanding the methodology to include additional data collection measures. This may involve incorporating questions related to recruitment methods and sources of nutrition knowledge, as well as exploring more applied approaches, such as assessing dietary habits or implementing testing or intervention-based designs.</w:t>
      </w:r>
    </w:p>
    <w:p w:rsidR="1232FE95" w:rsidP="0B06A73D" w:rsidRDefault="1232FE95" w14:paraId="781A3849" w14:textId="31AE0431">
      <w:pPr>
        <w:spacing w:before="240" w:beforeAutospacing="off" w:after="240" w:afterAutospacing="off" w:line="360" w:lineRule="auto"/>
      </w:pPr>
      <w:r w:rsidRPr="0B06A73D" w:rsidR="1232FE95">
        <w:rPr>
          <w:rFonts w:ascii="Times New Roman" w:hAnsi="Times New Roman" w:eastAsia="Times New Roman" w:cs="Times New Roman"/>
          <w:noProof w:val="0"/>
          <w:color w:val="000000" w:themeColor="text1" w:themeTint="FF" w:themeShade="FF"/>
          <w:sz w:val="24"/>
          <w:szCs w:val="24"/>
          <w:lang w:val="en-GB"/>
        </w:rPr>
        <w:t>Importantly, the findings also have clear implications for professional practice within the health and fitness industry. The results suggest that engagement in exercise or employment within the sector does not necessarily equate to adequate nutrition knowledge. This highlights a need for improved, evidence-based nutrition education among personal trainers, coaches, and fitness professionals, who are often in positions of influence when providing informal dietary advice. In a workplace context, this may involve greater emphasis on continuing professional development, clearer recognition of scope of practice, and collaboration with qualified nutrition professionals where appropriate.</w:t>
      </w:r>
    </w:p>
    <w:p w:rsidR="1232FE95" w:rsidP="0B06A73D" w:rsidRDefault="1232FE95" w14:paraId="0DE5014A" w14:textId="28CCDC81">
      <w:pPr>
        <w:pStyle w:val="Normal"/>
        <w:spacing w:before="240" w:beforeAutospacing="off" w:after="240" w:afterAutospacing="off" w:line="360" w:lineRule="auto"/>
      </w:pPr>
      <w:r w:rsidRPr="0B06A73D" w:rsidR="1232FE95">
        <w:rPr>
          <w:rFonts w:ascii="Times New Roman" w:hAnsi="Times New Roman" w:eastAsia="Times New Roman" w:cs="Times New Roman"/>
          <w:noProof w:val="0"/>
          <w:color w:val="000000" w:themeColor="text1" w:themeTint="FF" w:themeShade="FF"/>
          <w:sz w:val="24"/>
          <w:szCs w:val="24"/>
          <w:lang w:val="en-GB"/>
        </w:rPr>
        <w:t xml:space="preserve">Furthermore, </w:t>
      </w:r>
      <w:r w:rsidRPr="0B06A73D" w:rsidR="7EF54713">
        <w:rPr>
          <w:rFonts w:ascii="Times New Roman" w:hAnsi="Times New Roman" w:eastAsia="Times New Roman" w:cs="Times New Roman"/>
          <w:noProof w:val="0"/>
          <w:color w:val="000000" w:themeColor="text1" w:themeTint="FF" w:themeShade="FF"/>
          <w:sz w:val="24"/>
          <w:szCs w:val="24"/>
          <w:lang w:val="en-GB"/>
        </w:rPr>
        <w:t>this highlights that, although the study assessed nutrition knowledge, it did not examine how this knowledge is applied in real-world behaviours. This represents a limitation, as knowledge does not necessarily translate into practice. Future research should therefore aim to explore the relationship between knowledge and behaviour.</w:t>
      </w:r>
    </w:p>
    <w:p w:rsidR="1232FE95" w:rsidP="0B06A73D" w:rsidRDefault="1232FE95" w14:paraId="2B5B2B96" w14:textId="2BDE48E8">
      <w:pPr>
        <w:spacing w:before="240" w:beforeAutospacing="off" w:after="240" w:afterAutospacing="off" w:line="360" w:lineRule="auto"/>
      </w:pPr>
      <w:r w:rsidRPr="0B06A73D" w:rsidR="1232FE95">
        <w:rPr>
          <w:rFonts w:ascii="Times New Roman" w:hAnsi="Times New Roman" w:eastAsia="Times New Roman" w:cs="Times New Roman"/>
          <w:noProof w:val="0"/>
          <w:color w:val="000000" w:themeColor="text1" w:themeTint="FF" w:themeShade="FF"/>
          <w:sz w:val="24"/>
          <w:szCs w:val="24"/>
          <w:lang w:val="en-GB"/>
        </w:rPr>
        <w:t>From a professional perspective, this research has reinforced a strong interest in women’s health, particularly given the high level of engagement observed within this group. Moving forward, this will inform the development of targeted, evidence-based approaches to support nutrition knowledge and behaviour change within female populations, contributing to improved health outcomes and more effective practice.</w:t>
      </w:r>
      <w:r w:rsidRPr="0B06A73D" w:rsidR="1232FE95">
        <w:rPr>
          <w:rFonts w:ascii="Times New Roman" w:hAnsi="Times New Roman" w:eastAsia="Times New Roman" w:cs="Times New Roman"/>
          <w:b w:val="0"/>
          <w:bCs w:val="0"/>
          <w:noProof w:val="0"/>
          <w:color w:val="000000" w:themeColor="text1" w:themeTint="FF" w:themeShade="FF"/>
          <w:sz w:val="24"/>
          <w:szCs w:val="24"/>
          <w:lang w:val="en-GB"/>
        </w:rPr>
        <w:t xml:space="preserve"> </w:t>
      </w:r>
    </w:p>
    <w:p w:rsidR="0B06A73D" w:rsidP="0B06A73D" w:rsidRDefault="0B06A73D" w14:paraId="74728B23" w14:textId="10CB33E9">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3EE4B16A" w:rsidP="0B06A73D" w:rsidRDefault="3EE4B16A" w14:paraId="66CEAA69" w14:textId="0988D314">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B06A73D" w:rsidR="3EE4B16A">
        <w:rPr>
          <w:rFonts w:ascii="Times New Roman" w:hAnsi="Times New Roman" w:eastAsia="Times New Roman" w:cs="Times New Roman"/>
          <w:b w:val="0"/>
          <w:bCs w:val="0"/>
          <w:noProof w:val="0"/>
          <w:color w:val="000000" w:themeColor="text1" w:themeTint="FF" w:themeShade="FF"/>
          <w:sz w:val="24"/>
          <w:szCs w:val="24"/>
          <w:lang w:val="en-GB"/>
        </w:rPr>
        <w:t xml:space="preserve">Word count </w:t>
      </w:r>
      <w:r w:rsidRPr="0B06A73D" w:rsidR="01C7439C">
        <w:rPr>
          <w:rFonts w:ascii="Times New Roman" w:hAnsi="Times New Roman" w:eastAsia="Times New Roman" w:cs="Times New Roman"/>
          <w:b w:val="0"/>
          <w:bCs w:val="0"/>
          <w:noProof w:val="0"/>
          <w:color w:val="000000" w:themeColor="text1" w:themeTint="FF" w:themeShade="FF"/>
          <w:sz w:val="24"/>
          <w:szCs w:val="24"/>
          <w:lang w:val="en-GB"/>
        </w:rPr>
        <w:t>32</w:t>
      </w:r>
      <w:r w:rsidRPr="0B06A73D" w:rsidR="436E6087">
        <w:rPr>
          <w:rFonts w:ascii="Times New Roman" w:hAnsi="Times New Roman" w:eastAsia="Times New Roman" w:cs="Times New Roman"/>
          <w:b w:val="0"/>
          <w:bCs w:val="0"/>
          <w:noProof w:val="0"/>
          <w:color w:val="000000" w:themeColor="text1" w:themeTint="FF" w:themeShade="FF"/>
          <w:sz w:val="24"/>
          <w:szCs w:val="24"/>
          <w:lang w:val="en-GB"/>
        </w:rPr>
        <w:t>32</w:t>
      </w:r>
    </w:p>
    <w:p w:rsidR="0B06A73D" w:rsidP="0B06A73D" w:rsidRDefault="0B06A73D" w14:paraId="7446D39B" w14:textId="6AEA4D23">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687429AA" w14:textId="02384177">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1C9B97D4" w14:textId="5212DE62">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4D5D26D1" w14:textId="315652B5">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27F0A50D" w14:textId="3BB64B35">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14C6BB37" w14:textId="6C0DC4B0">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53571544" w14:textId="45F05D31">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68A06638" w14:textId="433C6BED">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42F11DA6" w14:textId="36EEC1D7">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02C4331E" w14:textId="7F0DB9D3">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17DB3E90" w14:textId="02F82B05">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597FAB45" w14:textId="274B1A78">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3EE4B16A" w:rsidP="0B06A73D" w:rsidRDefault="3EE4B16A" w14:paraId="30B9D59A" w14:textId="3CA3AD47">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B06A73D" w:rsidR="3EE4B16A">
        <w:rPr>
          <w:rFonts w:ascii="Times New Roman" w:hAnsi="Times New Roman" w:eastAsia="Times New Roman" w:cs="Times New Roman"/>
          <w:b w:val="0"/>
          <w:bCs w:val="0"/>
          <w:noProof w:val="0"/>
          <w:color w:val="000000" w:themeColor="text1" w:themeTint="FF" w:themeShade="FF"/>
          <w:sz w:val="24"/>
          <w:szCs w:val="24"/>
          <w:lang w:val="en-GB"/>
        </w:rPr>
        <w:t xml:space="preserve">References </w:t>
      </w:r>
    </w:p>
    <w:p w:rsidR="733C5B33" w:rsidP="0B06A73D" w:rsidRDefault="733C5B33" w14:paraId="12D5B4C6" w14:textId="611D6C44">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Aruna Polisetty, G. Sowmya and Subhajit Pahari (2023). Streaming towards innovation: Understanding consumer adoption of OTT services through IRT and TAM.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Cogent Business &amp; Management</w:t>
      </w:r>
      <w:r w:rsidRPr="0B06A73D" w:rsidR="733C5B33">
        <w:rPr>
          <w:rFonts w:ascii="Times New Roman" w:hAnsi="Times New Roman" w:eastAsia="Times New Roman" w:cs="Times New Roman"/>
          <w:noProof w:val="0"/>
          <w:color w:val="000000" w:themeColor="text1" w:themeTint="FF" w:themeShade="FF"/>
          <w:sz w:val="24"/>
          <w:szCs w:val="24"/>
          <w:lang w:val="en-GB"/>
        </w:rPr>
        <w:t>, 10(3). doi:https://doi.org/10.1080/23311975.2023.2283917.</w:t>
      </w:r>
    </w:p>
    <w:p w:rsidR="733C5B33" w:rsidP="0B06A73D" w:rsidRDefault="733C5B33" w14:paraId="12CA6FF8" w14:textId="414DDAF9">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Boud, D., Keogh, R. and Walker, D. (1985).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Reflection: Turning Experience into Learning</w:t>
      </w:r>
      <w:r w:rsidRPr="0B06A73D" w:rsidR="733C5B33">
        <w:rPr>
          <w:rFonts w:ascii="Times New Roman" w:hAnsi="Times New Roman" w:eastAsia="Times New Roman" w:cs="Times New Roman"/>
          <w:noProof w:val="0"/>
          <w:color w:val="000000" w:themeColor="text1" w:themeTint="FF" w:themeShade="FF"/>
          <w:sz w:val="24"/>
          <w:szCs w:val="24"/>
          <w:lang w:val="en-GB"/>
        </w:rPr>
        <w:t>. [online] Routledge. doi:https://doi.org/10.4324/9781315059051.</w:t>
      </w:r>
    </w:p>
    <w:p w:rsidR="733C5B33" w:rsidP="0B06A73D" w:rsidRDefault="733C5B33" w14:paraId="18B311F7" w14:textId="7C84CDD2">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Dillard, N., Sisco, S. and Collins, J.C. (2024). Expanding Experiential Learning in Contemporary Adult Education: Embracing Technology, Interdisciplinarity, and Cultural Responsiveness.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New Directions for Adult and Continuing Education</w:t>
      </w:r>
      <w:r w:rsidRPr="0B06A73D" w:rsidR="733C5B33">
        <w:rPr>
          <w:rFonts w:ascii="Times New Roman" w:hAnsi="Times New Roman" w:eastAsia="Times New Roman" w:cs="Times New Roman"/>
          <w:noProof w:val="0"/>
          <w:color w:val="000000" w:themeColor="text1" w:themeTint="FF" w:themeShade="FF"/>
          <w:sz w:val="24"/>
          <w:szCs w:val="24"/>
          <w:lang w:val="en-GB"/>
        </w:rPr>
        <w:t>, 2024(184). doi:https://doi.org/10.1002/ace.20539.</w:t>
      </w:r>
    </w:p>
    <w:p w:rsidR="733C5B33" w:rsidP="0B06A73D" w:rsidRDefault="733C5B33" w14:paraId="0B7B5B02" w14:textId="56F27293">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Driscoll, J. (2007).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Practising Clinical Supervision : a Reflective Approach</w:t>
      </w:r>
      <w:r w:rsidRPr="0B06A73D" w:rsidR="733C5B33">
        <w:rPr>
          <w:rFonts w:ascii="Times New Roman" w:hAnsi="Times New Roman" w:eastAsia="Times New Roman" w:cs="Times New Roman"/>
          <w:noProof w:val="0"/>
          <w:color w:val="000000" w:themeColor="text1" w:themeTint="FF" w:themeShade="FF"/>
          <w:sz w:val="24"/>
          <w:szCs w:val="24"/>
          <w:lang w:val="en-GB"/>
        </w:rPr>
        <w:t>. Edinburgh ; New York: Baillière Tindall.</w:t>
      </w:r>
    </w:p>
    <w:p w:rsidR="733C5B33" w:rsidP="0B06A73D" w:rsidRDefault="733C5B33" w14:paraId="5DBAD9C2" w14:textId="28BD0ABF">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G. Haritha and Rao, R. (2024). A Holistic Approach to Professional Development: Integrating Kolb’s Experiential Learning Theory for Soft Skills Mastery.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Journal of Engineering Education Transformations</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[online] pp.415–424. Available at: </w:t>
      </w:r>
      <w:hyperlink r:id="R2ebd3e2116d043b8">
        <w:r w:rsidRPr="0B06A73D" w:rsidR="733C5B33">
          <w:rPr>
            <w:rStyle w:val="Hyperlink"/>
            <w:rFonts w:ascii="Times New Roman" w:hAnsi="Times New Roman" w:eastAsia="Times New Roman" w:cs="Times New Roman"/>
            <w:noProof w:val="0"/>
            <w:sz w:val="24"/>
            <w:szCs w:val="24"/>
            <w:lang w:val="en-GB"/>
          </w:rPr>
          <w:t>https://www.journaleet.in/index.php/jeet/article/view/2426</w:t>
        </w:r>
      </w:hyperlink>
      <w:r w:rsidRPr="0B06A73D" w:rsidR="733C5B33">
        <w:rPr>
          <w:rFonts w:ascii="Times New Roman" w:hAnsi="Times New Roman" w:eastAsia="Times New Roman" w:cs="Times New Roman"/>
          <w:noProof w:val="0"/>
          <w:color w:val="000000" w:themeColor="text1" w:themeTint="FF" w:themeShade="FF"/>
          <w:sz w:val="24"/>
          <w:szCs w:val="24"/>
          <w:lang w:val="en-GB"/>
        </w:rPr>
        <w:t>.</w:t>
      </w:r>
    </w:p>
    <w:p w:rsidR="733C5B33" w:rsidP="0B06A73D" w:rsidRDefault="733C5B33" w14:paraId="11307E3F" w14:textId="60BFA757">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Ghorbel, A., Med Moncef Kammoun, Yaakoubi, M., Trabelsi, O., Liwa Masmoudi and Adnen Gharbi (2025). Learning styles of college students in physical education: insights from Kolb’s experiential learning theory.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Physical Education of Students</w:t>
      </w:r>
      <w:r w:rsidRPr="0B06A73D" w:rsidR="733C5B33">
        <w:rPr>
          <w:rFonts w:ascii="Times New Roman" w:hAnsi="Times New Roman" w:eastAsia="Times New Roman" w:cs="Times New Roman"/>
          <w:noProof w:val="0"/>
          <w:color w:val="000000" w:themeColor="text1" w:themeTint="FF" w:themeShade="FF"/>
          <w:sz w:val="24"/>
          <w:szCs w:val="24"/>
          <w:lang w:val="en-GB"/>
        </w:rPr>
        <w:t>, 29(5), pp.330–339. doi:https://doi.org/10.15561/20755279.2025.0501.</w:t>
      </w:r>
    </w:p>
    <w:p w:rsidR="733C5B33" w:rsidP="0B06A73D" w:rsidRDefault="733C5B33" w14:paraId="7937D5A5" w14:textId="16EE481F">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Gibbs, G. (1988).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Learning by doing: a guide to teaching and learning methods</w:t>
      </w:r>
      <w:r w:rsidRPr="0B06A73D" w:rsidR="733C5B33">
        <w:rPr>
          <w:rFonts w:ascii="Times New Roman" w:hAnsi="Times New Roman" w:eastAsia="Times New Roman" w:cs="Times New Roman"/>
          <w:noProof w:val="0"/>
          <w:color w:val="000000" w:themeColor="text1" w:themeTint="FF" w:themeShade="FF"/>
          <w:sz w:val="24"/>
          <w:szCs w:val="24"/>
          <w:lang w:val="en-GB"/>
        </w:rPr>
        <w:t>. London: Further Education Unit.</w:t>
      </w:r>
    </w:p>
    <w:p w:rsidR="733C5B33" w:rsidP="0B06A73D" w:rsidRDefault="733C5B33" w14:paraId="34C0870E" w14:textId="1EB7DE92">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Harvey, M., Walkerden, G., Semple, A., McLachlan, K., Lloyd, K. and Bosanquet, A. (2025). Reflecting on reflective practice: issues, possibilities and guidance principles.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Higher Education Research &amp; Development</w:t>
      </w:r>
      <w:r w:rsidRPr="0B06A73D" w:rsidR="733C5B33">
        <w:rPr>
          <w:rFonts w:ascii="Times New Roman" w:hAnsi="Times New Roman" w:eastAsia="Times New Roman" w:cs="Times New Roman"/>
          <w:noProof w:val="0"/>
          <w:color w:val="000000" w:themeColor="text1" w:themeTint="FF" w:themeShade="FF"/>
          <w:sz w:val="24"/>
          <w:szCs w:val="24"/>
          <w:lang w:val="en-GB"/>
        </w:rPr>
        <w:t>, pp.1–9. doi:https://doi.org/10.1080/07294360.2025.2463517.</w:t>
      </w:r>
    </w:p>
    <w:p w:rsidR="733C5B33" w:rsidP="0B06A73D" w:rsidRDefault="733C5B33" w14:paraId="3E8B30C7" w14:textId="451108F5">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Kolb, D. (2015).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Experiential learning: Experience as the source of learning and development</w:t>
      </w:r>
      <w:r w:rsidRPr="0B06A73D" w:rsidR="733C5B33">
        <w:rPr>
          <w:rFonts w:ascii="Times New Roman" w:hAnsi="Times New Roman" w:eastAsia="Times New Roman" w:cs="Times New Roman"/>
          <w:noProof w:val="0"/>
          <w:color w:val="000000" w:themeColor="text1" w:themeTint="FF" w:themeShade="FF"/>
          <w:sz w:val="24"/>
          <w:szCs w:val="24"/>
          <w:lang w:val="en-GB"/>
        </w:rPr>
        <w:t>. 2nd ed. Upper Saddle River, New Jersey: Pearson Education, Inc.</w:t>
      </w:r>
    </w:p>
    <w:p w:rsidR="733C5B33" w:rsidP="0B06A73D" w:rsidRDefault="733C5B33" w14:paraId="37683329" w14:textId="4E27E21D">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Machost, H. and Stains, M. (2023). Reflective Practices in education: a Primer for Practitioners.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CBE—Life Sciences Education</w:t>
      </w:r>
      <w:r w:rsidRPr="0B06A73D" w:rsidR="733C5B33">
        <w:rPr>
          <w:rFonts w:ascii="Times New Roman" w:hAnsi="Times New Roman" w:eastAsia="Times New Roman" w:cs="Times New Roman"/>
          <w:noProof w:val="0"/>
          <w:color w:val="000000" w:themeColor="text1" w:themeTint="FF" w:themeShade="FF"/>
          <w:sz w:val="24"/>
          <w:szCs w:val="24"/>
          <w:lang w:val="en-GB"/>
        </w:rPr>
        <w:t>, [online] 22(2), pp.1–11. doi:https://doi.org/10.1187/cbe.22-07-0148.</w:t>
      </w:r>
    </w:p>
    <w:p w:rsidR="733C5B33" w:rsidP="0B06A73D" w:rsidRDefault="733C5B33" w14:paraId="383065BE" w14:textId="69C9241F">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Matsuo, M. and Nagata, M. (2026). Ability to learn from experience: an exploratory study.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Human Resource Development International</w:t>
      </w:r>
      <w:r w:rsidRPr="0B06A73D" w:rsidR="733C5B33">
        <w:rPr>
          <w:rFonts w:ascii="Times New Roman" w:hAnsi="Times New Roman" w:eastAsia="Times New Roman" w:cs="Times New Roman"/>
          <w:noProof w:val="0"/>
          <w:color w:val="000000" w:themeColor="text1" w:themeTint="FF" w:themeShade="FF"/>
          <w:sz w:val="24"/>
          <w:szCs w:val="24"/>
          <w:lang w:val="en-GB"/>
        </w:rPr>
        <w:t>, pp.1–24. doi:https://doi.org/10.1080/13678868.2026.2655462.</w:t>
      </w:r>
    </w:p>
    <w:p w:rsidR="733C5B33" w:rsidP="0B06A73D" w:rsidRDefault="733C5B33" w14:paraId="44CB7F74" w14:textId="26E884E1">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McLeod, S. (2025).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Gibbs Reflective Cycle</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[online] Simply Psychology. Available at: </w:t>
      </w:r>
      <w:hyperlink r:id="Rea055ea35b5e421e">
        <w:r w:rsidRPr="0B06A73D" w:rsidR="733C5B33">
          <w:rPr>
            <w:rStyle w:val="Hyperlink"/>
            <w:rFonts w:ascii="Times New Roman" w:hAnsi="Times New Roman" w:eastAsia="Times New Roman" w:cs="Times New Roman"/>
            <w:noProof w:val="0"/>
            <w:sz w:val="24"/>
            <w:szCs w:val="24"/>
            <w:lang w:val="en-GB"/>
          </w:rPr>
          <w:t>https://www.simplypsychology.org/gibbs-reflective-cycle.html</w:t>
        </w:r>
      </w:hyperlink>
      <w:r w:rsidRPr="0B06A73D" w:rsidR="733C5B33">
        <w:rPr>
          <w:rFonts w:ascii="Times New Roman" w:hAnsi="Times New Roman" w:eastAsia="Times New Roman" w:cs="Times New Roman"/>
          <w:noProof w:val="0"/>
          <w:color w:val="000000" w:themeColor="text1" w:themeTint="FF" w:themeShade="FF"/>
          <w:sz w:val="24"/>
          <w:szCs w:val="24"/>
          <w:lang w:val="en-GB"/>
        </w:rPr>
        <w:t>.</w:t>
      </w:r>
    </w:p>
    <w:p w:rsidR="733C5B33" w:rsidP="0B06A73D" w:rsidRDefault="733C5B33" w14:paraId="64C803EF" w14:textId="2D139F05">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Nurbolatova</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A.M and Seidaliyeva G.O (2025). </w:t>
      </w:r>
      <w:r w:rsidRPr="0B06A73D" w:rsidR="24B9918B">
        <w:rPr>
          <w:rFonts w:ascii="Times New Roman" w:hAnsi="Times New Roman" w:eastAsia="Times New Roman" w:cs="Times New Roman"/>
          <w:noProof w:val="0"/>
          <w:color w:val="000000" w:themeColor="text1" w:themeTint="FF" w:themeShade="FF"/>
          <w:sz w:val="24"/>
          <w:szCs w:val="24"/>
          <w:lang w:val="en-GB"/>
        </w:rPr>
        <w:t>M</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odels of reflective feedback in </w:t>
      </w:r>
      <w:r w:rsidRPr="0B06A73D" w:rsidR="733C5B33">
        <w:rPr>
          <w:rFonts w:ascii="Times New Roman" w:hAnsi="Times New Roman" w:eastAsia="Times New Roman" w:cs="Times New Roman"/>
          <w:noProof w:val="0"/>
          <w:color w:val="000000" w:themeColor="text1" w:themeTint="FF" w:themeShade="FF"/>
          <w:sz w:val="24"/>
          <w:szCs w:val="24"/>
          <w:lang w:val="en-GB"/>
        </w:rPr>
        <w:t>english</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language teaching: </w:t>
      </w:r>
      <w:r w:rsidRPr="0B06A73D" w:rsidR="733C5B33">
        <w:rPr>
          <w:rFonts w:ascii="Times New Roman" w:hAnsi="Times New Roman" w:eastAsia="Times New Roman" w:cs="Times New Roman"/>
          <w:noProof w:val="0"/>
          <w:color w:val="000000" w:themeColor="text1" w:themeTint="FF" w:themeShade="FF"/>
          <w:sz w:val="24"/>
          <w:szCs w:val="24"/>
          <w:lang w:val="en-GB"/>
        </w:rPr>
        <w:t>kolb</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w:t>
      </w:r>
      <w:r w:rsidRPr="0B06A73D" w:rsidR="733C5B33">
        <w:rPr>
          <w:rFonts w:ascii="Times New Roman" w:hAnsi="Times New Roman" w:eastAsia="Times New Roman" w:cs="Times New Roman"/>
          <w:noProof w:val="0"/>
          <w:color w:val="000000" w:themeColor="text1" w:themeTint="FF" w:themeShade="FF"/>
          <w:sz w:val="24"/>
          <w:szCs w:val="24"/>
          <w:lang w:val="en-GB"/>
        </w:rPr>
        <w:t>gibbs</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w:t>
      </w:r>
      <w:r w:rsidRPr="0B06A73D" w:rsidR="733C5B33">
        <w:rPr>
          <w:rFonts w:ascii="Times New Roman" w:hAnsi="Times New Roman" w:eastAsia="Times New Roman" w:cs="Times New Roman"/>
          <w:noProof w:val="0"/>
          <w:color w:val="000000" w:themeColor="text1" w:themeTint="FF" w:themeShade="FF"/>
          <w:sz w:val="24"/>
          <w:szCs w:val="24"/>
          <w:lang w:val="en-GB"/>
        </w:rPr>
        <w:t>hattie</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&amp; </w:t>
      </w:r>
      <w:r w:rsidRPr="0B06A73D" w:rsidR="733C5B33">
        <w:rPr>
          <w:rFonts w:ascii="Times New Roman" w:hAnsi="Times New Roman" w:eastAsia="Times New Roman" w:cs="Times New Roman"/>
          <w:noProof w:val="0"/>
          <w:color w:val="000000" w:themeColor="text1" w:themeTint="FF" w:themeShade="FF"/>
          <w:sz w:val="24"/>
          <w:szCs w:val="24"/>
          <w:lang w:val="en-GB"/>
        </w:rPr>
        <w:t>timperley</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Вестник</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науки</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[online] 1(12 (93)). Available at: </w:t>
      </w:r>
      <w:hyperlink r:id="R4a8ff5f900a74d00">
        <w:r w:rsidRPr="0B06A73D" w:rsidR="733C5B33">
          <w:rPr>
            <w:rStyle w:val="Hyperlink"/>
            <w:rFonts w:ascii="Times New Roman" w:hAnsi="Times New Roman" w:eastAsia="Times New Roman" w:cs="Times New Roman"/>
            <w:noProof w:val="0"/>
            <w:sz w:val="24"/>
            <w:szCs w:val="24"/>
            <w:lang w:val="en-GB"/>
          </w:rPr>
          <w:t>https://cyberleninka.ru/article/n/models-of-reflective-feedback-in-english-language-teaching-kolb-gibbs-hattie-timperley</w:t>
        </w:r>
      </w:hyperlink>
      <w:r w:rsidRPr="0B06A73D" w:rsidR="733C5B33">
        <w:rPr>
          <w:rFonts w:ascii="Times New Roman" w:hAnsi="Times New Roman" w:eastAsia="Times New Roman" w:cs="Times New Roman"/>
          <w:noProof w:val="0"/>
          <w:color w:val="000000" w:themeColor="text1" w:themeTint="FF" w:themeShade="FF"/>
          <w:sz w:val="24"/>
          <w:szCs w:val="24"/>
          <w:lang w:val="en-GB"/>
        </w:rPr>
        <w:t>.</w:t>
      </w:r>
    </w:p>
    <w:p w:rsidR="733C5B33" w:rsidP="0B06A73D" w:rsidRDefault="733C5B33" w14:paraId="2F955365" w14:textId="2AD0930C">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Orne, M.T. (1962). On the social psychology of the psychological experiment: With particular reference to demand characteristics and their implications.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American Psychologist</w:t>
      </w:r>
      <w:r w:rsidRPr="0B06A73D" w:rsidR="733C5B33">
        <w:rPr>
          <w:rFonts w:ascii="Times New Roman" w:hAnsi="Times New Roman" w:eastAsia="Times New Roman" w:cs="Times New Roman"/>
          <w:noProof w:val="0"/>
          <w:color w:val="000000" w:themeColor="text1" w:themeTint="FF" w:themeShade="FF"/>
          <w:sz w:val="24"/>
          <w:szCs w:val="24"/>
          <w:lang w:val="en-GB"/>
        </w:rPr>
        <w:t>, 17(11), pp.776–783. doi:https://doi.org/10.1037/h0043424.</w:t>
      </w:r>
    </w:p>
    <w:p w:rsidR="733C5B33" w:rsidP="0B06A73D" w:rsidRDefault="733C5B33" w14:paraId="45B5269E" w14:textId="27B8F42C">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Orsini, C., Soto-</w:t>
      </w:r>
      <w:r w:rsidRPr="0B06A73D" w:rsidR="733C5B33">
        <w:rPr>
          <w:rFonts w:ascii="Times New Roman" w:hAnsi="Times New Roman" w:eastAsia="Times New Roman" w:cs="Times New Roman"/>
          <w:noProof w:val="0"/>
          <w:color w:val="000000" w:themeColor="text1" w:themeTint="FF" w:themeShade="FF"/>
          <w:sz w:val="24"/>
          <w:szCs w:val="24"/>
          <w:lang w:val="en-GB"/>
        </w:rPr>
        <w:t>Faúndez</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N. and Taha, M.H. (2026). Structured Approaches to Reflection: Models and Applications for Clinical Educators’ Professional Development.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 xml:space="preserve">European journal of dental </w:t>
      </w:r>
      <w:r w:rsidRPr="0B06A73D" w:rsidR="7AA8CD80">
        <w:rPr>
          <w:rFonts w:ascii="Times New Roman" w:hAnsi="Times New Roman" w:eastAsia="Times New Roman" w:cs="Times New Roman"/>
          <w:i w:val="1"/>
          <w:iCs w:val="1"/>
          <w:noProof w:val="0"/>
          <w:color w:val="000000" w:themeColor="text1" w:themeTint="FF" w:themeShade="FF"/>
          <w:sz w:val="24"/>
          <w:szCs w:val="24"/>
          <w:lang w:val="en-GB"/>
        </w:rPr>
        <w:t>education:</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 xml:space="preserve"> official journal of the Association for Dental Education in Europe</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[online] p.10.1111/eje.70092. </w:t>
      </w:r>
      <w:r w:rsidRPr="0B06A73D" w:rsidR="733C5B33">
        <w:rPr>
          <w:rFonts w:ascii="Times New Roman" w:hAnsi="Times New Roman" w:eastAsia="Times New Roman" w:cs="Times New Roman"/>
          <w:noProof w:val="0"/>
          <w:color w:val="000000" w:themeColor="text1" w:themeTint="FF" w:themeShade="FF"/>
          <w:sz w:val="24"/>
          <w:szCs w:val="24"/>
          <w:lang w:val="en-GB"/>
        </w:rPr>
        <w:t>doi:https</w:t>
      </w:r>
      <w:r w:rsidRPr="0B06A73D" w:rsidR="733C5B33">
        <w:rPr>
          <w:rFonts w:ascii="Times New Roman" w:hAnsi="Times New Roman" w:eastAsia="Times New Roman" w:cs="Times New Roman"/>
          <w:noProof w:val="0"/>
          <w:color w:val="000000" w:themeColor="text1" w:themeTint="FF" w:themeShade="FF"/>
          <w:sz w:val="24"/>
          <w:szCs w:val="24"/>
          <w:lang w:val="en-GB"/>
        </w:rPr>
        <w:t>://doi.org/10.1111/eje.70092.</w:t>
      </w:r>
    </w:p>
    <w:p w:rsidR="733C5B33" w:rsidP="0B06A73D" w:rsidRDefault="733C5B33" w14:paraId="1D56C077" w14:textId="2769CD36">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Taneja, M., Kiran, R. and Bose, S.C. (2022). Critical analysis of kolb experiential learning process.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International journal of health sciences</w:t>
      </w:r>
      <w:r w:rsidRPr="0B06A73D" w:rsidR="733C5B33">
        <w:rPr>
          <w:rFonts w:ascii="Times New Roman" w:hAnsi="Times New Roman" w:eastAsia="Times New Roman" w:cs="Times New Roman"/>
          <w:noProof w:val="0"/>
          <w:color w:val="000000" w:themeColor="text1" w:themeTint="FF" w:themeShade="FF"/>
          <w:sz w:val="24"/>
          <w:szCs w:val="24"/>
          <w:lang w:val="en-GB"/>
        </w:rPr>
        <w:t>, 6(S1), pp.8713–8723. doi:https://doi.org/10.53730/ijhs.v6ns1.6962.</w:t>
      </w:r>
    </w:p>
    <w:p w:rsidR="733C5B33" w:rsidP="0B06A73D" w:rsidRDefault="733C5B33" w14:paraId="31B1D76F" w14:textId="55BF066A">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Thomas, M., Wallace, C., Jones, G., O’Kane, J., Wilson, L., Dale, F. and Pontin, D. (2022). Using an integrated competence model to evaluate a health visitor cascade training programme for the Family Resilience Assessment Instrument and Tool (FRAIT).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Nurse Education in Practice</w:t>
      </w:r>
      <w:r w:rsidRPr="0B06A73D" w:rsidR="733C5B33">
        <w:rPr>
          <w:rFonts w:ascii="Times New Roman" w:hAnsi="Times New Roman" w:eastAsia="Times New Roman" w:cs="Times New Roman"/>
          <w:noProof w:val="0"/>
          <w:color w:val="000000" w:themeColor="text1" w:themeTint="FF" w:themeShade="FF"/>
          <w:sz w:val="24"/>
          <w:szCs w:val="24"/>
          <w:lang w:val="en-GB"/>
        </w:rPr>
        <w:t>, [online] 62, p.103336. doi:https://doi.org/10.1016/j.nepr.2022.103336.</w:t>
      </w:r>
    </w:p>
    <w:p w:rsidR="733C5B33" w:rsidP="0B06A73D" w:rsidRDefault="733C5B33" w14:paraId="655485A5" w14:textId="3C8D6574">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Wheat, A. (2025).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Quality Improvement Project Unlocking Critical Thinking: The Use of Guided Reflection in Nursing Education</w:t>
      </w:r>
      <w:r w:rsidRPr="0B06A73D" w:rsidR="733C5B33">
        <w:rPr>
          <w:rFonts w:ascii="Times New Roman" w:hAnsi="Times New Roman" w:eastAsia="Times New Roman" w:cs="Times New Roman"/>
          <w:noProof w:val="0"/>
          <w:color w:val="000000" w:themeColor="text1" w:themeTint="FF" w:themeShade="FF"/>
          <w:sz w:val="24"/>
          <w:szCs w:val="24"/>
          <w:lang w:val="en-GB"/>
        </w:rPr>
        <w:t xml:space="preserve">. [online] ARCH: A-State Research &amp; Creativity Hub. Available at: </w:t>
      </w:r>
      <w:hyperlink r:id="R5c27c357a79a49af">
        <w:r w:rsidRPr="0B06A73D" w:rsidR="733C5B33">
          <w:rPr>
            <w:rStyle w:val="Hyperlink"/>
            <w:rFonts w:ascii="Times New Roman" w:hAnsi="Times New Roman" w:eastAsia="Times New Roman" w:cs="Times New Roman"/>
            <w:noProof w:val="0"/>
            <w:sz w:val="24"/>
            <w:szCs w:val="24"/>
            <w:lang w:val="en-GB"/>
          </w:rPr>
          <w:t>https://arch.astate.edu/dnp-projects/230/</w:t>
        </w:r>
      </w:hyperlink>
      <w:r w:rsidRPr="0B06A73D" w:rsidR="733C5B33">
        <w:rPr>
          <w:rFonts w:ascii="Times New Roman" w:hAnsi="Times New Roman" w:eastAsia="Times New Roman" w:cs="Times New Roman"/>
          <w:noProof w:val="0"/>
          <w:color w:val="000000" w:themeColor="text1" w:themeTint="FF" w:themeShade="FF"/>
          <w:sz w:val="24"/>
          <w:szCs w:val="24"/>
          <w:lang w:val="en-GB"/>
        </w:rPr>
        <w:t>.</w:t>
      </w:r>
    </w:p>
    <w:p w:rsidR="733C5B33" w:rsidP="0B06A73D" w:rsidRDefault="733C5B33" w14:paraId="793B5A71" w14:textId="52504D95">
      <w:pPr>
        <w:spacing w:before="240" w:beforeAutospacing="off" w:after="240" w:afterAutospacing="off" w:line="360" w:lineRule="auto"/>
      </w:pPr>
      <w:r w:rsidRPr="0B06A73D" w:rsidR="733C5B33">
        <w:rPr>
          <w:rFonts w:ascii="Times New Roman" w:hAnsi="Times New Roman" w:eastAsia="Times New Roman" w:cs="Times New Roman"/>
          <w:noProof w:val="0"/>
          <w:color w:val="000000" w:themeColor="text1" w:themeTint="FF" w:themeShade="FF"/>
          <w:sz w:val="24"/>
          <w:szCs w:val="24"/>
          <w:lang w:val="en-GB"/>
        </w:rPr>
        <w:t xml:space="preserve">Zamzami Zainuddin, Madziatul Churiyah, Wening Patmi Rahayu, Heri Pratikto and Halili, S.H. (2026). E-portfolios as authentic assessment in pre-service teacher education: enhancing reflection, professional identity, and digital preparedness. </w:t>
      </w:r>
      <w:r w:rsidRPr="0B06A73D" w:rsidR="733C5B33">
        <w:rPr>
          <w:rFonts w:ascii="Times New Roman" w:hAnsi="Times New Roman" w:eastAsia="Times New Roman" w:cs="Times New Roman"/>
          <w:i w:val="1"/>
          <w:iCs w:val="1"/>
          <w:noProof w:val="0"/>
          <w:color w:val="000000" w:themeColor="text1" w:themeTint="FF" w:themeShade="FF"/>
          <w:sz w:val="24"/>
          <w:szCs w:val="24"/>
          <w:lang w:val="en-GB"/>
        </w:rPr>
        <w:t>Education and Information Technologies</w:t>
      </w:r>
      <w:r w:rsidRPr="0B06A73D" w:rsidR="733C5B33">
        <w:rPr>
          <w:rFonts w:ascii="Times New Roman" w:hAnsi="Times New Roman" w:eastAsia="Times New Roman" w:cs="Times New Roman"/>
          <w:noProof w:val="0"/>
          <w:color w:val="000000" w:themeColor="text1" w:themeTint="FF" w:themeShade="FF"/>
          <w:sz w:val="24"/>
          <w:szCs w:val="24"/>
          <w:lang w:val="en-GB"/>
        </w:rPr>
        <w:t>. doi:https://doi.org/10.1007/s10639-025-13869-y.</w:t>
      </w:r>
    </w:p>
    <w:p w:rsidR="0B06A73D" w:rsidP="0B06A73D" w:rsidRDefault="0B06A73D" w14:paraId="43C5E249" w14:textId="3929A9D4">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6D1FF37D" w14:textId="7C8DD085">
      <w:pPr>
        <w:pStyle w:val="Normal"/>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0B06A73D" w:rsidP="0B06A73D" w:rsidRDefault="0B06A73D" w14:paraId="2F6E5835" w14:textId="0A3131A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p>
    <w:p w:rsidR="0B06A73D" w:rsidP="0B06A73D" w:rsidRDefault="0B06A73D" w14:paraId="43CAB6E3" w14:textId="422706E1">
      <w:pPr>
        <w:spacing w:before="0" w:beforeAutospacing="off" w:after="0" w:afterAutospacing="off"/>
      </w:pPr>
    </w:p>
    <w:p w:rsidR="0B06A73D" w:rsidP="0B06A73D" w:rsidRDefault="0B06A73D" w14:paraId="1207B7C3" w14:textId="5393FE85">
      <w:pPr>
        <w:spacing w:before="240" w:beforeAutospacing="off" w:after="240" w:afterAutospacing="off"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B06A73D" w:rsidP="0B06A73D" w:rsidRDefault="0B06A73D" w14:paraId="2FE256F1" w14:textId="3B3DFDD9">
      <w:pPr>
        <w:pStyle w:val="Normal"/>
        <w:spacing w:before="0" w:beforeAutospacing="off" w:after="0" w:afterAutospacing="off"/>
      </w:pPr>
    </w:p>
    <w:p w:rsidR="0B06A73D" w:rsidRDefault="0B06A73D" w14:paraId="5EF9E4E1" w14:textId="2C6BB51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d4c16d"/>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e04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33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1185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2679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ac96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00ADA6"/>
    <w:rsid w:val="01C7439C"/>
    <w:rsid w:val="02B6EB3B"/>
    <w:rsid w:val="02E732EF"/>
    <w:rsid w:val="0341119A"/>
    <w:rsid w:val="05E2346C"/>
    <w:rsid w:val="06B91229"/>
    <w:rsid w:val="08377E51"/>
    <w:rsid w:val="09250685"/>
    <w:rsid w:val="097AAB9E"/>
    <w:rsid w:val="0B06A73D"/>
    <w:rsid w:val="0F062647"/>
    <w:rsid w:val="0FC3A72C"/>
    <w:rsid w:val="107C0ACE"/>
    <w:rsid w:val="110680B7"/>
    <w:rsid w:val="1232FE95"/>
    <w:rsid w:val="1598D8B1"/>
    <w:rsid w:val="16660B85"/>
    <w:rsid w:val="18A79972"/>
    <w:rsid w:val="19387E51"/>
    <w:rsid w:val="1BAD1A94"/>
    <w:rsid w:val="1BDBCBEA"/>
    <w:rsid w:val="1BE19F58"/>
    <w:rsid w:val="1C18FC17"/>
    <w:rsid w:val="1C90342B"/>
    <w:rsid w:val="1CE41283"/>
    <w:rsid w:val="21D48769"/>
    <w:rsid w:val="24B28C8C"/>
    <w:rsid w:val="24B9918B"/>
    <w:rsid w:val="257E26A0"/>
    <w:rsid w:val="25C39E17"/>
    <w:rsid w:val="25DDA10B"/>
    <w:rsid w:val="265C05B5"/>
    <w:rsid w:val="28AA1485"/>
    <w:rsid w:val="28B28B83"/>
    <w:rsid w:val="28D9CEA7"/>
    <w:rsid w:val="2A00ADA6"/>
    <w:rsid w:val="2A91488B"/>
    <w:rsid w:val="2AAA8176"/>
    <w:rsid w:val="2AFE4943"/>
    <w:rsid w:val="2C2101D5"/>
    <w:rsid w:val="2EAEBD0E"/>
    <w:rsid w:val="300DD8AF"/>
    <w:rsid w:val="30E0A7B1"/>
    <w:rsid w:val="312ADC67"/>
    <w:rsid w:val="3286E80C"/>
    <w:rsid w:val="3383D448"/>
    <w:rsid w:val="33D3654F"/>
    <w:rsid w:val="3437E2B6"/>
    <w:rsid w:val="351B6207"/>
    <w:rsid w:val="355F82F9"/>
    <w:rsid w:val="37C10E42"/>
    <w:rsid w:val="384FB1F1"/>
    <w:rsid w:val="3886A8D4"/>
    <w:rsid w:val="38F3A5AC"/>
    <w:rsid w:val="3D7B6173"/>
    <w:rsid w:val="3EE4B16A"/>
    <w:rsid w:val="3F5E5C5D"/>
    <w:rsid w:val="3FBC965F"/>
    <w:rsid w:val="410062F1"/>
    <w:rsid w:val="42A33F9F"/>
    <w:rsid w:val="436E6087"/>
    <w:rsid w:val="43A72149"/>
    <w:rsid w:val="44B57B55"/>
    <w:rsid w:val="46D2404E"/>
    <w:rsid w:val="48973C73"/>
    <w:rsid w:val="48AB9562"/>
    <w:rsid w:val="4995B85D"/>
    <w:rsid w:val="4A0231A3"/>
    <w:rsid w:val="4ACB6E25"/>
    <w:rsid w:val="4B37C556"/>
    <w:rsid w:val="4EB89D39"/>
    <w:rsid w:val="5100828F"/>
    <w:rsid w:val="520BCFEC"/>
    <w:rsid w:val="5563287C"/>
    <w:rsid w:val="5880D100"/>
    <w:rsid w:val="59E42519"/>
    <w:rsid w:val="5A9029EB"/>
    <w:rsid w:val="5C30E010"/>
    <w:rsid w:val="5C4C0A05"/>
    <w:rsid w:val="5DB3764A"/>
    <w:rsid w:val="5E673949"/>
    <w:rsid w:val="5ECFB240"/>
    <w:rsid w:val="60C65111"/>
    <w:rsid w:val="64A35F1D"/>
    <w:rsid w:val="64D78485"/>
    <w:rsid w:val="65DC1CDE"/>
    <w:rsid w:val="66557EE3"/>
    <w:rsid w:val="6848EC35"/>
    <w:rsid w:val="69879948"/>
    <w:rsid w:val="6A252208"/>
    <w:rsid w:val="6A639151"/>
    <w:rsid w:val="6A9AC535"/>
    <w:rsid w:val="6ACE2010"/>
    <w:rsid w:val="6B50D035"/>
    <w:rsid w:val="6B8FCC7A"/>
    <w:rsid w:val="6C58ED96"/>
    <w:rsid w:val="6D76765B"/>
    <w:rsid w:val="6D861B9F"/>
    <w:rsid w:val="6E4D4791"/>
    <w:rsid w:val="6FD461AA"/>
    <w:rsid w:val="70E6B684"/>
    <w:rsid w:val="72DE9887"/>
    <w:rsid w:val="730857B3"/>
    <w:rsid w:val="733C5B33"/>
    <w:rsid w:val="73B426E5"/>
    <w:rsid w:val="753B9601"/>
    <w:rsid w:val="75BA9A0F"/>
    <w:rsid w:val="75FD29CC"/>
    <w:rsid w:val="76DD83ED"/>
    <w:rsid w:val="781DEDC3"/>
    <w:rsid w:val="784A91DB"/>
    <w:rsid w:val="7AA8CD80"/>
    <w:rsid w:val="7EF3BC6A"/>
    <w:rsid w:val="7EF54713"/>
    <w:rsid w:val="7F0C209A"/>
    <w:rsid w:val="7F677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F2B33"/>
  <w15:chartTrackingRefBased/>
  <w15:docId w15:val="{E9340B1A-9A71-41AE-B0B8-1F40E060AC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B06A73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B06A73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B06A73D"/>
    <w:pPr>
      <w:spacing/>
      <w:ind w:left="720"/>
      <w:contextualSpacing/>
    </w:pPr>
  </w:style>
  <w:style w:type="character" w:styleId="Hyperlink">
    <w:uiPriority w:val="99"/>
    <w:name w:val="Hyperlink"/>
    <w:basedOn w:val="DefaultParagraphFont"/>
    <w:unhideWhenUsed/>
    <w:rsid w:val="0B06A7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ournaleet.in/index.php/jeet/article/view/2426" TargetMode="External" Id="R2ebd3e2116d043b8" /><Relationship Type="http://schemas.openxmlformats.org/officeDocument/2006/relationships/hyperlink" Target="https://www.simplypsychology.org/gibbs-reflective-cycle.html" TargetMode="External" Id="Rea055ea35b5e421e" /><Relationship Type="http://schemas.openxmlformats.org/officeDocument/2006/relationships/hyperlink" Target="https://cyberleninka.ru/article/n/models-of-reflective-feedback-in-english-language-teaching-kolb-gibbs-hattie-timperley" TargetMode="External" Id="R4a8ff5f900a74d00" /><Relationship Type="http://schemas.openxmlformats.org/officeDocument/2006/relationships/hyperlink" Target="https://arch.astate.edu/dnp-projects/230/" TargetMode="External" Id="R5c27c357a79a49af" /><Relationship Type="http://schemas.openxmlformats.org/officeDocument/2006/relationships/numbering" Target="/word/numbering.xml" Id="R4ca834f9411044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Rees (2105815)</dc:creator>
  <keywords/>
  <dc:description/>
  <lastModifiedBy>Laura Rees (2105815)</lastModifiedBy>
  <revision>2</revision>
  <dcterms:created xsi:type="dcterms:W3CDTF">2026-05-11T10:58:02.2222343Z</dcterms:created>
  <dcterms:modified xsi:type="dcterms:W3CDTF">2026-05-15T10:17:07.0300638Z</dcterms:modified>
</coreProperties>
</file>