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9CFCE" w14:textId="77777777" w:rsidR="00A715B8" w:rsidRDefault="00A715B8" w:rsidP="005846CC">
      <w:pPr>
        <w:pStyle w:val="BodyText"/>
        <w:rPr>
          <w:rFonts w:cs="Arial"/>
          <w:b/>
          <w:bCs/>
          <w:color w:val="000000"/>
        </w:rPr>
      </w:pPr>
    </w:p>
    <w:p w14:paraId="77339E09" w14:textId="77777777" w:rsidR="00A715B8" w:rsidRDefault="00A715B8" w:rsidP="005846CC">
      <w:pPr>
        <w:pStyle w:val="BodyText"/>
        <w:rPr>
          <w:rFonts w:cs="Arial"/>
          <w:b/>
          <w:bCs/>
          <w:color w:val="000000"/>
        </w:rPr>
      </w:pPr>
    </w:p>
    <w:p w14:paraId="225FBD3F" w14:textId="77777777" w:rsidR="00A715B8" w:rsidRDefault="00A715B8" w:rsidP="005846CC">
      <w:pPr>
        <w:pStyle w:val="BodyText"/>
        <w:rPr>
          <w:rFonts w:cs="Arial"/>
          <w:b/>
          <w:bCs/>
          <w:color w:val="000000"/>
        </w:rPr>
      </w:pPr>
    </w:p>
    <w:p w14:paraId="2A7D5EC3" w14:textId="77777777" w:rsidR="009A5B75" w:rsidRDefault="009A5B75" w:rsidP="005846CC">
      <w:pPr>
        <w:pStyle w:val="BodyText"/>
        <w:rPr>
          <w:rFonts w:cs="Arial"/>
          <w:b/>
          <w:bCs/>
          <w:color w:val="000000"/>
        </w:rPr>
      </w:pPr>
    </w:p>
    <w:p w14:paraId="44A2A060" w14:textId="77777777" w:rsidR="009A5B75" w:rsidRDefault="009A5B75" w:rsidP="005846CC">
      <w:pPr>
        <w:pStyle w:val="BodyText"/>
        <w:rPr>
          <w:rFonts w:cs="Arial"/>
          <w:b/>
          <w:bCs/>
          <w:color w:val="000000"/>
        </w:rPr>
      </w:pPr>
    </w:p>
    <w:p w14:paraId="6B3D8E6D" w14:textId="77777777" w:rsidR="00A715B8" w:rsidRDefault="00A715B8" w:rsidP="005846CC">
      <w:pPr>
        <w:pStyle w:val="BodyText"/>
        <w:rPr>
          <w:rFonts w:cs="Arial"/>
          <w:b/>
          <w:bCs/>
          <w:color w:val="000000"/>
        </w:rPr>
      </w:pPr>
    </w:p>
    <w:p w14:paraId="6699096C" w14:textId="77777777" w:rsidR="00A715B8" w:rsidRDefault="00A715B8" w:rsidP="005846CC">
      <w:pPr>
        <w:pStyle w:val="BodyText"/>
        <w:rPr>
          <w:rFonts w:cs="Arial"/>
          <w:b/>
          <w:bCs/>
          <w:color w:val="000000"/>
        </w:rPr>
      </w:pPr>
    </w:p>
    <w:p w14:paraId="07628230" w14:textId="77777777" w:rsidR="00A715B8" w:rsidRDefault="00A715B8" w:rsidP="005846CC">
      <w:pPr>
        <w:pStyle w:val="BodyText"/>
        <w:rPr>
          <w:rFonts w:cs="Arial"/>
          <w:b/>
          <w:bCs/>
          <w:color w:val="000000"/>
        </w:rPr>
      </w:pPr>
    </w:p>
    <w:p w14:paraId="681B399F" w14:textId="737974C0" w:rsidR="00A715B8" w:rsidRDefault="00A715B8" w:rsidP="005846CC">
      <w:pPr>
        <w:pStyle w:val="BodyText"/>
        <w:rPr>
          <w:rFonts w:cs="Arial"/>
          <w:b/>
          <w:bCs/>
          <w:color w:val="000000"/>
        </w:rPr>
      </w:pPr>
    </w:p>
    <w:p w14:paraId="2E2B599C" w14:textId="5259CA5E" w:rsidR="00A715B8" w:rsidRDefault="00494726" w:rsidP="005846CC">
      <w:pPr>
        <w:pStyle w:val="BodyText"/>
        <w:jc w:val="center"/>
        <w:rPr>
          <w:rFonts w:cs="Arial"/>
          <w:b/>
          <w:bCs/>
          <w:color w:val="000000"/>
        </w:rPr>
      </w:pPr>
      <w:r w:rsidRPr="003A1791">
        <w:rPr>
          <w:rFonts w:cs="Arial"/>
          <w:noProof/>
        </w:rPr>
        <w:drawing>
          <wp:inline distT="0" distB="0" distL="0" distR="0" wp14:anchorId="59B55EB9" wp14:editId="1DFFD299">
            <wp:extent cx="2838450" cy="479151"/>
            <wp:effectExtent l="0" t="0" r="0" b="0"/>
            <wp:docPr id="83304545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45453"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2204" cy="481473"/>
                    </a:xfrm>
                    <a:prstGeom prst="rect">
                      <a:avLst/>
                    </a:prstGeom>
                  </pic:spPr>
                </pic:pic>
              </a:graphicData>
            </a:graphic>
          </wp:inline>
        </w:drawing>
      </w:r>
    </w:p>
    <w:p w14:paraId="7BF1B0CE" w14:textId="77777777" w:rsidR="00A715B8" w:rsidRDefault="00A715B8" w:rsidP="005846CC">
      <w:pPr>
        <w:pStyle w:val="BodyText"/>
        <w:rPr>
          <w:rFonts w:cs="Arial"/>
          <w:b/>
          <w:bCs/>
          <w:color w:val="000000"/>
        </w:rPr>
      </w:pPr>
    </w:p>
    <w:p w14:paraId="0EB14E74" w14:textId="77777777" w:rsidR="00A715B8" w:rsidRDefault="00A715B8" w:rsidP="005846CC">
      <w:pPr>
        <w:pStyle w:val="BodyText"/>
        <w:rPr>
          <w:rFonts w:cs="Arial"/>
          <w:b/>
          <w:bCs/>
          <w:color w:val="000000"/>
        </w:rPr>
      </w:pPr>
    </w:p>
    <w:p w14:paraId="0D082012" w14:textId="77777777" w:rsidR="00A715B8" w:rsidRDefault="00A715B8" w:rsidP="005846CC">
      <w:pPr>
        <w:pStyle w:val="BodyText"/>
        <w:rPr>
          <w:rFonts w:cs="Arial"/>
          <w:b/>
          <w:bCs/>
          <w:color w:val="000000"/>
        </w:rPr>
      </w:pPr>
    </w:p>
    <w:tbl>
      <w:tblPr>
        <w:tblStyle w:val="TableGrid"/>
        <w:tblW w:w="0" w:type="auto"/>
        <w:tblLook w:val="04A0" w:firstRow="1" w:lastRow="0" w:firstColumn="1" w:lastColumn="0" w:noHBand="0" w:noVBand="1"/>
      </w:tblPr>
      <w:tblGrid>
        <w:gridCol w:w="8996"/>
      </w:tblGrid>
      <w:tr w:rsidR="009A5B75" w14:paraId="277A87F7" w14:textId="77777777" w:rsidTr="00494726">
        <w:tc>
          <w:tcPr>
            <w:tcW w:w="9016" w:type="dxa"/>
            <w:tcBorders>
              <w:top w:val="single" w:sz="12" w:space="0" w:color="009999"/>
              <w:left w:val="single" w:sz="12" w:space="0" w:color="FFFFFF" w:themeColor="background1"/>
              <w:bottom w:val="single" w:sz="12" w:space="0" w:color="009999"/>
              <w:right w:val="single" w:sz="12" w:space="0" w:color="FFFFFF" w:themeColor="background1"/>
            </w:tcBorders>
          </w:tcPr>
          <w:p w14:paraId="3758968E" w14:textId="77777777" w:rsidR="009A5B75" w:rsidRDefault="009A5B75" w:rsidP="005846CC">
            <w:pPr>
              <w:pStyle w:val="BodyText"/>
              <w:rPr>
                <w:rFonts w:cs="Arial"/>
                <w:b/>
                <w:bCs/>
                <w:color w:val="000000"/>
              </w:rPr>
            </w:pPr>
          </w:p>
          <w:p w14:paraId="4BD0BBB1" w14:textId="187033A8" w:rsidR="0059797B" w:rsidRPr="0059797B" w:rsidRDefault="0059797B" w:rsidP="005846CC">
            <w:pPr>
              <w:pStyle w:val="BodyText"/>
              <w:jc w:val="center"/>
              <w:rPr>
                <w:rFonts w:cs="Arial"/>
                <w:b/>
                <w:bCs/>
                <w:color w:val="009999"/>
                <w:sz w:val="36"/>
                <w:szCs w:val="36"/>
              </w:rPr>
            </w:pPr>
            <w:r w:rsidRPr="0059797B">
              <w:rPr>
                <w:rFonts w:cs="Arial"/>
                <w:b/>
                <w:bCs/>
                <w:color w:val="009999"/>
                <w:sz w:val="36"/>
                <w:szCs w:val="36"/>
              </w:rPr>
              <w:t>A critical analysis of</w:t>
            </w:r>
            <w:r w:rsidR="006C3A5A">
              <w:rPr>
                <w:rFonts w:cs="Arial"/>
                <w:b/>
                <w:bCs/>
                <w:color w:val="009999"/>
                <w:sz w:val="36"/>
                <w:szCs w:val="36"/>
              </w:rPr>
              <w:t xml:space="preserve"> Natural Resources’ Wales</w:t>
            </w:r>
            <w:r w:rsidRPr="0059797B">
              <w:rPr>
                <w:rFonts w:cs="Arial"/>
                <w:b/>
                <w:bCs/>
                <w:color w:val="009999"/>
                <w:sz w:val="36"/>
                <w:szCs w:val="36"/>
              </w:rPr>
              <w:t xml:space="preserve"> approach to talent management with specific focus on recruiting, promoting and retaining talent.</w:t>
            </w:r>
          </w:p>
          <w:p w14:paraId="3D9BB8E8" w14:textId="77777777" w:rsidR="002D0B25" w:rsidRPr="009A5B75" w:rsidRDefault="002D0B25" w:rsidP="005846CC">
            <w:pPr>
              <w:pStyle w:val="BodyText"/>
              <w:jc w:val="center"/>
              <w:rPr>
                <w:rFonts w:cs="Arial"/>
                <w:b/>
                <w:bCs/>
                <w:color w:val="009999"/>
              </w:rPr>
            </w:pPr>
          </w:p>
          <w:p w14:paraId="1AB0C51C" w14:textId="77777777" w:rsidR="009A5B75" w:rsidRPr="00A715B8" w:rsidRDefault="009A5B75" w:rsidP="005846CC">
            <w:pPr>
              <w:spacing w:line="360" w:lineRule="auto"/>
              <w:jc w:val="center"/>
              <w:rPr>
                <w:rFonts w:cs="Arial"/>
                <w:b/>
                <w:bCs/>
                <w:szCs w:val="24"/>
              </w:rPr>
            </w:pPr>
            <w:r w:rsidRPr="00A715B8">
              <w:rPr>
                <w:rFonts w:cs="Arial"/>
                <w:b/>
                <w:bCs/>
                <w:szCs w:val="24"/>
              </w:rPr>
              <w:t>Name: Joseph E Smith</w:t>
            </w:r>
          </w:p>
          <w:p w14:paraId="0A868590" w14:textId="77777777" w:rsidR="009A5B75" w:rsidRPr="00A715B8" w:rsidRDefault="009A5B75" w:rsidP="005846CC">
            <w:pPr>
              <w:spacing w:line="360" w:lineRule="auto"/>
              <w:jc w:val="center"/>
              <w:rPr>
                <w:rFonts w:cs="Arial"/>
                <w:b/>
                <w:bCs/>
                <w:szCs w:val="24"/>
              </w:rPr>
            </w:pPr>
            <w:r w:rsidRPr="00A715B8">
              <w:rPr>
                <w:rFonts w:cs="Arial"/>
                <w:b/>
                <w:bCs/>
                <w:szCs w:val="24"/>
              </w:rPr>
              <w:t>Student number: 1900399</w:t>
            </w:r>
          </w:p>
          <w:p w14:paraId="65BE963D" w14:textId="186D769F" w:rsidR="009A5B75" w:rsidRDefault="009A5B75" w:rsidP="005846CC">
            <w:pPr>
              <w:spacing w:line="360" w:lineRule="auto"/>
              <w:jc w:val="center"/>
              <w:rPr>
                <w:rFonts w:cs="Arial"/>
                <w:b/>
                <w:bCs/>
                <w:szCs w:val="24"/>
              </w:rPr>
            </w:pPr>
            <w:r w:rsidRPr="00A715B8">
              <w:rPr>
                <w:rFonts w:cs="Arial"/>
                <w:b/>
                <w:bCs/>
                <w:szCs w:val="24"/>
              </w:rPr>
              <w:t>Word Count:</w:t>
            </w:r>
            <w:r w:rsidR="003726F6">
              <w:rPr>
                <w:rFonts w:cs="Arial"/>
                <w:b/>
                <w:bCs/>
                <w:szCs w:val="24"/>
              </w:rPr>
              <w:t>35</w:t>
            </w:r>
            <w:r w:rsidR="00F11A9F">
              <w:rPr>
                <w:rFonts w:cs="Arial"/>
                <w:b/>
                <w:bCs/>
                <w:szCs w:val="24"/>
              </w:rPr>
              <w:t>60</w:t>
            </w:r>
          </w:p>
          <w:p w14:paraId="6CD05B02" w14:textId="77777777" w:rsidR="006C3A5A" w:rsidRDefault="006C3A5A" w:rsidP="005846CC">
            <w:pPr>
              <w:spacing w:line="360" w:lineRule="auto"/>
              <w:jc w:val="center"/>
              <w:rPr>
                <w:rFonts w:cs="Arial"/>
                <w:b/>
                <w:bCs/>
                <w:szCs w:val="24"/>
              </w:rPr>
            </w:pPr>
          </w:p>
          <w:p w14:paraId="7EF53602" w14:textId="247FDE56" w:rsidR="00307B0D" w:rsidRDefault="006C3A5A" w:rsidP="005846CC">
            <w:pPr>
              <w:jc w:val="center"/>
              <w:rPr>
                <w:rFonts w:cs="Arial"/>
                <w:szCs w:val="24"/>
              </w:rPr>
            </w:pPr>
            <w:r w:rsidRPr="003A1791">
              <w:rPr>
                <w:rFonts w:cs="Arial"/>
                <w:szCs w:val="24"/>
              </w:rPr>
              <w:t>I her</w:t>
            </w:r>
            <w:r>
              <w:rPr>
                <w:rFonts w:cs="Arial"/>
                <w:szCs w:val="24"/>
              </w:rPr>
              <w:t>e</w:t>
            </w:r>
            <w:r w:rsidRPr="003A1791">
              <w:rPr>
                <w:rFonts w:cs="Arial"/>
                <w:szCs w:val="24"/>
              </w:rPr>
              <w:t>by confirm that the work presented in this report is entirely my own.</w:t>
            </w:r>
          </w:p>
          <w:p w14:paraId="008DB964" w14:textId="7A2BD772" w:rsidR="006C3A5A" w:rsidRPr="003A1791" w:rsidRDefault="006C3A5A" w:rsidP="005846CC">
            <w:pPr>
              <w:jc w:val="center"/>
              <w:rPr>
                <w:rFonts w:cs="Arial"/>
                <w:szCs w:val="24"/>
              </w:rPr>
            </w:pPr>
            <w:r w:rsidRPr="003A1791">
              <w:rPr>
                <w:rFonts w:cs="Arial"/>
                <w:szCs w:val="24"/>
              </w:rPr>
              <w:t>All sources used have been fully acknowledged and referenced.</w:t>
            </w:r>
          </w:p>
          <w:p w14:paraId="0DF163C8" w14:textId="77777777" w:rsidR="006C3A5A" w:rsidRPr="00A715B8" w:rsidRDefault="006C3A5A" w:rsidP="005846CC">
            <w:pPr>
              <w:spacing w:line="360" w:lineRule="auto"/>
              <w:jc w:val="both"/>
              <w:rPr>
                <w:rFonts w:cs="Arial"/>
                <w:b/>
                <w:bCs/>
                <w:szCs w:val="24"/>
              </w:rPr>
            </w:pPr>
          </w:p>
          <w:p w14:paraId="02EF0AB6" w14:textId="77777777" w:rsidR="009A5B75" w:rsidRDefault="009A5B75" w:rsidP="005846CC">
            <w:pPr>
              <w:pStyle w:val="BodyText"/>
              <w:rPr>
                <w:rFonts w:cs="Arial"/>
                <w:b/>
                <w:bCs/>
                <w:color w:val="000000"/>
              </w:rPr>
            </w:pPr>
          </w:p>
        </w:tc>
      </w:tr>
    </w:tbl>
    <w:p w14:paraId="531E20E2" w14:textId="77777777" w:rsidR="00A715B8" w:rsidRDefault="00A715B8" w:rsidP="005846CC">
      <w:pPr>
        <w:pStyle w:val="BodyText"/>
        <w:rPr>
          <w:rFonts w:cs="Arial"/>
          <w:b/>
          <w:bCs/>
          <w:color w:val="000000"/>
        </w:rPr>
      </w:pPr>
    </w:p>
    <w:p w14:paraId="4D18AD83" w14:textId="77777777" w:rsidR="00A715B8" w:rsidRDefault="00A715B8" w:rsidP="005846CC">
      <w:pPr>
        <w:pStyle w:val="BodyText"/>
        <w:rPr>
          <w:rFonts w:cs="Arial"/>
          <w:b/>
          <w:bCs/>
          <w:color w:val="000000"/>
        </w:rPr>
      </w:pPr>
    </w:p>
    <w:p w14:paraId="22070EB4" w14:textId="77777777" w:rsidR="003B7A52" w:rsidRDefault="00B04DA5" w:rsidP="00FC1678">
      <w:pPr>
        <w:pStyle w:val="Heading1"/>
        <w:spacing w:line="360" w:lineRule="auto"/>
        <w:jc w:val="both"/>
      </w:pPr>
      <w:r>
        <w:br w:type="page"/>
      </w:r>
      <w:bookmarkStart w:id="0" w:name="_Toc214975026"/>
      <w:r w:rsidR="003B7A52">
        <w:lastRenderedPageBreak/>
        <w:t>Executive Summary</w:t>
      </w:r>
      <w:bookmarkEnd w:id="0"/>
      <w:r w:rsidR="003B7A52">
        <w:t xml:space="preserve"> </w:t>
      </w:r>
    </w:p>
    <w:p w14:paraId="4116665F" w14:textId="5F191A62" w:rsidR="00D75C05" w:rsidRDefault="00FF47FF" w:rsidP="00FC1678">
      <w:pPr>
        <w:spacing w:line="360" w:lineRule="auto"/>
      </w:pPr>
      <w:r>
        <w:t>Produced</w:t>
      </w:r>
      <w:r w:rsidR="004701FD">
        <w:t xml:space="preserve"> for the senior management team</w:t>
      </w:r>
      <w:r>
        <w:t>, t</w:t>
      </w:r>
      <w:r w:rsidR="004701FD">
        <w:t xml:space="preserve">his report </w:t>
      </w:r>
      <w:r w:rsidR="007D512F">
        <w:t>provides a critical analysis of Natural Resources Wales’ (NRW) talent management strategy in the context of significant organisational change and labour market volatility (Cockett, 2025).</w:t>
      </w:r>
      <w:r w:rsidR="00AD59F4">
        <w:t xml:space="preserve"> </w:t>
      </w:r>
      <w:r w:rsidR="00FC1678">
        <w:tab/>
      </w:r>
    </w:p>
    <w:p w14:paraId="6E6EE9AB" w14:textId="7772A9CF" w:rsidR="00736660" w:rsidRDefault="00D75C05" w:rsidP="00FC1678">
      <w:pPr>
        <w:spacing w:line="360" w:lineRule="auto"/>
      </w:pPr>
      <w:r>
        <w:tab/>
        <w:t>NRW faces significant resourcing challenges in a tight labour market</w:t>
      </w:r>
      <w:r w:rsidR="00A82310">
        <w:t xml:space="preserve"> attracting and retaining specialist talent and skills</w:t>
      </w:r>
      <w:r w:rsidR="009A53D9">
        <w:t xml:space="preserve"> (Hogarth and McCartney, 2024)</w:t>
      </w:r>
      <w:r>
        <w:t xml:space="preserve"> following a major restructure, </w:t>
      </w:r>
      <w:r w:rsidR="00736660">
        <w:t>an 18</w:t>
      </w:r>
      <w:r w:rsidR="00736660">
        <w:rPr>
          <w:vertAlign w:val="superscript"/>
        </w:rPr>
        <w:t xml:space="preserve"> -</w:t>
      </w:r>
      <w:r w:rsidR="00736660">
        <w:t>month recruitment freeze and the creation of 500 new vacancies in</w:t>
      </w:r>
      <w:r w:rsidR="009A53D9">
        <w:t xml:space="preserve"> 2025 (NRW, 2025c)</w:t>
      </w:r>
      <w:r w:rsidR="00736660">
        <w:t xml:space="preserve">. </w:t>
      </w:r>
    </w:p>
    <w:p w14:paraId="4759234A" w14:textId="7AA10EAE" w:rsidR="006B1850" w:rsidRDefault="00B10FC6" w:rsidP="00FC1678">
      <w:pPr>
        <w:spacing w:line="360" w:lineRule="auto"/>
      </w:pPr>
      <w:r>
        <w:tab/>
        <w:t>Impacting NRW’s talent management strategy and ability to compete are external factors such as political uncertainty, economic pressures and technological developments (</w:t>
      </w:r>
      <w:proofErr w:type="spellStart"/>
      <w:r w:rsidR="00184615">
        <w:t>Battisa</w:t>
      </w:r>
      <w:proofErr w:type="spellEnd"/>
      <w:r w:rsidR="00184615">
        <w:t>, 2024</w:t>
      </w:r>
      <w:r>
        <w:t>).</w:t>
      </w:r>
      <w:r w:rsidR="00184615">
        <w:t xml:space="preserve"> While internally, factors including organisational culture, succession planning and learning development emerge as key drivers of engagement and retention (Hogarth and McCartney, 2024). </w:t>
      </w:r>
    </w:p>
    <w:p w14:paraId="1E3088C2" w14:textId="21B40105" w:rsidR="00430215" w:rsidRDefault="006B1850" w:rsidP="00FC1678">
      <w:pPr>
        <w:spacing w:line="360" w:lineRule="auto"/>
      </w:pPr>
      <w:r>
        <w:tab/>
        <w:t>While NRW has a strong attrition rate of 2%, attraction remains a challenge, compounded by restrictive internal mobility policies</w:t>
      </w:r>
      <w:r w:rsidR="002C607D">
        <w:t xml:space="preserve"> (NRW, 2025c)</w:t>
      </w:r>
      <w:r>
        <w:t xml:space="preserve"> and uneven access to career development opportunities (</w:t>
      </w:r>
      <w:r w:rsidR="00BA1A26">
        <w:t xml:space="preserve">Allen and Bryant, 2012). </w:t>
      </w:r>
    </w:p>
    <w:p w14:paraId="19A67AA5" w14:textId="4D9739DF" w:rsidR="00A82310" w:rsidRDefault="00430215" w:rsidP="00FC1678">
      <w:pPr>
        <w:spacing w:line="360" w:lineRule="auto"/>
      </w:pPr>
      <w:r>
        <w:tab/>
        <w:t>In 2025, NRW implemented an applicant tracking system (ATS) which has improved the candidate experience. Despite the technological advancement, NRW has yet to explore AI solutions to support managers with high-volume recruitment</w:t>
      </w:r>
      <w:r w:rsidR="008564F6">
        <w:t xml:space="preserve"> and enable process efficiencies </w:t>
      </w:r>
      <w:r w:rsidR="000C4476">
        <w:t xml:space="preserve">(Taylor, 2025, p.25). Despite growing operational pressures (NRW, 2025a), issues surrounding governance and fairness need further assessment </w:t>
      </w:r>
      <w:r w:rsidR="00EB0C0D">
        <w:t xml:space="preserve">(Rigotti and </w:t>
      </w:r>
      <w:proofErr w:type="spellStart"/>
      <w:r w:rsidR="00EB0C0D">
        <w:t>Fos</w:t>
      </w:r>
      <w:r w:rsidR="001C7100">
        <w:t>c</w:t>
      </w:r>
      <w:r w:rsidR="00EB0C0D">
        <w:t>h</w:t>
      </w:r>
      <w:proofErr w:type="spellEnd"/>
      <w:r w:rsidR="00EB0C0D">
        <w:t>-Villaronga, 2024).</w:t>
      </w:r>
    </w:p>
    <w:p w14:paraId="25DCD8BB" w14:textId="3D9BFC59" w:rsidR="003B7A52" w:rsidRDefault="00EB0C0D" w:rsidP="00FC1678">
      <w:pPr>
        <w:spacing w:line="360" w:lineRule="auto"/>
      </w:pPr>
      <w:r>
        <w:tab/>
        <w:t xml:space="preserve">The </w:t>
      </w:r>
      <w:r w:rsidR="00A31060">
        <w:t>recommendations for the senior management team include reviewing current recruitment policies and procedures to enable career mobility and mitigate retention risks</w:t>
      </w:r>
      <w:r w:rsidR="00DC72ED">
        <w:t xml:space="preserve"> (Hogarth and McCartney, 2024)</w:t>
      </w:r>
      <w:r w:rsidR="00A31060">
        <w:t>, developing a strategic workforce plan aligned with organisational needs</w:t>
      </w:r>
      <w:r w:rsidR="005D2F5C">
        <w:t xml:space="preserve"> (CIPD, 2017)</w:t>
      </w:r>
      <w:r w:rsidR="00A31060">
        <w:t>, implementing an early careers strategy to build strong talent pipelines and explore AI solutions to enhance ATS and improve recruitment efficiency</w:t>
      </w:r>
      <w:r w:rsidR="005D2F5C">
        <w:t xml:space="preserve"> (</w:t>
      </w:r>
      <w:proofErr w:type="spellStart"/>
      <w:r w:rsidR="005D2F5C">
        <w:t>Elingrud</w:t>
      </w:r>
      <w:proofErr w:type="spellEnd"/>
      <w:r w:rsidR="005D2F5C">
        <w:t xml:space="preserve"> </w:t>
      </w:r>
      <w:r w:rsidR="005D2F5C">
        <w:rPr>
          <w:i/>
          <w:iCs/>
        </w:rPr>
        <w:t xml:space="preserve">et al., </w:t>
      </w:r>
      <w:r w:rsidR="005D2F5C">
        <w:t xml:space="preserve">2023). </w:t>
      </w:r>
      <w:r w:rsidR="00A31060">
        <w:t>The recommendations presented will support the organisation’s ability to build a resilient workforce and maintain competitiveness in a challenging labour market (Hogarth and McCartney, 2024).</w:t>
      </w:r>
      <w:r w:rsidR="003B7A52">
        <w:br w:type="page"/>
      </w:r>
    </w:p>
    <w:p w14:paraId="37D6407F" w14:textId="77777777" w:rsidR="005E7FDC" w:rsidRDefault="005E7FDC" w:rsidP="005846CC">
      <w:pPr>
        <w:jc w:val="both"/>
      </w:pPr>
    </w:p>
    <w:sdt>
      <w:sdtPr>
        <w:rPr>
          <w:rFonts w:eastAsiaTheme="minorEastAsia" w:cstheme="minorBidi"/>
          <w:b w:val="0"/>
          <w:color w:val="auto"/>
          <w:sz w:val="24"/>
          <w:szCs w:val="22"/>
        </w:rPr>
        <w:id w:val="635454226"/>
        <w:docPartObj>
          <w:docPartGallery w:val="Table of Contents"/>
          <w:docPartUnique/>
        </w:docPartObj>
      </w:sdtPr>
      <w:sdtEndPr>
        <w:rPr>
          <w:bCs/>
        </w:rPr>
      </w:sdtEndPr>
      <w:sdtContent>
        <w:p w14:paraId="247343C5" w14:textId="51B11E9C" w:rsidR="005E7FDC" w:rsidRPr="005E7FDC" w:rsidRDefault="005E7FDC" w:rsidP="005846CC">
          <w:pPr>
            <w:pStyle w:val="TOCHeading"/>
            <w:rPr>
              <w:rStyle w:val="Heading1Char"/>
              <w:b/>
              <w:bCs/>
            </w:rPr>
          </w:pPr>
          <w:r w:rsidRPr="005E7FDC">
            <w:rPr>
              <w:rStyle w:val="Heading1Char"/>
              <w:b/>
              <w:bCs/>
            </w:rPr>
            <w:t>Contents</w:t>
          </w:r>
        </w:p>
        <w:p w14:paraId="5E8B8C3F" w14:textId="453F550A" w:rsidR="00EB0355" w:rsidRDefault="005E7FDC">
          <w:pPr>
            <w:pStyle w:val="TOC1"/>
            <w:tabs>
              <w:tab w:val="right" w:leader="dot" w:pos="9016"/>
            </w:tabs>
            <w:rPr>
              <w:rFonts w:asciiTheme="minorHAnsi" w:hAnsiTheme="minorHAnsi"/>
              <w:noProof/>
              <w:kern w:val="2"/>
              <w:szCs w:val="24"/>
              <w:lang w:eastAsia="en-GB"/>
              <w14:ligatures w14:val="standardContextual"/>
            </w:rPr>
          </w:pPr>
          <w:r w:rsidRPr="005E7FDC">
            <w:rPr>
              <w:rFonts w:cs="Arial"/>
            </w:rPr>
            <w:fldChar w:fldCharType="begin"/>
          </w:r>
          <w:r w:rsidRPr="005E7FDC">
            <w:rPr>
              <w:rFonts w:cs="Arial"/>
            </w:rPr>
            <w:instrText xml:space="preserve"> TOC \o "1-3" \h \z \u </w:instrText>
          </w:r>
          <w:r w:rsidRPr="005E7FDC">
            <w:rPr>
              <w:rFonts w:cs="Arial"/>
            </w:rPr>
            <w:fldChar w:fldCharType="separate"/>
          </w:r>
          <w:hyperlink w:anchor="_Toc214975026" w:history="1">
            <w:r w:rsidR="00EB0355" w:rsidRPr="000B7CAB">
              <w:rPr>
                <w:rStyle w:val="Hyperlink"/>
                <w:noProof/>
              </w:rPr>
              <w:t>Executive Summary</w:t>
            </w:r>
            <w:r w:rsidR="00EB0355">
              <w:rPr>
                <w:noProof/>
                <w:webHidden/>
              </w:rPr>
              <w:tab/>
            </w:r>
            <w:r w:rsidR="00EB0355">
              <w:rPr>
                <w:noProof/>
                <w:webHidden/>
              </w:rPr>
              <w:fldChar w:fldCharType="begin"/>
            </w:r>
            <w:r w:rsidR="00EB0355">
              <w:rPr>
                <w:noProof/>
                <w:webHidden/>
              </w:rPr>
              <w:instrText xml:space="preserve"> PAGEREF _Toc214975026 \h </w:instrText>
            </w:r>
            <w:r w:rsidR="00EB0355">
              <w:rPr>
                <w:noProof/>
                <w:webHidden/>
              </w:rPr>
            </w:r>
            <w:r w:rsidR="00EB0355">
              <w:rPr>
                <w:noProof/>
                <w:webHidden/>
              </w:rPr>
              <w:fldChar w:fldCharType="separate"/>
            </w:r>
            <w:r w:rsidR="00EB0355">
              <w:rPr>
                <w:noProof/>
                <w:webHidden/>
              </w:rPr>
              <w:t>2</w:t>
            </w:r>
            <w:r w:rsidR="00EB0355">
              <w:rPr>
                <w:noProof/>
                <w:webHidden/>
              </w:rPr>
              <w:fldChar w:fldCharType="end"/>
            </w:r>
          </w:hyperlink>
        </w:p>
        <w:p w14:paraId="2A902C6C" w14:textId="1C5961E2" w:rsidR="00EB0355" w:rsidRDefault="00EB0355">
          <w:pPr>
            <w:pStyle w:val="TOC1"/>
            <w:tabs>
              <w:tab w:val="right" w:leader="dot" w:pos="9016"/>
            </w:tabs>
            <w:rPr>
              <w:rFonts w:asciiTheme="minorHAnsi" w:hAnsiTheme="minorHAnsi"/>
              <w:noProof/>
              <w:kern w:val="2"/>
              <w:szCs w:val="24"/>
              <w:lang w:eastAsia="en-GB"/>
              <w14:ligatures w14:val="standardContextual"/>
            </w:rPr>
          </w:pPr>
          <w:hyperlink w:anchor="_Toc214975027" w:history="1">
            <w:r w:rsidRPr="000B7CAB">
              <w:rPr>
                <w:rStyle w:val="Hyperlink"/>
                <w:noProof/>
              </w:rPr>
              <w:t>1.0 Introduction</w:t>
            </w:r>
            <w:r>
              <w:rPr>
                <w:noProof/>
                <w:webHidden/>
              </w:rPr>
              <w:tab/>
            </w:r>
            <w:r>
              <w:rPr>
                <w:noProof/>
                <w:webHidden/>
              </w:rPr>
              <w:fldChar w:fldCharType="begin"/>
            </w:r>
            <w:r>
              <w:rPr>
                <w:noProof/>
                <w:webHidden/>
              </w:rPr>
              <w:instrText xml:space="preserve"> PAGEREF _Toc214975027 \h </w:instrText>
            </w:r>
            <w:r>
              <w:rPr>
                <w:noProof/>
                <w:webHidden/>
              </w:rPr>
            </w:r>
            <w:r>
              <w:rPr>
                <w:noProof/>
                <w:webHidden/>
              </w:rPr>
              <w:fldChar w:fldCharType="separate"/>
            </w:r>
            <w:r>
              <w:rPr>
                <w:noProof/>
                <w:webHidden/>
              </w:rPr>
              <w:t>4</w:t>
            </w:r>
            <w:r>
              <w:rPr>
                <w:noProof/>
                <w:webHidden/>
              </w:rPr>
              <w:fldChar w:fldCharType="end"/>
            </w:r>
          </w:hyperlink>
        </w:p>
        <w:p w14:paraId="7804F569" w14:textId="01A2FDD9" w:rsidR="00EB0355" w:rsidRDefault="00EB0355">
          <w:pPr>
            <w:pStyle w:val="TOC1"/>
            <w:tabs>
              <w:tab w:val="right" w:leader="dot" w:pos="9016"/>
            </w:tabs>
            <w:rPr>
              <w:rFonts w:asciiTheme="minorHAnsi" w:hAnsiTheme="minorHAnsi"/>
              <w:noProof/>
              <w:kern w:val="2"/>
              <w:szCs w:val="24"/>
              <w:lang w:eastAsia="en-GB"/>
              <w14:ligatures w14:val="standardContextual"/>
            </w:rPr>
          </w:pPr>
          <w:hyperlink w:anchor="_Toc214975028" w:history="1">
            <w:r w:rsidRPr="000B7CAB">
              <w:rPr>
                <w:rStyle w:val="Hyperlink"/>
                <w:noProof/>
              </w:rPr>
              <w:t>2.0 Main Findings</w:t>
            </w:r>
            <w:r>
              <w:rPr>
                <w:noProof/>
                <w:webHidden/>
              </w:rPr>
              <w:tab/>
            </w:r>
            <w:r>
              <w:rPr>
                <w:noProof/>
                <w:webHidden/>
              </w:rPr>
              <w:fldChar w:fldCharType="begin"/>
            </w:r>
            <w:r>
              <w:rPr>
                <w:noProof/>
                <w:webHidden/>
              </w:rPr>
              <w:instrText xml:space="preserve"> PAGEREF _Toc214975028 \h </w:instrText>
            </w:r>
            <w:r>
              <w:rPr>
                <w:noProof/>
                <w:webHidden/>
              </w:rPr>
            </w:r>
            <w:r>
              <w:rPr>
                <w:noProof/>
                <w:webHidden/>
              </w:rPr>
              <w:fldChar w:fldCharType="separate"/>
            </w:r>
            <w:r>
              <w:rPr>
                <w:noProof/>
                <w:webHidden/>
              </w:rPr>
              <w:t>5</w:t>
            </w:r>
            <w:r>
              <w:rPr>
                <w:noProof/>
                <w:webHidden/>
              </w:rPr>
              <w:fldChar w:fldCharType="end"/>
            </w:r>
          </w:hyperlink>
        </w:p>
        <w:p w14:paraId="7147B69A" w14:textId="116C8751" w:rsidR="00EB0355" w:rsidRDefault="00EB0355">
          <w:pPr>
            <w:pStyle w:val="TOC2"/>
            <w:tabs>
              <w:tab w:val="right" w:leader="dot" w:pos="9016"/>
            </w:tabs>
            <w:rPr>
              <w:rFonts w:asciiTheme="minorHAnsi" w:hAnsiTheme="minorHAnsi"/>
              <w:noProof/>
              <w:kern w:val="2"/>
              <w:szCs w:val="24"/>
              <w:lang w:eastAsia="en-GB"/>
              <w14:ligatures w14:val="standardContextual"/>
            </w:rPr>
          </w:pPr>
          <w:hyperlink w:anchor="_Toc214975029" w:history="1">
            <w:r w:rsidRPr="000B7CAB">
              <w:rPr>
                <w:rStyle w:val="Hyperlink"/>
                <w:noProof/>
              </w:rPr>
              <w:t>2.1 Evaluation of internal and external factors affecting talent management at NRW</w:t>
            </w:r>
            <w:r>
              <w:rPr>
                <w:noProof/>
                <w:webHidden/>
              </w:rPr>
              <w:tab/>
            </w:r>
            <w:r>
              <w:rPr>
                <w:noProof/>
                <w:webHidden/>
              </w:rPr>
              <w:fldChar w:fldCharType="begin"/>
            </w:r>
            <w:r>
              <w:rPr>
                <w:noProof/>
                <w:webHidden/>
              </w:rPr>
              <w:instrText xml:space="preserve"> PAGEREF _Toc214975029 \h </w:instrText>
            </w:r>
            <w:r>
              <w:rPr>
                <w:noProof/>
                <w:webHidden/>
              </w:rPr>
            </w:r>
            <w:r>
              <w:rPr>
                <w:noProof/>
                <w:webHidden/>
              </w:rPr>
              <w:fldChar w:fldCharType="separate"/>
            </w:r>
            <w:r>
              <w:rPr>
                <w:noProof/>
                <w:webHidden/>
              </w:rPr>
              <w:t>5</w:t>
            </w:r>
            <w:r>
              <w:rPr>
                <w:noProof/>
                <w:webHidden/>
              </w:rPr>
              <w:fldChar w:fldCharType="end"/>
            </w:r>
          </w:hyperlink>
        </w:p>
        <w:p w14:paraId="67351CB7" w14:textId="2944B351" w:rsidR="00EB0355" w:rsidRDefault="00EB0355">
          <w:pPr>
            <w:pStyle w:val="TOC3"/>
            <w:tabs>
              <w:tab w:val="right" w:leader="dot" w:pos="9016"/>
            </w:tabs>
            <w:rPr>
              <w:rFonts w:asciiTheme="minorHAnsi" w:hAnsiTheme="minorHAnsi"/>
              <w:noProof/>
              <w:kern w:val="2"/>
              <w:szCs w:val="24"/>
              <w:lang w:eastAsia="en-GB"/>
              <w14:ligatures w14:val="standardContextual"/>
            </w:rPr>
          </w:pPr>
          <w:hyperlink w:anchor="_Toc214975030" w:history="1">
            <w:r w:rsidRPr="000B7CAB">
              <w:rPr>
                <w:rStyle w:val="Hyperlink"/>
                <w:noProof/>
              </w:rPr>
              <w:t>2.1.1 External factors</w:t>
            </w:r>
            <w:r>
              <w:rPr>
                <w:noProof/>
                <w:webHidden/>
              </w:rPr>
              <w:tab/>
            </w:r>
            <w:r>
              <w:rPr>
                <w:noProof/>
                <w:webHidden/>
              </w:rPr>
              <w:fldChar w:fldCharType="begin"/>
            </w:r>
            <w:r>
              <w:rPr>
                <w:noProof/>
                <w:webHidden/>
              </w:rPr>
              <w:instrText xml:space="preserve"> PAGEREF _Toc214975030 \h </w:instrText>
            </w:r>
            <w:r>
              <w:rPr>
                <w:noProof/>
                <w:webHidden/>
              </w:rPr>
            </w:r>
            <w:r>
              <w:rPr>
                <w:noProof/>
                <w:webHidden/>
              </w:rPr>
              <w:fldChar w:fldCharType="separate"/>
            </w:r>
            <w:r>
              <w:rPr>
                <w:noProof/>
                <w:webHidden/>
              </w:rPr>
              <w:t>5</w:t>
            </w:r>
            <w:r>
              <w:rPr>
                <w:noProof/>
                <w:webHidden/>
              </w:rPr>
              <w:fldChar w:fldCharType="end"/>
            </w:r>
          </w:hyperlink>
        </w:p>
        <w:p w14:paraId="7B9B9289" w14:textId="525DD291" w:rsidR="00EB0355" w:rsidRDefault="00EB0355">
          <w:pPr>
            <w:pStyle w:val="TOC3"/>
            <w:tabs>
              <w:tab w:val="right" w:leader="dot" w:pos="9016"/>
            </w:tabs>
            <w:rPr>
              <w:rFonts w:asciiTheme="minorHAnsi" w:hAnsiTheme="minorHAnsi"/>
              <w:noProof/>
              <w:kern w:val="2"/>
              <w:szCs w:val="24"/>
              <w:lang w:eastAsia="en-GB"/>
              <w14:ligatures w14:val="standardContextual"/>
            </w:rPr>
          </w:pPr>
          <w:hyperlink w:anchor="_Toc214975031" w:history="1">
            <w:r w:rsidRPr="000B7CAB">
              <w:rPr>
                <w:rStyle w:val="Hyperlink"/>
                <w:noProof/>
              </w:rPr>
              <w:t>2.1.2 Internal factors</w:t>
            </w:r>
            <w:r>
              <w:rPr>
                <w:noProof/>
                <w:webHidden/>
              </w:rPr>
              <w:tab/>
            </w:r>
            <w:r>
              <w:rPr>
                <w:noProof/>
                <w:webHidden/>
              </w:rPr>
              <w:fldChar w:fldCharType="begin"/>
            </w:r>
            <w:r>
              <w:rPr>
                <w:noProof/>
                <w:webHidden/>
              </w:rPr>
              <w:instrText xml:space="preserve"> PAGEREF _Toc214975031 \h </w:instrText>
            </w:r>
            <w:r>
              <w:rPr>
                <w:noProof/>
                <w:webHidden/>
              </w:rPr>
            </w:r>
            <w:r>
              <w:rPr>
                <w:noProof/>
                <w:webHidden/>
              </w:rPr>
              <w:fldChar w:fldCharType="separate"/>
            </w:r>
            <w:r>
              <w:rPr>
                <w:noProof/>
                <w:webHidden/>
              </w:rPr>
              <w:t>7</w:t>
            </w:r>
            <w:r>
              <w:rPr>
                <w:noProof/>
                <w:webHidden/>
              </w:rPr>
              <w:fldChar w:fldCharType="end"/>
            </w:r>
          </w:hyperlink>
        </w:p>
        <w:p w14:paraId="1A518DDA" w14:textId="38B224BA" w:rsidR="00EB0355" w:rsidRDefault="00EB0355">
          <w:pPr>
            <w:pStyle w:val="TOC2"/>
            <w:tabs>
              <w:tab w:val="right" w:leader="dot" w:pos="9016"/>
            </w:tabs>
            <w:rPr>
              <w:rFonts w:asciiTheme="minorHAnsi" w:hAnsiTheme="minorHAnsi"/>
              <w:noProof/>
              <w:kern w:val="2"/>
              <w:szCs w:val="24"/>
              <w:lang w:eastAsia="en-GB"/>
              <w14:ligatures w14:val="standardContextual"/>
            </w:rPr>
          </w:pPr>
          <w:hyperlink w:anchor="_Toc214975032" w:history="1">
            <w:r w:rsidRPr="000B7CAB">
              <w:rPr>
                <w:rStyle w:val="Hyperlink"/>
                <w:noProof/>
              </w:rPr>
              <w:t>2.2 Critical Analysis of NRW’s current approach to talent management</w:t>
            </w:r>
            <w:r>
              <w:rPr>
                <w:noProof/>
                <w:webHidden/>
              </w:rPr>
              <w:tab/>
            </w:r>
            <w:r>
              <w:rPr>
                <w:noProof/>
                <w:webHidden/>
              </w:rPr>
              <w:fldChar w:fldCharType="begin"/>
            </w:r>
            <w:r>
              <w:rPr>
                <w:noProof/>
                <w:webHidden/>
              </w:rPr>
              <w:instrText xml:space="preserve"> PAGEREF _Toc214975032 \h </w:instrText>
            </w:r>
            <w:r>
              <w:rPr>
                <w:noProof/>
                <w:webHidden/>
              </w:rPr>
            </w:r>
            <w:r>
              <w:rPr>
                <w:noProof/>
                <w:webHidden/>
              </w:rPr>
              <w:fldChar w:fldCharType="separate"/>
            </w:r>
            <w:r>
              <w:rPr>
                <w:noProof/>
                <w:webHidden/>
              </w:rPr>
              <w:t>8</w:t>
            </w:r>
            <w:r>
              <w:rPr>
                <w:noProof/>
                <w:webHidden/>
              </w:rPr>
              <w:fldChar w:fldCharType="end"/>
            </w:r>
          </w:hyperlink>
        </w:p>
        <w:p w14:paraId="45BBB63E" w14:textId="66CA9E18" w:rsidR="00EB0355" w:rsidRDefault="00EB0355">
          <w:pPr>
            <w:pStyle w:val="TOC3"/>
            <w:tabs>
              <w:tab w:val="right" w:leader="dot" w:pos="9016"/>
            </w:tabs>
            <w:rPr>
              <w:rFonts w:asciiTheme="minorHAnsi" w:hAnsiTheme="minorHAnsi"/>
              <w:noProof/>
              <w:kern w:val="2"/>
              <w:szCs w:val="24"/>
              <w:lang w:eastAsia="en-GB"/>
              <w14:ligatures w14:val="standardContextual"/>
            </w:rPr>
          </w:pPr>
          <w:hyperlink w:anchor="_Toc214975033" w:history="1">
            <w:r w:rsidRPr="000B7CAB">
              <w:rPr>
                <w:rStyle w:val="Hyperlink"/>
                <w:noProof/>
              </w:rPr>
              <w:t>2.2.1 Competition for talent remains high</w:t>
            </w:r>
            <w:r>
              <w:rPr>
                <w:noProof/>
                <w:webHidden/>
              </w:rPr>
              <w:tab/>
            </w:r>
            <w:r>
              <w:rPr>
                <w:noProof/>
                <w:webHidden/>
              </w:rPr>
              <w:fldChar w:fldCharType="begin"/>
            </w:r>
            <w:r>
              <w:rPr>
                <w:noProof/>
                <w:webHidden/>
              </w:rPr>
              <w:instrText xml:space="preserve"> PAGEREF _Toc214975033 \h </w:instrText>
            </w:r>
            <w:r>
              <w:rPr>
                <w:noProof/>
                <w:webHidden/>
              </w:rPr>
            </w:r>
            <w:r>
              <w:rPr>
                <w:noProof/>
                <w:webHidden/>
              </w:rPr>
              <w:fldChar w:fldCharType="separate"/>
            </w:r>
            <w:r>
              <w:rPr>
                <w:noProof/>
                <w:webHidden/>
              </w:rPr>
              <w:t>9</w:t>
            </w:r>
            <w:r>
              <w:rPr>
                <w:noProof/>
                <w:webHidden/>
              </w:rPr>
              <w:fldChar w:fldCharType="end"/>
            </w:r>
          </w:hyperlink>
        </w:p>
        <w:p w14:paraId="4D4B3E64" w14:textId="10A0E228" w:rsidR="00EB0355" w:rsidRDefault="00EB0355">
          <w:pPr>
            <w:pStyle w:val="TOC3"/>
            <w:tabs>
              <w:tab w:val="right" w:leader="dot" w:pos="9016"/>
            </w:tabs>
            <w:rPr>
              <w:rFonts w:asciiTheme="minorHAnsi" w:hAnsiTheme="minorHAnsi"/>
              <w:noProof/>
              <w:kern w:val="2"/>
              <w:szCs w:val="24"/>
              <w:lang w:eastAsia="en-GB"/>
              <w14:ligatures w14:val="standardContextual"/>
            </w:rPr>
          </w:pPr>
          <w:hyperlink w:anchor="_Toc214975034" w:history="1">
            <w:r w:rsidRPr="000B7CAB">
              <w:rPr>
                <w:rStyle w:val="Hyperlink"/>
                <w:noProof/>
              </w:rPr>
              <w:t>2.2.2 Greater focus on developing skills in-house</w:t>
            </w:r>
            <w:r>
              <w:rPr>
                <w:noProof/>
                <w:webHidden/>
              </w:rPr>
              <w:tab/>
            </w:r>
            <w:r>
              <w:rPr>
                <w:noProof/>
                <w:webHidden/>
              </w:rPr>
              <w:fldChar w:fldCharType="begin"/>
            </w:r>
            <w:r>
              <w:rPr>
                <w:noProof/>
                <w:webHidden/>
              </w:rPr>
              <w:instrText xml:space="preserve"> PAGEREF _Toc214975034 \h </w:instrText>
            </w:r>
            <w:r>
              <w:rPr>
                <w:noProof/>
                <w:webHidden/>
              </w:rPr>
            </w:r>
            <w:r>
              <w:rPr>
                <w:noProof/>
                <w:webHidden/>
              </w:rPr>
              <w:fldChar w:fldCharType="separate"/>
            </w:r>
            <w:r>
              <w:rPr>
                <w:noProof/>
                <w:webHidden/>
              </w:rPr>
              <w:t>10</w:t>
            </w:r>
            <w:r>
              <w:rPr>
                <w:noProof/>
                <w:webHidden/>
              </w:rPr>
              <w:fldChar w:fldCharType="end"/>
            </w:r>
          </w:hyperlink>
        </w:p>
        <w:p w14:paraId="5AA5624F" w14:textId="2B55300E" w:rsidR="00EB0355" w:rsidRDefault="00EB0355">
          <w:pPr>
            <w:pStyle w:val="TOC3"/>
            <w:tabs>
              <w:tab w:val="right" w:leader="dot" w:pos="9016"/>
            </w:tabs>
            <w:rPr>
              <w:rFonts w:asciiTheme="minorHAnsi" w:hAnsiTheme="minorHAnsi"/>
              <w:noProof/>
              <w:kern w:val="2"/>
              <w:szCs w:val="24"/>
              <w:lang w:eastAsia="en-GB"/>
              <w14:ligatures w14:val="standardContextual"/>
            </w:rPr>
          </w:pPr>
          <w:hyperlink w:anchor="_Toc214975035" w:history="1">
            <w:r w:rsidRPr="000B7CAB">
              <w:rPr>
                <w:rStyle w:val="Hyperlink"/>
                <w:noProof/>
              </w:rPr>
              <w:t>2.2.3 Technology speeding up recruitment and improving experience</w:t>
            </w:r>
            <w:r>
              <w:rPr>
                <w:noProof/>
                <w:webHidden/>
              </w:rPr>
              <w:tab/>
            </w:r>
            <w:r>
              <w:rPr>
                <w:noProof/>
                <w:webHidden/>
              </w:rPr>
              <w:fldChar w:fldCharType="begin"/>
            </w:r>
            <w:r>
              <w:rPr>
                <w:noProof/>
                <w:webHidden/>
              </w:rPr>
              <w:instrText xml:space="preserve"> PAGEREF _Toc214975035 \h </w:instrText>
            </w:r>
            <w:r>
              <w:rPr>
                <w:noProof/>
                <w:webHidden/>
              </w:rPr>
            </w:r>
            <w:r>
              <w:rPr>
                <w:noProof/>
                <w:webHidden/>
              </w:rPr>
              <w:fldChar w:fldCharType="separate"/>
            </w:r>
            <w:r>
              <w:rPr>
                <w:noProof/>
                <w:webHidden/>
              </w:rPr>
              <w:t>10</w:t>
            </w:r>
            <w:r>
              <w:rPr>
                <w:noProof/>
                <w:webHidden/>
              </w:rPr>
              <w:fldChar w:fldCharType="end"/>
            </w:r>
          </w:hyperlink>
        </w:p>
        <w:p w14:paraId="15B964B1" w14:textId="5E61D7DC" w:rsidR="00EB0355" w:rsidRDefault="00EB0355">
          <w:pPr>
            <w:pStyle w:val="TOC1"/>
            <w:tabs>
              <w:tab w:val="right" w:leader="dot" w:pos="9016"/>
            </w:tabs>
            <w:rPr>
              <w:rFonts w:asciiTheme="minorHAnsi" w:hAnsiTheme="minorHAnsi"/>
              <w:noProof/>
              <w:kern w:val="2"/>
              <w:szCs w:val="24"/>
              <w:lang w:eastAsia="en-GB"/>
              <w14:ligatures w14:val="standardContextual"/>
            </w:rPr>
          </w:pPr>
          <w:hyperlink w:anchor="_Toc214975036" w:history="1">
            <w:r w:rsidRPr="000B7CAB">
              <w:rPr>
                <w:rStyle w:val="Hyperlink"/>
                <w:noProof/>
              </w:rPr>
              <w:t>3.0 Conclusion</w:t>
            </w:r>
            <w:r>
              <w:rPr>
                <w:noProof/>
                <w:webHidden/>
              </w:rPr>
              <w:tab/>
            </w:r>
            <w:r>
              <w:rPr>
                <w:noProof/>
                <w:webHidden/>
              </w:rPr>
              <w:fldChar w:fldCharType="begin"/>
            </w:r>
            <w:r>
              <w:rPr>
                <w:noProof/>
                <w:webHidden/>
              </w:rPr>
              <w:instrText xml:space="preserve"> PAGEREF _Toc214975036 \h </w:instrText>
            </w:r>
            <w:r>
              <w:rPr>
                <w:noProof/>
                <w:webHidden/>
              </w:rPr>
            </w:r>
            <w:r>
              <w:rPr>
                <w:noProof/>
                <w:webHidden/>
              </w:rPr>
              <w:fldChar w:fldCharType="separate"/>
            </w:r>
            <w:r>
              <w:rPr>
                <w:noProof/>
                <w:webHidden/>
              </w:rPr>
              <w:t>12</w:t>
            </w:r>
            <w:r>
              <w:rPr>
                <w:noProof/>
                <w:webHidden/>
              </w:rPr>
              <w:fldChar w:fldCharType="end"/>
            </w:r>
          </w:hyperlink>
        </w:p>
        <w:p w14:paraId="045894AD" w14:textId="090B3360" w:rsidR="00EB0355" w:rsidRDefault="00EB0355">
          <w:pPr>
            <w:pStyle w:val="TOC1"/>
            <w:tabs>
              <w:tab w:val="right" w:leader="dot" w:pos="9016"/>
            </w:tabs>
            <w:rPr>
              <w:rFonts w:asciiTheme="minorHAnsi" w:hAnsiTheme="minorHAnsi"/>
              <w:noProof/>
              <w:kern w:val="2"/>
              <w:szCs w:val="24"/>
              <w:lang w:eastAsia="en-GB"/>
              <w14:ligatures w14:val="standardContextual"/>
            </w:rPr>
          </w:pPr>
          <w:hyperlink w:anchor="_Toc214975037" w:history="1">
            <w:r w:rsidRPr="000B7CAB">
              <w:rPr>
                <w:rStyle w:val="Hyperlink"/>
                <w:noProof/>
              </w:rPr>
              <w:t>4.0 Recommendations</w:t>
            </w:r>
            <w:r>
              <w:rPr>
                <w:noProof/>
                <w:webHidden/>
              </w:rPr>
              <w:tab/>
            </w:r>
            <w:r>
              <w:rPr>
                <w:noProof/>
                <w:webHidden/>
              </w:rPr>
              <w:fldChar w:fldCharType="begin"/>
            </w:r>
            <w:r>
              <w:rPr>
                <w:noProof/>
                <w:webHidden/>
              </w:rPr>
              <w:instrText xml:space="preserve"> PAGEREF _Toc214975037 \h </w:instrText>
            </w:r>
            <w:r>
              <w:rPr>
                <w:noProof/>
                <w:webHidden/>
              </w:rPr>
            </w:r>
            <w:r>
              <w:rPr>
                <w:noProof/>
                <w:webHidden/>
              </w:rPr>
              <w:fldChar w:fldCharType="separate"/>
            </w:r>
            <w:r>
              <w:rPr>
                <w:noProof/>
                <w:webHidden/>
              </w:rPr>
              <w:t>13</w:t>
            </w:r>
            <w:r>
              <w:rPr>
                <w:noProof/>
                <w:webHidden/>
              </w:rPr>
              <w:fldChar w:fldCharType="end"/>
            </w:r>
          </w:hyperlink>
        </w:p>
        <w:p w14:paraId="554C5111" w14:textId="652B916B" w:rsidR="00EB0355" w:rsidRDefault="00EB0355">
          <w:pPr>
            <w:pStyle w:val="TOC1"/>
            <w:tabs>
              <w:tab w:val="right" w:leader="dot" w:pos="9016"/>
            </w:tabs>
            <w:rPr>
              <w:rFonts w:asciiTheme="minorHAnsi" w:hAnsiTheme="minorHAnsi"/>
              <w:noProof/>
              <w:kern w:val="2"/>
              <w:szCs w:val="24"/>
              <w:lang w:eastAsia="en-GB"/>
              <w14:ligatures w14:val="standardContextual"/>
            </w:rPr>
          </w:pPr>
          <w:hyperlink w:anchor="_Toc214975038" w:history="1">
            <w:r w:rsidRPr="000B7CAB">
              <w:rPr>
                <w:rStyle w:val="Hyperlink"/>
                <w:noProof/>
              </w:rPr>
              <w:t>References</w:t>
            </w:r>
            <w:r>
              <w:rPr>
                <w:noProof/>
                <w:webHidden/>
              </w:rPr>
              <w:tab/>
            </w:r>
            <w:r>
              <w:rPr>
                <w:noProof/>
                <w:webHidden/>
              </w:rPr>
              <w:fldChar w:fldCharType="begin"/>
            </w:r>
            <w:r>
              <w:rPr>
                <w:noProof/>
                <w:webHidden/>
              </w:rPr>
              <w:instrText xml:space="preserve"> PAGEREF _Toc214975038 \h </w:instrText>
            </w:r>
            <w:r>
              <w:rPr>
                <w:noProof/>
                <w:webHidden/>
              </w:rPr>
            </w:r>
            <w:r>
              <w:rPr>
                <w:noProof/>
                <w:webHidden/>
              </w:rPr>
              <w:fldChar w:fldCharType="separate"/>
            </w:r>
            <w:r>
              <w:rPr>
                <w:noProof/>
                <w:webHidden/>
              </w:rPr>
              <w:t>15</w:t>
            </w:r>
            <w:r>
              <w:rPr>
                <w:noProof/>
                <w:webHidden/>
              </w:rPr>
              <w:fldChar w:fldCharType="end"/>
            </w:r>
          </w:hyperlink>
        </w:p>
        <w:p w14:paraId="74FB9B21" w14:textId="6BCED70F" w:rsidR="005E7FDC" w:rsidRDefault="005E7FDC" w:rsidP="005846CC">
          <w:r w:rsidRPr="005E7FDC">
            <w:rPr>
              <w:rFonts w:cs="Arial"/>
              <w:b/>
              <w:bCs/>
            </w:rPr>
            <w:fldChar w:fldCharType="end"/>
          </w:r>
        </w:p>
      </w:sdtContent>
    </w:sdt>
    <w:p w14:paraId="11C24FB6" w14:textId="228F53BC" w:rsidR="005C3CA2" w:rsidRDefault="005C3CA2" w:rsidP="005846CC">
      <w:pPr>
        <w:jc w:val="both"/>
      </w:pPr>
      <w:r>
        <w:br w:type="page"/>
      </w:r>
    </w:p>
    <w:p w14:paraId="6F195490" w14:textId="17821A29" w:rsidR="005C3CA2" w:rsidRDefault="006C5849" w:rsidP="00BE274B">
      <w:pPr>
        <w:pStyle w:val="Heading1"/>
        <w:spacing w:line="360" w:lineRule="auto"/>
        <w:jc w:val="both"/>
      </w:pPr>
      <w:bookmarkStart w:id="1" w:name="_Toc214975027"/>
      <w:r>
        <w:lastRenderedPageBreak/>
        <w:t xml:space="preserve">1.0 </w:t>
      </w:r>
      <w:r w:rsidR="005C3CA2">
        <w:t>Introduction</w:t>
      </w:r>
      <w:bookmarkEnd w:id="1"/>
      <w:r w:rsidR="005C3CA2">
        <w:t xml:space="preserve"> </w:t>
      </w:r>
    </w:p>
    <w:p w14:paraId="195BE4F8" w14:textId="5E363B96" w:rsidR="00A55303" w:rsidRDefault="00BE274B" w:rsidP="00BE274B">
      <w:r>
        <w:t xml:space="preserve">Taylor (2025, p.21) asserts that </w:t>
      </w:r>
      <w:r w:rsidR="00C8590B">
        <w:t>effective</w:t>
      </w:r>
      <w:r>
        <w:t xml:space="preserve"> talent management </w:t>
      </w:r>
      <w:r w:rsidR="003E29AA">
        <w:t xml:space="preserve">underpins organisational success and resilience, particularly in sectors exposed to pollical and economical volatility </w:t>
      </w:r>
      <w:r>
        <w:t xml:space="preserve">(Cockett, 2025). </w:t>
      </w:r>
    </w:p>
    <w:p w14:paraId="17846C08" w14:textId="341DFE8A" w:rsidR="00BE274B" w:rsidRDefault="00BE274B" w:rsidP="00A55303">
      <w:pPr>
        <w:ind w:firstLine="720"/>
      </w:pPr>
      <w:r>
        <w:t>In the 2024</w:t>
      </w:r>
      <w:r w:rsidR="003F0A52">
        <w:t>, the C</w:t>
      </w:r>
      <w:r w:rsidR="007F2624">
        <w:t>hartered Institute of Professional Development (CI</w:t>
      </w:r>
      <w:r w:rsidR="003F0A52">
        <w:t>PD</w:t>
      </w:r>
      <w:r w:rsidR="007F2624">
        <w:t>)</w:t>
      </w:r>
      <w:r w:rsidR="003F0A52">
        <w:t xml:space="preserve"> indicate </w:t>
      </w:r>
      <w:r>
        <w:t>that employers across various sectors continue to experience significant competition for skilled workers, demographic change and growing expectations on flexibility and pay and reward</w:t>
      </w:r>
      <w:r w:rsidR="003F0A52">
        <w:t xml:space="preserve"> (Hogarth and McCartney, 2024)</w:t>
      </w:r>
      <w:r>
        <w:t xml:space="preserve">. Successful and effective talent management is not just recruitment, it includes attraction, development and </w:t>
      </w:r>
      <w:r w:rsidR="00E30CAE">
        <w:t xml:space="preserve">the </w:t>
      </w:r>
      <w:r>
        <w:t xml:space="preserve">retention of employees who contribute to the organisation’s success (CIPD, 2024). </w:t>
      </w:r>
    </w:p>
    <w:p w14:paraId="4E311C3D" w14:textId="4FA5930A" w:rsidR="00BE274B" w:rsidRDefault="00BE274B" w:rsidP="00BE274B">
      <w:r>
        <w:tab/>
      </w:r>
      <w:r w:rsidR="00A55303">
        <w:t xml:space="preserve">Established by the Welsh Government in 2013, Natural Resources Wales (NRW) is a public body employing over 2,500 staff. As an organisation, NRW is oversees environmental conservation, management and regulation (NRW, 2025a). </w:t>
      </w:r>
    </w:p>
    <w:p w14:paraId="032CD32D" w14:textId="2823D86C" w:rsidR="00622716" w:rsidRDefault="00AC5AA2" w:rsidP="00BE274B">
      <w:r>
        <w:tab/>
      </w:r>
      <w:r w:rsidR="001D741A">
        <w:t xml:space="preserve">In 2024, </w:t>
      </w:r>
      <w:r w:rsidR="00DB36C2">
        <w:t>NRW</w:t>
      </w:r>
      <w:r w:rsidR="00622716">
        <w:t xml:space="preserve"> has faced significant workforce challenges following an organisation-wide restructure and an 18-month recruitment freeze driven by budget constraints (NRW, 2024). </w:t>
      </w:r>
      <w:r w:rsidR="00C04B97">
        <w:t xml:space="preserve">In 2025, additional funding resulted in 500 new vacancies being created (NRW, 2025a). The expansion of the workforce has resulted in resourcing challenges against a backdrop of a tight labour market intensifying the need for a strategic approach to attraction, development and retention (Hogarth and McCartney, 2024). </w:t>
      </w:r>
    </w:p>
    <w:p w14:paraId="4572946B" w14:textId="254E7C29" w:rsidR="006B7D42" w:rsidRDefault="006B7D42" w:rsidP="00BE274B">
      <w:r>
        <w:tab/>
        <w:t>This report critically evaluates the internal and external factors influencing NRW’s talent management approach, including political uncertainty, economic pressures and technological developments (Hogarth and McCartney, 202</w:t>
      </w:r>
      <w:r w:rsidR="005D2F5C">
        <w:t>4</w:t>
      </w:r>
      <w:r>
        <w:t xml:space="preserve">). </w:t>
      </w:r>
      <w:r w:rsidR="00700A5A">
        <w:t xml:space="preserve">It also </w:t>
      </w:r>
      <w:r w:rsidR="00EB0355">
        <w:t>assesses</w:t>
      </w:r>
      <w:r w:rsidR="00700A5A">
        <w:t xml:space="preserve"> internal factors including organisational culture, strategic workforce planning and learning development as key drivers of retention and engagement. The recommendations presented seek to address current gaps, enhance digital capability and build a sustainable talent pipeline aligned with the organisation’s strategic objectives and aims (Taylor, 2025, p.32).</w:t>
      </w:r>
    </w:p>
    <w:p w14:paraId="3F5AFAC9" w14:textId="7243D089" w:rsidR="00BE274B" w:rsidRDefault="00BE274B" w:rsidP="006C48C6">
      <w:r>
        <w:tab/>
      </w:r>
      <w:r>
        <w:br w:type="page"/>
      </w:r>
    </w:p>
    <w:p w14:paraId="4164146E" w14:textId="7614D035" w:rsidR="005C3CA2" w:rsidRDefault="005C3CA2" w:rsidP="005846CC">
      <w:pPr>
        <w:jc w:val="both"/>
        <w:rPr>
          <w:rFonts w:eastAsiaTheme="majorEastAsia" w:cstheme="majorBidi"/>
          <w:b/>
          <w:color w:val="009999"/>
          <w:sz w:val="28"/>
          <w:szCs w:val="36"/>
        </w:rPr>
      </w:pPr>
    </w:p>
    <w:p w14:paraId="76E59D11" w14:textId="2267F652" w:rsidR="0073304D" w:rsidRDefault="006C5849" w:rsidP="005846CC">
      <w:pPr>
        <w:pStyle w:val="Heading1"/>
        <w:jc w:val="both"/>
      </w:pPr>
      <w:bookmarkStart w:id="2" w:name="_Toc214975028"/>
      <w:r>
        <w:t xml:space="preserve">2.0 </w:t>
      </w:r>
      <w:r w:rsidR="005C3CA2">
        <w:t>Main Findings</w:t>
      </w:r>
      <w:bookmarkEnd w:id="2"/>
      <w:r w:rsidR="005C3CA2">
        <w:t xml:space="preserve"> </w:t>
      </w:r>
    </w:p>
    <w:p w14:paraId="0A74817F" w14:textId="77777777" w:rsidR="006C5849" w:rsidRDefault="006C5849" w:rsidP="005846CC">
      <w:pPr>
        <w:pStyle w:val="Heading2"/>
        <w:jc w:val="both"/>
      </w:pPr>
    </w:p>
    <w:p w14:paraId="27D173DD" w14:textId="27CC835B" w:rsidR="006C5849" w:rsidRDefault="006C5849" w:rsidP="005846CC">
      <w:pPr>
        <w:pStyle w:val="Heading2"/>
        <w:jc w:val="both"/>
      </w:pPr>
      <w:bookmarkStart w:id="3" w:name="_Toc214975029"/>
      <w:r>
        <w:t xml:space="preserve">2.1 Evaluation of internal and external factors affecting talent management </w:t>
      </w:r>
      <w:r w:rsidR="00210F68">
        <w:t>at NRW</w:t>
      </w:r>
      <w:bookmarkEnd w:id="3"/>
    </w:p>
    <w:p w14:paraId="0C6EFAF5" w14:textId="77777777" w:rsidR="006C5849" w:rsidRDefault="006C5849" w:rsidP="005846CC">
      <w:pPr>
        <w:pStyle w:val="Heading3"/>
        <w:jc w:val="both"/>
      </w:pPr>
    </w:p>
    <w:p w14:paraId="01C2C284" w14:textId="71F3E408" w:rsidR="00E60979" w:rsidRDefault="006C5849" w:rsidP="00F6160A">
      <w:pPr>
        <w:pStyle w:val="Heading3"/>
        <w:spacing w:line="360" w:lineRule="auto"/>
        <w:jc w:val="both"/>
      </w:pPr>
      <w:bookmarkStart w:id="4" w:name="_Toc214975030"/>
      <w:r w:rsidRPr="0018102F">
        <w:t>2.1.1 External factors</w:t>
      </w:r>
      <w:bookmarkEnd w:id="4"/>
      <w:r w:rsidRPr="0018102F">
        <w:t xml:space="preserve"> </w:t>
      </w:r>
    </w:p>
    <w:p w14:paraId="1C248AE7" w14:textId="0FBD2FB6" w:rsidR="006C5849" w:rsidRDefault="00922401" w:rsidP="00EC7EA4">
      <w:pPr>
        <w:jc w:val="both"/>
      </w:pPr>
      <w:r>
        <w:t xml:space="preserve">The public sector </w:t>
      </w:r>
      <w:r w:rsidR="007458FD">
        <w:t>continues to operate against a landscape which is described as ‘volatile, uncertain, complex and ambiguous – VUCA’ (Perera, 2017)</w:t>
      </w:r>
      <w:r w:rsidR="00614734">
        <w:t>.</w:t>
      </w:r>
      <w:r w:rsidR="00A67DD4">
        <w:t xml:space="preserve"> </w:t>
      </w:r>
      <w:r w:rsidR="00E0096B">
        <w:t xml:space="preserve">While environmental, legal and social </w:t>
      </w:r>
      <w:r w:rsidR="00A67DD4">
        <w:t xml:space="preserve">factors influence </w:t>
      </w:r>
      <w:r w:rsidR="00274462">
        <w:t>talent management (</w:t>
      </w:r>
      <w:proofErr w:type="spellStart"/>
      <w:r w:rsidR="00274462">
        <w:t>Battisa</w:t>
      </w:r>
      <w:proofErr w:type="spellEnd"/>
      <w:r w:rsidR="00274462">
        <w:t xml:space="preserve">, 2024), </w:t>
      </w:r>
      <w:r w:rsidR="00A67DD4">
        <w:t xml:space="preserve">at present, </w:t>
      </w:r>
      <w:r w:rsidR="00274462">
        <w:t>f</w:t>
      </w:r>
      <w:r w:rsidR="00E76665">
        <w:t xml:space="preserve">or NRW, </w:t>
      </w:r>
      <w:r w:rsidR="00D86DC4">
        <w:t>the political</w:t>
      </w:r>
      <w:r w:rsidR="00A67DD4">
        <w:t xml:space="preserve">, economic and technological developments are shaping NRW’s ability to attract, recruit and retain talent </w:t>
      </w:r>
      <w:r w:rsidR="00E0096B">
        <w:t>(Armstrong and Brown, 2024).</w:t>
      </w:r>
      <w:r w:rsidR="006831BF">
        <w:t xml:space="preserve"> </w:t>
      </w:r>
    </w:p>
    <w:p w14:paraId="475691DA" w14:textId="3C194A14" w:rsidR="003A697B" w:rsidRDefault="00302CDE" w:rsidP="00EC7EA4">
      <w:pPr>
        <w:jc w:val="both"/>
      </w:pPr>
      <w:r w:rsidRPr="00302CDE">
        <w:rPr>
          <w:b/>
          <w:bCs/>
        </w:rPr>
        <w:t>The political context </w:t>
      </w:r>
    </w:p>
    <w:p w14:paraId="0719C3FF" w14:textId="6DBF55AF" w:rsidR="003A697B" w:rsidRDefault="00642136" w:rsidP="003A697B">
      <w:pPr>
        <w:jc w:val="both"/>
      </w:pPr>
      <w:r>
        <w:t xml:space="preserve">Following the </w:t>
      </w:r>
      <w:r w:rsidRPr="00070964">
        <w:rPr>
          <w:i/>
          <w:iCs/>
        </w:rPr>
        <w:t>Senedd Reform Act</w:t>
      </w:r>
      <w:r w:rsidR="00987175">
        <w:t xml:space="preserve"> (</w:t>
      </w:r>
      <w:r w:rsidR="00070964">
        <w:t>2024</w:t>
      </w:r>
      <w:r w:rsidR="00987175">
        <w:t>)</w:t>
      </w:r>
      <w:r>
        <w:t xml:space="preserve">, the </w:t>
      </w:r>
      <w:r w:rsidR="00A85B0F">
        <w:t>2026 general</w:t>
      </w:r>
      <w:r>
        <w:t xml:space="preserve"> election present</w:t>
      </w:r>
      <w:r w:rsidR="00987175">
        <w:t>s a degree of political uncertainty for NRW</w:t>
      </w:r>
      <w:r w:rsidR="009659CF">
        <w:t xml:space="preserve"> </w:t>
      </w:r>
      <w:r w:rsidR="00E61250">
        <w:t xml:space="preserve">(McAllister and Williams, </w:t>
      </w:r>
      <w:r w:rsidR="00F3185A">
        <w:t>2024)</w:t>
      </w:r>
      <w:r w:rsidR="00987175">
        <w:t>. A key challenge</w:t>
      </w:r>
      <w:r w:rsidR="007B175F">
        <w:t xml:space="preserve"> for the incumbent government is to legislate the budget for the next financial year </w:t>
      </w:r>
      <w:r w:rsidR="00941748">
        <w:t xml:space="preserve">through cross-party </w:t>
      </w:r>
      <w:r w:rsidR="0038726C">
        <w:t>coalition</w:t>
      </w:r>
      <w:r w:rsidR="00431BD1">
        <w:t xml:space="preserve"> (Holzinger and </w:t>
      </w:r>
      <w:proofErr w:type="spellStart"/>
      <w:r w:rsidR="00431BD1">
        <w:t>Lugonja</w:t>
      </w:r>
      <w:proofErr w:type="spellEnd"/>
      <w:r w:rsidR="00431BD1">
        <w:t xml:space="preserve">, 2025). </w:t>
      </w:r>
      <w:r w:rsidR="000376BA">
        <w:t xml:space="preserve">While the current budget is deemed as </w:t>
      </w:r>
      <w:r w:rsidR="00AA78D8">
        <w:t>‘</w:t>
      </w:r>
      <w:r w:rsidR="000376BA">
        <w:t>business as usual</w:t>
      </w:r>
      <w:r w:rsidR="00AA78D8">
        <w:t xml:space="preserve">’ </w:t>
      </w:r>
      <w:r w:rsidR="00A947CC">
        <w:t>(Senedd, 2025</w:t>
      </w:r>
      <w:r w:rsidR="00CE5EF2">
        <w:t>), failing</w:t>
      </w:r>
      <w:r w:rsidR="00DD24C8">
        <w:t xml:space="preserve"> to attain a majority vote in the Senedd</w:t>
      </w:r>
      <w:r w:rsidR="008D3927">
        <w:t xml:space="preserve"> </w:t>
      </w:r>
      <w:r w:rsidR="0061763A">
        <w:t>will negatively impact</w:t>
      </w:r>
      <w:r w:rsidR="008D3927">
        <w:t xml:space="preserve"> NRW’s operations (Deans, 2025).</w:t>
      </w:r>
      <w:r w:rsidR="0061763A">
        <w:t xml:space="preserve"> The government proposes to allocate next year’s budget</w:t>
      </w:r>
      <w:r w:rsidR="00AB47AE">
        <w:t xml:space="preserve"> based on the current financial year with an inflationary increase</w:t>
      </w:r>
      <w:r w:rsidR="00CD1C20">
        <w:t xml:space="preserve"> (Welsh Government, 2025)</w:t>
      </w:r>
      <w:r w:rsidR="005A688E">
        <w:t>. However, despite the budget assurance,</w:t>
      </w:r>
      <w:r w:rsidR="00261C40">
        <w:t xml:space="preserve"> </w:t>
      </w:r>
      <w:r w:rsidR="005D782A">
        <w:t xml:space="preserve">the total awarded to the organisation presents challenges that will impact NRW’s </w:t>
      </w:r>
      <w:r w:rsidR="000A5051">
        <w:t>abili</w:t>
      </w:r>
      <w:r w:rsidR="005B46BC">
        <w:t xml:space="preserve">ty to strategically plan </w:t>
      </w:r>
      <w:r w:rsidR="00740621">
        <w:t xml:space="preserve">and </w:t>
      </w:r>
      <w:r w:rsidR="003F5E56">
        <w:t xml:space="preserve">implement the </w:t>
      </w:r>
      <w:r w:rsidR="00740621">
        <w:t>workforce</w:t>
      </w:r>
      <w:r w:rsidR="00AD04A7">
        <w:t xml:space="preserve"> and talent development initiatives</w:t>
      </w:r>
      <w:r w:rsidR="00740621">
        <w:t xml:space="preserve"> (</w:t>
      </w:r>
      <w:r w:rsidR="000932F1">
        <w:t>Phillips, 2025</w:t>
      </w:r>
      <w:r w:rsidR="00740621">
        <w:t xml:space="preserve">). </w:t>
      </w:r>
      <w:r w:rsidR="00C42179">
        <w:t xml:space="preserve">If the government fail to secure a majority, the </w:t>
      </w:r>
      <w:r w:rsidR="00C42179" w:rsidRPr="003F5E56">
        <w:rPr>
          <w:i/>
          <w:iCs/>
        </w:rPr>
        <w:t>Government of Wales Act</w:t>
      </w:r>
      <w:r w:rsidR="00C42179">
        <w:t xml:space="preserve"> </w:t>
      </w:r>
      <w:r w:rsidR="003F5E56">
        <w:t>(</w:t>
      </w:r>
      <w:r w:rsidR="00C42179">
        <w:t>2006</w:t>
      </w:r>
      <w:r w:rsidR="003F5E56">
        <w:t>)</w:t>
      </w:r>
      <w:r w:rsidR="00C42179">
        <w:t xml:space="preserve"> will provide </w:t>
      </w:r>
      <w:r w:rsidR="00752EBF">
        <w:t xml:space="preserve">the essential funding which could result in </w:t>
      </w:r>
      <w:r w:rsidR="00BE0592">
        <w:t xml:space="preserve">recruitment freezes, </w:t>
      </w:r>
      <w:r w:rsidR="00002582">
        <w:t>a pause in promotions and potentially redundancies for NRW (</w:t>
      </w:r>
      <w:r w:rsidR="000932F1">
        <w:t>Phillips, 2025</w:t>
      </w:r>
      <w:r w:rsidR="00002582">
        <w:t xml:space="preserve">). </w:t>
      </w:r>
      <w:r w:rsidR="004C052A">
        <w:t xml:space="preserve"> </w:t>
      </w:r>
    </w:p>
    <w:p w14:paraId="2D6E9A37" w14:textId="691D5319" w:rsidR="00752EBF" w:rsidRDefault="00D60E32" w:rsidP="005846CC">
      <w:pPr>
        <w:ind w:firstLine="720"/>
        <w:jc w:val="both"/>
      </w:pPr>
      <w:r>
        <w:t xml:space="preserve">As a result of the </w:t>
      </w:r>
      <w:r w:rsidR="0036705D">
        <w:rPr>
          <w:i/>
          <w:iCs/>
        </w:rPr>
        <w:t>Senedd Reform Act (2024)</w:t>
      </w:r>
      <w:r>
        <w:t xml:space="preserve">, Wales will likely be governed by </w:t>
      </w:r>
      <w:r w:rsidR="006110D2">
        <w:t>a multi-party coalition (Shuttleworth, 202</w:t>
      </w:r>
      <w:r w:rsidR="00C0421A">
        <w:t>1</w:t>
      </w:r>
      <w:r w:rsidR="00E00ECB">
        <w:t>)</w:t>
      </w:r>
      <w:r w:rsidR="002657C4">
        <w:t xml:space="preserve">. </w:t>
      </w:r>
      <w:proofErr w:type="spellStart"/>
      <w:r w:rsidR="00D76EDD">
        <w:t>Lapsey</w:t>
      </w:r>
      <w:proofErr w:type="spellEnd"/>
      <w:r w:rsidR="00D76EDD">
        <w:t xml:space="preserve"> </w:t>
      </w:r>
      <w:r w:rsidR="00D76EDD">
        <w:rPr>
          <w:i/>
          <w:iCs/>
        </w:rPr>
        <w:t>et al</w:t>
      </w:r>
      <w:r w:rsidR="00C0421A">
        <w:rPr>
          <w:i/>
          <w:iCs/>
        </w:rPr>
        <w:t>.</w:t>
      </w:r>
      <w:r w:rsidR="00D76EDD">
        <w:rPr>
          <w:i/>
          <w:iCs/>
        </w:rPr>
        <w:t xml:space="preserve"> </w:t>
      </w:r>
      <w:r w:rsidR="00D76EDD">
        <w:t xml:space="preserve">(2011) assert that </w:t>
      </w:r>
      <w:r w:rsidR="00604A9E">
        <w:t xml:space="preserve">coalition governments </w:t>
      </w:r>
      <w:r w:rsidR="009516C7">
        <w:t xml:space="preserve">present greater instability when compared to minority governments. </w:t>
      </w:r>
      <w:r w:rsidR="007D3D7F">
        <w:t xml:space="preserve">Bergman </w:t>
      </w:r>
      <w:r w:rsidR="007D3D7F">
        <w:rPr>
          <w:i/>
          <w:iCs/>
        </w:rPr>
        <w:t>et al</w:t>
      </w:r>
      <w:r w:rsidR="00C0421A">
        <w:rPr>
          <w:i/>
          <w:iCs/>
        </w:rPr>
        <w:t>.</w:t>
      </w:r>
      <w:r w:rsidR="007D3D7F">
        <w:rPr>
          <w:i/>
          <w:iCs/>
        </w:rPr>
        <w:t xml:space="preserve"> </w:t>
      </w:r>
      <w:r w:rsidR="007D3D7F">
        <w:t xml:space="preserve">(2023) </w:t>
      </w:r>
      <w:r w:rsidR="00C10C0F">
        <w:t>ex</w:t>
      </w:r>
      <w:r w:rsidR="002F457E">
        <w:t xml:space="preserve">plores this </w:t>
      </w:r>
      <w:r w:rsidR="00636E99">
        <w:t xml:space="preserve">further and highlights that instability can be avoided </w:t>
      </w:r>
      <w:r w:rsidR="001C6C62">
        <w:t xml:space="preserve">through </w:t>
      </w:r>
      <w:r w:rsidR="00636E99">
        <w:t xml:space="preserve">coalition agreements. </w:t>
      </w:r>
      <w:r w:rsidR="0062296E">
        <w:t>The</w:t>
      </w:r>
      <w:r w:rsidR="00B65BE9">
        <w:t xml:space="preserve"> impact </w:t>
      </w:r>
      <w:r w:rsidR="006A07B6">
        <w:t>of policy</w:t>
      </w:r>
      <w:r w:rsidR="00786152">
        <w:t xml:space="preserve"> stalemate</w:t>
      </w:r>
      <w:r w:rsidR="0048785B">
        <w:t xml:space="preserve"> </w:t>
      </w:r>
      <w:r w:rsidR="00B65BE9">
        <w:t xml:space="preserve">will result </w:t>
      </w:r>
      <w:r w:rsidR="00764901">
        <w:t>in delays to legislative and policy changes (Back,</w:t>
      </w:r>
      <w:r w:rsidR="00315B66">
        <w:t xml:space="preserve"> </w:t>
      </w:r>
      <w:r w:rsidR="00B86740">
        <w:t>Bergman</w:t>
      </w:r>
      <w:r w:rsidR="00315B66">
        <w:t xml:space="preserve"> and </w:t>
      </w:r>
      <w:proofErr w:type="spellStart"/>
      <w:r w:rsidR="00315B66">
        <w:t>Wolfgan</w:t>
      </w:r>
      <w:proofErr w:type="spellEnd"/>
      <w:r w:rsidR="00315B66">
        <w:t>, 2023)</w:t>
      </w:r>
      <w:r w:rsidR="00B65BE9">
        <w:t xml:space="preserve">. </w:t>
      </w:r>
      <w:r w:rsidR="0062296E">
        <w:t xml:space="preserve">For NRW, this could mean delays in obtaining government agreement </w:t>
      </w:r>
      <w:r w:rsidR="006A07B6">
        <w:t xml:space="preserve">on </w:t>
      </w:r>
      <w:r w:rsidR="0062296E">
        <w:t>pay awards</w:t>
      </w:r>
      <w:r w:rsidR="001D10EA">
        <w:t xml:space="preserve">, the need to anticipate significant </w:t>
      </w:r>
      <w:r w:rsidR="00771240">
        <w:t>change in workforce priorities</w:t>
      </w:r>
      <w:r w:rsidR="002D4A57">
        <w:t xml:space="preserve"> </w:t>
      </w:r>
      <w:r w:rsidR="00771240">
        <w:t xml:space="preserve">and </w:t>
      </w:r>
      <w:r w:rsidR="00127569">
        <w:t xml:space="preserve">constraints on headcount </w:t>
      </w:r>
      <w:r w:rsidR="001D10EA">
        <w:t>will harm the organisation’s ability t</w:t>
      </w:r>
      <w:r w:rsidR="00127569">
        <w:t xml:space="preserve">o retain and </w:t>
      </w:r>
      <w:r w:rsidR="00453B40">
        <w:t>attract</w:t>
      </w:r>
      <w:r w:rsidR="00127569">
        <w:t xml:space="preserve"> talent in high-dema</w:t>
      </w:r>
      <w:r w:rsidR="00BF7708">
        <w:t>nd and specialist areas (</w:t>
      </w:r>
      <w:r w:rsidR="001500E0">
        <w:t>House of Lords, 2022</w:t>
      </w:r>
      <w:r w:rsidR="00BF7708">
        <w:t>)</w:t>
      </w:r>
      <w:r w:rsidR="00B0548E">
        <w:t xml:space="preserve">. </w:t>
      </w:r>
    </w:p>
    <w:p w14:paraId="740F9C9F" w14:textId="2A0124C6" w:rsidR="003A697B" w:rsidRDefault="003A697B" w:rsidP="003A697B">
      <w:pPr>
        <w:jc w:val="both"/>
      </w:pPr>
      <w:r w:rsidRPr="003A697B">
        <w:rPr>
          <w:b/>
          <w:bCs/>
        </w:rPr>
        <w:t>The economic context   </w:t>
      </w:r>
    </w:p>
    <w:p w14:paraId="7C80BF68" w14:textId="6198DD1B" w:rsidR="00555FB8" w:rsidRDefault="00A727BC" w:rsidP="003A697B">
      <w:pPr>
        <w:jc w:val="both"/>
      </w:pPr>
      <w:r>
        <w:t xml:space="preserve">NRW’s budget </w:t>
      </w:r>
      <w:r w:rsidR="009B076C">
        <w:t>is steered by the external economic conditions including the budget allocation from the Welsh Government</w:t>
      </w:r>
      <w:r w:rsidR="00D23EE3">
        <w:t xml:space="preserve"> (Welsh Government, 2025). </w:t>
      </w:r>
      <w:r w:rsidR="00061BE1">
        <w:t xml:space="preserve">While inflation has </w:t>
      </w:r>
      <w:r w:rsidR="00506C68">
        <w:t>remained at 3.8% (ONS, 2025)</w:t>
      </w:r>
      <w:r w:rsidR="000B5CB0">
        <w:t xml:space="preserve">, </w:t>
      </w:r>
      <w:r w:rsidR="00B7391E">
        <w:t xml:space="preserve">increased operating costs </w:t>
      </w:r>
      <w:r w:rsidR="008D2108">
        <w:t xml:space="preserve">require NRW to </w:t>
      </w:r>
      <w:r w:rsidR="003F3C0D">
        <w:t xml:space="preserve">prioritise </w:t>
      </w:r>
      <w:r w:rsidR="003F3C0D">
        <w:lastRenderedPageBreak/>
        <w:t xml:space="preserve">activities with the highest environmental and </w:t>
      </w:r>
      <w:proofErr w:type="spellStart"/>
      <w:r w:rsidR="003F3C0D">
        <w:t>economical</w:t>
      </w:r>
      <w:proofErr w:type="spellEnd"/>
      <w:r w:rsidR="003F3C0D">
        <w:t xml:space="preserve"> impact (</w:t>
      </w:r>
      <w:r w:rsidR="00DA3645">
        <w:t>McNeil and Barnes, 2025).</w:t>
      </w:r>
      <w:r w:rsidR="003F3C0D">
        <w:t xml:space="preserve"> </w:t>
      </w:r>
    </w:p>
    <w:p w14:paraId="44069D8E" w14:textId="4403E670" w:rsidR="00EE6238" w:rsidRDefault="00AC0F03" w:rsidP="005846CC">
      <w:pPr>
        <w:ind w:firstLine="720"/>
        <w:jc w:val="both"/>
      </w:pPr>
      <w:r>
        <w:t>The</w:t>
      </w:r>
      <w:r w:rsidR="007F76DD">
        <w:t xml:space="preserve"> budget constraints coupled with the political pressure to deliver </w:t>
      </w:r>
      <w:r w:rsidR="0056061A">
        <w:t>high-impact projects results in resources becoming stretched and the organisatio</w:t>
      </w:r>
      <w:r w:rsidR="0016248D">
        <w:t xml:space="preserve">n unable to </w:t>
      </w:r>
      <w:r>
        <w:t>offer competitive salaries in specialist areas including environmental</w:t>
      </w:r>
      <w:r w:rsidR="00602717">
        <w:t xml:space="preserve">, </w:t>
      </w:r>
      <w:r>
        <w:t>water regulatio</w:t>
      </w:r>
      <w:r w:rsidR="00602717">
        <w:t xml:space="preserve">n, </w:t>
      </w:r>
      <w:r>
        <w:t>digital and data (</w:t>
      </w:r>
      <w:r w:rsidR="00A52F05">
        <w:t>Keenan and Thomas, 2025</w:t>
      </w:r>
      <w:r>
        <w:t xml:space="preserve">). </w:t>
      </w:r>
      <w:r w:rsidR="00D859E1">
        <w:t xml:space="preserve">In the latest CIPD report on resourcing and talent management, </w:t>
      </w:r>
      <w:r w:rsidR="00EF71CA">
        <w:t xml:space="preserve">41% of organisations reported </w:t>
      </w:r>
      <w:r w:rsidR="00811DB7">
        <w:t>increasing salaries and benefits as lever to attract candidates to roles that are difficult to recruit into (</w:t>
      </w:r>
      <w:r w:rsidR="00996068">
        <w:t xml:space="preserve">Hogarth and McCartney, 2024). </w:t>
      </w:r>
      <w:r w:rsidR="00BF51A9">
        <w:t>NRW’s current and ongoing budgetary commitments</w:t>
      </w:r>
      <w:r w:rsidR="00DA22C9">
        <w:t xml:space="preserve"> and flat line budget awards</w:t>
      </w:r>
      <w:r w:rsidR="00BF51A9">
        <w:t xml:space="preserve"> highlight that a similar approach </w:t>
      </w:r>
      <w:r w:rsidR="00914C67">
        <w:t>is not</w:t>
      </w:r>
      <w:r w:rsidR="00BF51A9">
        <w:t xml:space="preserve"> feasible</w:t>
      </w:r>
      <w:r w:rsidR="00F15AD2">
        <w:t xml:space="preserve"> (Henderson, 2025)</w:t>
      </w:r>
      <w:r w:rsidR="002E438E">
        <w:t>, however,</w:t>
      </w:r>
      <w:r w:rsidR="006B55DA">
        <w:t xml:space="preserve"> </w:t>
      </w:r>
      <w:r w:rsidR="00F56026">
        <w:t>exploring early career opportunities and entry-level career programmes provides the opportunity to attract and grow the skills needed (Hogarth and McCartney, 2024).</w:t>
      </w:r>
      <w:r w:rsidR="00F15AD2">
        <w:t xml:space="preserve"> </w:t>
      </w:r>
    </w:p>
    <w:p w14:paraId="114F642C" w14:textId="77777777" w:rsidR="003A697B" w:rsidRDefault="00C45DC6" w:rsidP="005846CC">
      <w:pPr>
        <w:ind w:firstLine="720"/>
        <w:jc w:val="both"/>
      </w:pPr>
      <w:r>
        <w:t xml:space="preserve">The economic uncertainty in the UK </w:t>
      </w:r>
      <w:r w:rsidR="00652F2D">
        <w:t xml:space="preserve">is impacting candidate </w:t>
      </w:r>
      <w:r w:rsidR="00355B90">
        <w:t>behaviour (Islam, 2025)</w:t>
      </w:r>
      <w:r w:rsidR="00652F2D">
        <w:t xml:space="preserve">. Hogarth and </w:t>
      </w:r>
      <w:r w:rsidR="00677F7E">
        <w:t>McCartney (2024)</w:t>
      </w:r>
      <w:r w:rsidR="003106D1">
        <w:t xml:space="preserve"> outline that candidates are placing a greater emphasis on job security and progression</w:t>
      </w:r>
      <w:r w:rsidR="00355B90">
        <w:t xml:space="preserve">. </w:t>
      </w:r>
      <w:r w:rsidR="00AF10D2">
        <w:t xml:space="preserve">While the organisation needs to monitor </w:t>
      </w:r>
      <w:r w:rsidR="001118EE">
        <w:t xml:space="preserve">the retention of the right skills, </w:t>
      </w:r>
      <w:r w:rsidR="00AD1AFA">
        <w:t>it</w:t>
      </w:r>
      <w:r w:rsidR="00C93607">
        <w:t xml:space="preserve"> is</w:t>
      </w:r>
      <w:r w:rsidR="006C7727">
        <w:t xml:space="preserve"> critical that NRW seizes the opportunity </w:t>
      </w:r>
      <w:r w:rsidR="00B473BC">
        <w:t>to keep existing employee engaged and motivated</w:t>
      </w:r>
      <w:r w:rsidR="00C93607">
        <w:t xml:space="preserve"> (Cromwell, 2017). </w:t>
      </w:r>
    </w:p>
    <w:p w14:paraId="20F8C62F" w14:textId="2CD517FE" w:rsidR="003A697B" w:rsidRDefault="003A697B" w:rsidP="003A697B">
      <w:pPr>
        <w:jc w:val="both"/>
      </w:pPr>
      <w:r w:rsidRPr="003A697B">
        <w:rPr>
          <w:b/>
          <w:bCs/>
        </w:rPr>
        <w:t>Technological developments  </w:t>
      </w:r>
    </w:p>
    <w:p w14:paraId="114F2FA4" w14:textId="2DC2B078" w:rsidR="00CF4041" w:rsidRDefault="0074383A" w:rsidP="003A697B">
      <w:pPr>
        <w:jc w:val="both"/>
      </w:pPr>
      <w:r>
        <w:t xml:space="preserve">Technology and the adoption of AI have become central to recruitment practices (Rathore, 2023). </w:t>
      </w:r>
      <w:r w:rsidR="008C558A">
        <w:t>According to Taylor (</w:t>
      </w:r>
      <w:r w:rsidR="000C4476">
        <w:t xml:space="preserve">2025, </w:t>
      </w:r>
      <w:r w:rsidR="007771C2">
        <w:t xml:space="preserve">p.25), </w:t>
      </w:r>
      <w:r w:rsidR="00841D3F">
        <w:t xml:space="preserve">the adoption of new </w:t>
      </w:r>
      <w:r w:rsidR="002F44AC">
        <w:t>technologies</w:t>
      </w:r>
      <w:r w:rsidR="00841D3F">
        <w:t xml:space="preserve"> ‘can make workers and workplaces more productive and efficient.’ </w:t>
      </w:r>
      <w:r>
        <w:t>78% of organisations have increased their use of technology with 66% pivoting to AI to improve process efficiencies (Hogarth and McCartney, 2024). While NRW has introduced an applicant tracking system</w:t>
      </w:r>
      <w:r w:rsidR="001614CF">
        <w:t xml:space="preserve"> (ATS)</w:t>
      </w:r>
      <w:r>
        <w:t xml:space="preserve">, it has yet to embrace the </w:t>
      </w:r>
      <w:r w:rsidR="00F56388">
        <w:t>AI adoption when compared to private sector benchmarking on digital maturity</w:t>
      </w:r>
      <w:r w:rsidR="00EF1B57">
        <w:t xml:space="preserve"> (Jie, </w:t>
      </w:r>
      <w:proofErr w:type="spellStart"/>
      <w:r w:rsidR="00EF1B57">
        <w:t>Gooi</w:t>
      </w:r>
      <w:proofErr w:type="spellEnd"/>
      <w:r w:rsidR="00EF1B57">
        <w:t xml:space="preserve"> and Lou, 2025</w:t>
      </w:r>
      <w:r w:rsidR="009D1334">
        <w:t>)</w:t>
      </w:r>
      <w:r w:rsidR="00F56388">
        <w:t xml:space="preserve">. </w:t>
      </w:r>
      <w:proofErr w:type="spellStart"/>
      <w:r w:rsidR="00F06072">
        <w:t>Elingrud</w:t>
      </w:r>
      <w:proofErr w:type="spellEnd"/>
      <w:r w:rsidR="00F06072">
        <w:t xml:space="preserve"> </w:t>
      </w:r>
      <w:r w:rsidR="00F06072">
        <w:rPr>
          <w:i/>
          <w:iCs/>
        </w:rPr>
        <w:t>et al</w:t>
      </w:r>
      <w:r w:rsidR="0075789B">
        <w:rPr>
          <w:i/>
          <w:iCs/>
        </w:rPr>
        <w:t>.,</w:t>
      </w:r>
      <w:r w:rsidR="00F06072">
        <w:rPr>
          <w:i/>
          <w:iCs/>
        </w:rPr>
        <w:t xml:space="preserve"> </w:t>
      </w:r>
      <w:r w:rsidR="00F06072">
        <w:t xml:space="preserve">(2023), </w:t>
      </w:r>
      <w:r>
        <w:t xml:space="preserve">outlines the need for public sector organisations, </w:t>
      </w:r>
      <w:r w:rsidR="009D1334">
        <w:t>like</w:t>
      </w:r>
      <w:r>
        <w:t xml:space="preserve"> NRW to embrace digital transformati</w:t>
      </w:r>
      <w:r w:rsidR="00ED2058">
        <w:t xml:space="preserve">on to </w:t>
      </w:r>
      <w:r>
        <w:t>remain competitive as an employer.</w:t>
      </w:r>
      <w:r w:rsidR="00B4120C">
        <w:tab/>
      </w:r>
    </w:p>
    <w:p w14:paraId="340760CD" w14:textId="05786220" w:rsidR="0051595B" w:rsidRDefault="008A2990" w:rsidP="00AF6FE6">
      <w:pPr>
        <w:ind w:firstLine="720"/>
        <w:jc w:val="both"/>
      </w:pPr>
      <w:r>
        <w:t xml:space="preserve">While the use of automation in recruitment is growing across the private sector (Hogarth and McCartney, 2024), </w:t>
      </w:r>
      <w:r w:rsidR="0041599B">
        <w:t xml:space="preserve">there remains growing ethical concerns (Rigotti, 2024). </w:t>
      </w:r>
      <w:r w:rsidR="00407BDC">
        <w:t xml:space="preserve">The </w:t>
      </w:r>
      <w:r w:rsidR="00407BDC" w:rsidRPr="00826B25">
        <w:rPr>
          <w:i/>
          <w:iCs/>
        </w:rPr>
        <w:t>Civil Service Recruitment Principles</w:t>
      </w:r>
      <w:r w:rsidR="00407BDC">
        <w:t xml:space="preserve"> mandate fairness and merit-based appointments (Civil Service, 2018). </w:t>
      </w:r>
      <w:r w:rsidR="00E56EE2">
        <w:t>While the ATS has improved candidate experience, it does not include AI screening software due to concerns on transparency and potential bias (</w:t>
      </w:r>
      <w:proofErr w:type="spellStart"/>
      <w:r w:rsidR="00E56EE2">
        <w:t>Elingrud</w:t>
      </w:r>
      <w:proofErr w:type="spellEnd"/>
      <w:r w:rsidR="00E56EE2">
        <w:t xml:space="preserve"> </w:t>
      </w:r>
      <w:r w:rsidR="00E56EE2">
        <w:rPr>
          <w:i/>
          <w:iCs/>
        </w:rPr>
        <w:t xml:space="preserve">et al., </w:t>
      </w:r>
      <w:r w:rsidR="00E56EE2" w:rsidRPr="00517DA5">
        <w:t>2023</w:t>
      </w:r>
      <w:r w:rsidR="00E56EE2">
        <w:t>)</w:t>
      </w:r>
      <w:r w:rsidR="00517DA5">
        <w:t>. However, with application volumes exceeding 9,000 (NRW, 2025</w:t>
      </w:r>
      <w:r w:rsidR="00060C27">
        <w:t>c</w:t>
      </w:r>
      <w:r w:rsidR="00517DA5">
        <w:t>)</w:t>
      </w:r>
      <w:r w:rsidR="001C29F2">
        <w:t xml:space="preserve">, the pressure on </w:t>
      </w:r>
      <w:r w:rsidR="00060C27">
        <w:t>resourcing function</w:t>
      </w:r>
      <w:r w:rsidR="001C29F2">
        <w:t xml:space="preserve"> is increasing. Any use of automation will require clear governance and human oversight to ensure compliance with equality obligations and to maintain trust in the recruitment process (Bastida </w:t>
      </w:r>
      <w:r w:rsidR="001C29F2">
        <w:rPr>
          <w:i/>
          <w:iCs/>
        </w:rPr>
        <w:t xml:space="preserve">et al., </w:t>
      </w:r>
      <w:r w:rsidR="001C29F2">
        <w:t xml:space="preserve">2025). </w:t>
      </w:r>
      <w:r w:rsidR="0051595B">
        <w:br w:type="page"/>
      </w:r>
    </w:p>
    <w:p w14:paraId="0744F38A" w14:textId="16A901C4" w:rsidR="003246E6" w:rsidRDefault="006C5849" w:rsidP="00F6160A">
      <w:pPr>
        <w:pStyle w:val="Heading3"/>
        <w:spacing w:line="360" w:lineRule="auto"/>
        <w:jc w:val="both"/>
      </w:pPr>
      <w:bookmarkStart w:id="5" w:name="_Toc214975031"/>
      <w:r w:rsidRPr="00D63881">
        <w:lastRenderedPageBreak/>
        <w:t>2.1.2 Internal factors</w:t>
      </w:r>
      <w:bookmarkEnd w:id="5"/>
      <w:r w:rsidRPr="00D63881">
        <w:t xml:space="preserve"> </w:t>
      </w:r>
    </w:p>
    <w:p w14:paraId="312BC1D2" w14:textId="77777777" w:rsidR="0003113C" w:rsidRDefault="00D52D9A" w:rsidP="005846CC">
      <w:pPr>
        <w:jc w:val="both"/>
      </w:pPr>
      <w:r>
        <w:t xml:space="preserve">The key internal factors that are influencing talent management at NRW are organisational culture and values, workforce </w:t>
      </w:r>
      <w:r w:rsidR="00A40686">
        <w:t xml:space="preserve">and </w:t>
      </w:r>
      <w:r>
        <w:t>succession planning</w:t>
      </w:r>
      <w:r w:rsidR="00173952">
        <w:t xml:space="preserve"> and learning and development opportunities. </w:t>
      </w:r>
      <w:r w:rsidR="00E32D3E">
        <w:t xml:space="preserve">These connected factors underpin talent management capability and </w:t>
      </w:r>
      <w:r w:rsidR="00EA5C7F">
        <w:t xml:space="preserve">shape employee engagement, commitment and retention </w:t>
      </w:r>
      <w:r w:rsidR="00092D56">
        <w:t xml:space="preserve">(Young, 2024). </w:t>
      </w:r>
    </w:p>
    <w:p w14:paraId="0A630595" w14:textId="77777777" w:rsidR="0003113C" w:rsidRDefault="0003113C" w:rsidP="005846CC">
      <w:pPr>
        <w:jc w:val="both"/>
        <w:rPr>
          <w:b/>
          <w:bCs/>
        </w:rPr>
      </w:pPr>
      <w:r w:rsidRPr="0003113C">
        <w:rPr>
          <w:b/>
          <w:bCs/>
        </w:rPr>
        <w:t>Organisational culture  </w:t>
      </w:r>
    </w:p>
    <w:p w14:paraId="71D44B3B" w14:textId="0B77BD9B" w:rsidR="00563E70" w:rsidRDefault="00CF3783" w:rsidP="00563E70">
      <w:pPr>
        <w:jc w:val="both"/>
      </w:pPr>
      <w:r w:rsidRPr="00CF3783">
        <w:t>NRW’s culture is central to its identity and talent management strategy, offering a sense of purpose that attracts candidates</w:t>
      </w:r>
      <w:r w:rsidR="00B56D43">
        <w:t xml:space="preserve"> (Taylor, 2025). NRW’s environmental mission is a key differentiator against private sector organisations. </w:t>
      </w:r>
      <w:r w:rsidR="007522F5">
        <w:t>However,</w:t>
      </w:r>
      <w:r w:rsidR="007522F5" w:rsidRPr="00CF3783">
        <w:t xml:space="preserve"> </w:t>
      </w:r>
      <w:r w:rsidR="007522F5">
        <w:t xml:space="preserve">Laker (2024) asserts that </w:t>
      </w:r>
      <w:r w:rsidRPr="00CF3783">
        <w:t>organisational agility can be compromised if cultural practices are not regularly reviewed</w:t>
      </w:r>
      <w:r w:rsidR="007522F5">
        <w:t xml:space="preserve">. </w:t>
      </w:r>
      <w:r>
        <w:t>The employee survey revealed</w:t>
      </w:r>
      <w:r w:rsidRPr="00CF3783">
        <w:t xml:space="preserve"> concerns about empowerment and accountability (NRW, 2023), </w:t>
      </w:r>
      <w:r w:rsidR="007522F5">
        <w:t xml:space="preserve">suggesting that managers may not always succeed in embedding these values effectively. </w:t>
      </w:r>
      <w:r w:rsidRPr="00CF3783">
        <w:t xml:space="preserve">While NRW relies on managers to translate its values into lived experience (Gifford and </w:t>
      </w:r>
      <w:proofErr w:type="spellStart"/>
      <w:r w:rsidRPr="00CF3783">
        <w:t>Wietrak</w:t>
      </w:r>
      <w:proofErr w:type="spellEnd"/>
      <w:r w:rsidRPr="00CF3783">
        <w:t>, 2022), the absence of a formal coaching culture limits their ability to lead inclusively and foster engagement</w:t>
      </w:r>
      <w:r w:rsidR="001314D3">
        <w:t xml:space="preserve"> (Armstrong, 2017)</w:t>
      </w:r>
      <w:r w:rsidRPr="00CF3783">
        <w:t>.</w:t>
      </w:r>
      <w:r w:rsidR="00B010E6">
        <w:t xml:space="preserve"> </w:t>
      </w:r>
    </w:p>
    <w:p w14:paraId="66546629" w14:textId="64E33F24" w:rsidR="00537EA6" w:rsidRDefault="00B010E6" w:rsidP="00563E70">
      <w:pPr>
        <w:ind w:firstLine="720"/>
        <w:jc w:val="both"/>
      </w:pPr>
      <w:r>
        <w:t xml:space="preserve">Establishing coaching as part of a broader leadership development programme will support strengthening inclusive </w:t>
      </w:r>
      <w:r w:rsidR="00713EC8">
        <w:t>leadership, reinforce a culture of trust and adaptability</w:t>
      </w:r>
      <w:r w:rsidR="006B0538">
        <w:t xml:space="preserve">, </w:t>
      </w:r>
      <w:r w:rsidR="00713EC8">
        <w:t xml:space="preserve">while also </w:t>
      </w:r>
      <w:r>
        <w:t>ensuring consistent application of organisational values</w:t>
      </w:r>
      <w:r w:rsidR="00537EA6">
        <w:t xml:space="preserve"> </w:t>
      </w:r>
      <w:r w:rsidR="00713EC8" w:rsidRPr="00CF3783">
        <w:t>(Green and Young, 2019).</w:t>
      </w:r>
    </w:p>
    <w:p w14:paraId="1B764532" w14:textId="01D6090D" w:rsidR="00972A85" w:rsidRDefault="00972A85" w:rsidP="005846CC">
      <w:pPr>
        <w:jc w:val="both"/>
      </w:pPr>
      <w:r w:rsidRPr="00972A85">
        <w:rPr>
          <w:b/>
          <w:bCs/>
        </w:rPr>
        <w:t>Strategic and workforce planning </w:t>
      </w:r>
      <w:r w:rsidRPr="00972A85">
        <w:t> </w:t>
      </w:r>
    </w:p>
    <w:p w14:paraId="71A7C421" w14:textId="797946B3" w:rsidR="005733CB" w:rsidRDefault="00CD0BC2" w:rsidP="005846CC">
      <w:pPr>
        <w:jc w:val="both"/>
      </w:pPr>
      <w:r>
        <w:t xml:space="preserve">Workforce planning and strategic workforce planning </w:t>
      </w:r>
      <w:r w:rsidR="008372F5">
        <w:t xml:space="preserve">support organisations to gain a sustained advantage in competitive labour markets (CIPD, 2025). </w:t>
      </w:r>
      <w:r w:rsidR="00986547">
        <w:t xml:space="preserve">Hogarth and McCartney (2024) </w:t>
      </w:r>
      <w:r w:rsidR="00BC02B4">
        <w:t xml:space="preserve">highlight that 70% of employers identify workforce planning as a critical tool to address skill shortages and demographic changes. </w:t>
      </w:r>
      <w:r w:rsidR="00C73915">
        <w:t xml:space="preserve">For NRW, </w:t>
      </w:r>
      <w:r w:rsidR="00C65210">
        <w:t xml:space="preserve">the challenge exists </w:t>
      </w:r>
      <w:r w:rsidR="00FD7611">
        <w:t xml:space="preserve">in </w:t>
      </w:r>
      <w:r w:rsidR="00C65210">
        <w:t xml:space="preserve">balancing the current immediate resource pressures against the long-term capability needs of the organisation. </w:t>
      </w:r>
      <w:r w:rsidR="0000300E">
        <w:t>Current workforce data showcases an ageing workforce</w:t>
      </w:r>
      <w:r w:rsidR="009603CB">
        <w:t xml:space="preserve"> (</w:t>
      </w:r>
      <w:r w:rsidR="009603CB" w:rsidRPr="00AC22D3">
        <w:t>NRW, 2025</w:t>
      </w:r>
      <w:r w:rsidR="00EF2E1B" w:rsidRPr="00AC22D3">
        <w:t>a</w:t>
      </w:r>
      <w:r w:rsidR="009603CB" w:rsidRPr="00AC22D3">
        <w:t>).</w:t>
      </w:r>
      <w:r w:rsidR="009603CB">
        <w:t xml:space="preserve"> </w:t>
      </w:r>
      <w:r w:rsidR="008C50F7">
        <w:t xml:space="preserve">As a result of restrictive funding budgets which have resulted in recruitment freezes, the organisation’s succession planning </w:t>
      </w:r>
      <w:r w:rsidR="005733CB">
        <w:t>poses a risk to talent management (</w:t>
      </w:r>
      <w:r w:rsidR="00AD3AA8">
        <w:t>CIPD, 2017</w:t>
      </w:r>
      <w:r w:rsidR="005733CB">
        <w:t xml:space="preserve">). </w:t>
      </w:r>
    </w:p>
    <w:p w14:paraId="487370DA" w14:textId="46B3B8F9" w:rsidR="00D64DA6" w:rsidRDefault="005733CB" w:rsidP="005846CC">
      <w:pPr>
        <w:jc w:val="both"/>
      </w:pPr>
      <w:r>
        <w:tab/>
      </w:r>
      <w:r w:rsidR="0000300E">
        <w:t xml:space="preserve"> </w:t>
      </w:r>
      <w:r w:rsidR="00B50C93">
        <w:t xml:space="preserve"> </w:t>
      </w:r>
      <w:r w:rsidR="00FD5D75">
        <w:t>The CIPD define strategic workforce planning as a</w:t>
      </w:r>
      <w:r w:rsidR="00BF128B">
        <w:t xml:space="preserve"> tool to</w:t>
      </w:r>
      <w:r w:rsidR="00FD5D75">
        <w:t xml:space="preserve"> ‘</w:t>
      </w:r>
      <w:r w:rsidR="00BF128B">
        <w:t xml:space="preserve">tool to </w:t>
      </w:r>
      <w:r w:rsidR="00BA2689">
        <w:t>meet the challenges in complex and uncertain circumstances</w:t>
      </w:r>
      <w:r w:rsidR="00FD5D75">
        <w:t>’</w:t>
      </w:r>
      <w:r w:rsidR="00BF128B">
        <w:t xml:space="preserve"> (CIPD, 2025). </w:t>
      </w:r>
      <w:r w:rsidR="00BA2689">
        <w:t xml:space="preserve"> The lack of a strategic workforce plan at NRW presents </w:t>
      </w:r>
      <w:r w:rsidR="002C7046">
        <w:t xml:space="preserve">a significant talent management risk. </w:t>
      </w:r>
      <w:r w:rsidR="00C43C60">
        <w:t xml:space="preserve">Without a plan, the organisation </w:t>
      </w:r>
      <w:r w:rsidR="00EA0D4C">
        <w:t>cannot</w:t>
      </w:r>
      <w:r w:rsidR="00C43C60">
        <w:t xml:space="preserve"> identify the critical roles, </w:t>
      </w:r>
      <w:r w:rsidR="006D1F7C">
        <w:t>assess succession readiness and establish clear career pathways (</w:t>
      </w:r>
      <w:r w:rsidR="001659F1">
        <w:t>Jeremy</w:t>
      </w:r>
      <w:r w:rsidR="00893137">
        <w:t xml:space="preserve"> and Ali, 2021</w:t>
      </w:r>
      <w:r w:rsidR="006D1F7C">
        <w:t xml:space="preserve">). </w:t>
      </w:r>
      <w:r w:rsidR="00A27E72">
        <w:t xml:space="preserve">It is critical that the organisation </w:t>
      </w:r>
      <w:r w:rsidR="00477508">
        <w:t>switches from a reactive to a predictive model, by using data to anticipate turnover and designing learning interventions to address future gaps</w:t>
      </w:r>
      <w:r w:rsidR="00596D7E">
        <w:t xml:space="preserve"> (Polzer, 2022)</w:t>
      </w:r>
      <w:r w:rsidR="00477508">
        <w:t xml:space="preserve">. </w:t>
      </w:r>
      <w:r w:rsidR="00A31E6B">
        <w:t xml:space="preserve">This can be achieved through embedding succession </w:t>
      </w:r>
      <w:r w:rsidR="00351089">
        <w:t xml:space="preserve">discussions within the Sgwrs performance management framework, establishing entry level programmes </w:t>
      </w:r>
      <w:r w:rsidR="00E1193B">
        <w:t>to</w:t>
      </w:r>
      <w:r w:rsidR="000C479A">
        <w:t xml:space="preserve"> build resilience and reduce dependency on external recruitment (</w:t>
      </w:r>
      <w:r w:rsidR="00417D3B">
        <w:t xml:space="preserve">Secker, 2020). </w:t>
      </w:r>
    </w:p>
    <w:p w14:paraId="067752BB" w14:textId="77777777" w:rsidR="00972A85" w:rsidRDefault="00972A85" w:rsidP="005846CC">
      <w:pPr>
        <w:jc w:val="both"/>
      </w:pPr>
    </w:p>
    <w:p w14:paraId="0E4C1E55" w14:textId="77777777" w:rsidR="00972A85" w:rsidRDefault="00972A85" w:rsidP="005846CC">
      <w:pPr>
        <w:jc w:val="both"/>
        <w:rPr>
          <w:b/>
          <w:bCs/>
        </w:rPr>
      </w:pPr>
    </w:p>
    <w:p w14:paraId="1F05BAF4" w14:textId="2AC2CD56" w:rsidR="00972A85" w:rsidRDefault="00972A85" w:rsidP="005846CC">
      <w:pPr>
        <w:jc w:val="both"/>
        <w:rPr>
          <w:b/>
          <w:bCs/>
        </w:rPr>
      </w:pPr>
      <w:r w:rsidRPr="00972A85">
        <w:rPr>
          <w:b/>
          <w:bCs/>
        </w:rPr>
        <w:t>Learning and development opportunities  </w:t>
      </w:r>
    </w:p>
    <w:p w14:paraId="44A8E729" w14:textId="39E1E960" w:rsidR="00E1193B" w:rsidRDefault="001A3248" w:rsidP="005846CC">
      <w:pPr>
        <w:jc w:val="both"/>
      </w:pPr>
      <w:r>
        <w:t>Learning and development underpin the individual’s and organisation’s capability</w:t>
      </w:r>
      <w:r w:rsidR="00074D22">
        <w:t xml:space="preserve"> (World Economic Forum, 2025). </w:t>
      </w:r>
      <w:r w:rsidR="00B63702">
        <w:t xml:space="preserve">Hogarth and McCartney (2024) </w:t>
      </w:r>
      <w:r w:rsidR="00191988">
        <w:t xml:space="preserve">assert that the successful employers in retaining talent are those who prioritise learning and development as part of their employee value proposition. </w:t>
      </w:r>
      <w:r w:rsidR="00E92F72">
        <w:t xml:space="preserve">For NRW, investment in learning and development will </w:t>
      </w:r>
      <w:r w:rsidR="00A92AD1">
        <w:t xml:space="preserve">build expertise in environmental conservation, regulation and policy development. </w:t>
      </w:r>
    </w:p>
    <w:p w14:paraId="4CA8B45E" w14:textId="5E4C934F" w:rsidR="00D97455" w:rsidRDefault="00751334" w:rsidP="005846CC">
      <w:pPr>
        <w:jc w:val="both"/>
      </w:pPr>
      <w:r>
        <w:tab/>
      </w:r>
      <w:r w:rsidR="00356FB9">
        <w:t xml:space="preserve">Bough </w:t>
      </w:r>
      <w:r w:rsidR="00356FB9">
        <w:rPr>
          <w:i/>
          <w:iCs/>
        </w:rPr>
        <w:t>et al.</w:t>
      </w:r>
      <w:r w:rsidR="00FB2D16">
        <w:rPr>
          <w:i/>
          <w:iCs/>
        </w:rPr>
        <w:t>,</w:t>
      </w:r>
      <w:r w:rsidR="00356FB9">
        <w:rPr>
          <w:i/>
          <w:iCs/>
        </w:rPr>
        <w:t xml:space="preserve"> </w:t>
      </w:r>
      <w:r w:rsidR="00356FB9">
        <w:t xml:space="preserve">(2023) </w:t>
      </w:r>
      <w:r w:rsidR="00907094">
        <w:t xml:space="preserve">believe that organisations that </w:t>
      </w:r>
      <w:r w:rsidR="00D97455">
        <w:t>prioritise</w:t>
      </w:r>
      <w:r w:rsidR="00907094">
        <w:t xml:space="preserve"> learning and development </w:t>
      </w:r>
      <w:r w:rsidR="004B03BB">
        <w:t xml:space="preserve">benefit from strong retention and greater innovation from their workforce. </w:t>
      </w:r>
    </w:p>
    <w:p w14:paraId="2773D5E8" w14:textId="35E61231" w:rsidR="00D97455" w:rsidRDefault="00D97455" w:rsidP="00D97455">
      <w:pPr>
        <w:jc w:val="center"/>
      </w:pPr>
      <w:r>
        <w:rPr>
          <w:noProof/>
        </w:rPr>
        <w:drawing>
          <wp:inline distT="0" distB="0" distL="0" distR="0" wp14:anchorId="5AA0B16E" wp14:editId="3C21256B">
            <wp:extent cx="4495800" cy="1857375"/>
            <wp:effectExtent l="0" t="0" r="19050" b="9525"/>
            <wp:docPr id="23312420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ED2319">
        <w:br/>
      </w:r>
      <w:r w:rsidR="00686274">
        <w:t xml:space="preserve">(Barends, Rousseau and </w:t>
      </w:r>
      <w:proofErr w:type="spellStart"/>
      <w:r w:rsidR="00686274">
        <w:t>Wietrak</w:t>
      </w:r>
      <w:proofErr w:type="spellEnd"/>
      <w:r w:rsidR="00686274">
        <w:t>, 2022)</w:t>
      </w:r>
    </w:p>
    <w:p w14:paraId="4F80C696" w14:textId="7457DFA6" w:rsidR="00A92AD1" w:rsidRDefault="00265FE7" w:rsidP="00D53C97">
      <w:pPr>
        <w:ind w:firstLine="720"/>
      </w:pPr>
      <w:r>
        <w:t xml:space="preserve">While the AMO framework </w:t>
      </w:r>
      <w:r w:rsidR="00FD53D4">
        <w:t xml:space="preserve">enables career mobility, </w:t>
      </w:r>
      <w:r w:rsidR="00A9069F">
        <w:t xml:space="preserve">Rousseau’s </w:t>
      </w:r>
      <w:r w:rsidR="004762E9">
        <w:t>psychological contract theory</w:t>
      </w:r>
      <w:r w:rsidR="00096C5D">
        <w:t xml:space="preserve"> </w:t>
      </w:r>
      <w:r w:rsidR="004762E9">
        <w:t xml:space="preserve">(1989) </w:t>
      </w:r>
      <w:r w:rsidR="008129D5">
        <w:t>asserts that direct investment in learning and development strength</w:t>
      </w:r>
      <w:r w:rsidR="000B7E93">
        <w:t>ens the relationship between the employee and employer by building trust and enabling motivation</w:t>
      </w:r>
      <w:r w:rsidR="006D5177">
        <w:t xml:space="preserve"> (Bera, </w:t>
      </w:r>
      <w:r w:rsidR="000B4727">
        <w:t xml:space="preserve">2021). </w:t>
      </w:r>
    </w:p>
    <w:p w14:paraId="0C9F7876" w14:textId="0860A30B" w:rsidR="005961C6" w:rsidRDefault="005961C6" w:rsidP="00D97455">
      <w:r>
        <w:tab/>
        <w:t xml:space="preserve">NRW employees benefit from structured technical and mandatory learning, however, opportunities for </w:t>
      </w:r>
      <w:r w:rsidR="00EF2E1B">
        <w:t xml:space="preserve">further learning and development varies across roles, departments and budgets </w:t>
      </w:r>
      <w:r w:rsidR="00EF2E1B" w:rsidRPr="00AC22D3">
        <w:t>(NRW, 2025b).</w:t>
      </w:r>
      <w:r w:rsidR="00EF2E1B">
        <w:t xml:space="preserve"> </w:t>
      </w:r>
      <w:r w:rsidR="005B1115">
        <w:t xml:space="preserve">An investigation undertaken by </w:t>
      </w:r>
      <w:proofErr w:type="spellStart"/>
      <w:r w:rsidR="0058111F">
        <w:t>Mulgan</w:t>
      </w:r>
      <w:proofErr w:type="spellEnd"/>
      <w:r w:rsidR="0058111F">
        <w:t xml:space="preserve">, Latendresse-Drapeau and </w:t>
      </w:r>
      <w:proofErr w:type="spellStart"/>
      <w:r w:rsidR="0058111F">
        <w:t>Sedwill</w:t>
      </w:r>
      <w:proofErr w:type="spellEnd"/>
      <w:r w:rsidR="0058111F">
        <w:t xml:space="preserve"> </w:t>
      </w:r>
      <w:r w:rsidR="005B1115">
        <w:t xml:space="preserve">(2024) found that training within the public sector </w:t>
      </w:r>
      <w:r w:rsidR="000172E9">
        <w:t>focussed</w:t>
      </w:r>
      <w:r w:rsidR="005B1115">
        <w:t xml:space="preserve"> on compliance </w:t>
      </w:r>
      <w:r w:rsidR="000172E9">
        <w:t xml:space="preserve">and little emphasis on </w:t>
      </w:r>
      <w:r w:rsidR="00764420">
        <w:t>career progression learning</w:t>
      </w:r>
      <w:r w:rsidR="000172E9">
        <w:t>.</w:t>
      </w:r>
      <w:r w:rsidR="00764420">
        <w:t xml:space="preserve"> </w:t>
      </w:r>
      <w:r w:rsidR="00C31616">
        <w:t>For NRW, prioritising learning and development for both compliance and development purposes will support with retention and improved employee engagement</w:t>
      </w:r>
      <w:r w:rsidR="00BA0022">
        <w:t xml:space="preserve"> during a period of ongoing labour-market competition</w:t>
      </w:r>
      <w:r w:rsidR="00D70B5F">
        <w:t xml:space="preserve"> (Overton, 2023)</w:t>
      </w:r>
      <w:r w:rsidR="00C31616">
        <w:t xml:space="preserve">. </w:t>
      </w:r>
      <w:r w:rsidR="000172E9">
        <w:t xml:space="preserve"> </w:t>
      </w:r>
    </w:p>
    <w:p w14:paraId="551A77EF" w14:textId="79CBC152" w:rsidR="009D33B4" w:rsidRPr="004B03BB" w:rsidRDefault="009D33B4" w:rsidP="00D97455">
      <w:r>
        <w:tab/>
        <w:t xml:space="preserve">The internal factors </w:t>
      </w:r>
      <w:r w:rsidR="007634DF">
        <w:t xml:space="preserve">outline NRW’s strengths, weaknesses, opportunities and threats (SWOT). </w:t>
      </w:r>
      <w:r w:rsidR="0022231F">
        <w:t xml:space="preserve">Building on these findings enables NRW to </w:t>
      </w:r>
      <w:r w:rsidR="00C320EA">
        <w:t xml:space="preserve">respond more effectively </w:t>
      </w:r>
      <w:r w:rsidR="00A575C5">
        <w:t>to labour market conditions</w:t>
      </w:r>
      <w:r w:rsidR="008D1077">
        <w:t xml:space="preserve"> (</w:t>
      </w:r>
      <w:r w:rsidR="00087DA1">
        <w:t xml:space="preserve">King and Morrison, 2023). </w:t>
      </w:r>
    </w:p>
    <w:p w14:paraId="3F3A273B" w14:textId="187829D7" w:rsidR="00F105AB" w:rsidRDefault="006C5849" w:rsidP="00057930">
      <w:pPr>
        <w:pStyle w:val="Heading2"/>
        <w:spacing w:line="360" w:lineRule="auto"/>
        <w:jc w:val="both"/>
      </w:pPr>
      <w:bookmarkStart w:id="6" w:name="_Toc214975032"/>
      <w:r>
        <w:t>2.2 Critical Analysis of NRW’s current approach to talent management</w:t>
      </w:r>
      <w:bookmarkEnd w:id="6"/>
      <w:r>
        <w:t xml:space="preserve"> </w:t>
      </w:r>
    </w:p>
    <w:p w14:paraId="3DF7694D" w14:textId="4DEDEF5C" w:rsidR="006C5849" w:rsidRDefault="00F105AB" w:rsidP="00057930">
      <w:r>
        <w:t>Building on the evaluation of internal and external factors</w:t>
      </w:r>
      <w:r w:rsidR="00A21469">
        <w:t xml:space="preserve"> impacting NRW’s approach to talent management, this section critically evaluates</w:t>
      </w:r>
      <w:r w:rsidR="00C8510F">
        <w:t xml:space="preserve"> three key findings from the 2024</w:t>
      </w:r>
      <w:r w:rsidR="00A21469">
        <w:t xml:space="preserve"> resourcing and talent report. </w:t>
      </w:r>
      <w:r w:rsidR="00C8510F">
        <w:t xml:space="preserve"> </w:t>
      </w:r>
    </w:p>
    <w:p w14:paraId="367B0AE6" w14:textId="25281C61" w:rsidR="006C5849" w:rsidRDefault="006C5849" w:rsidP="00403C28">
      <w:pPr>
        <w:pStyle w:val="Heading3"/>
        <w:spacing w:line="360" w:lineRule="auto"/>
        <w:jc w:val="both"/>
      </w:pPr>
      <w:bookmarkStart w:id="7" w:name="_Toc214975033"/>
      <w:r>
        <w:lastRenderedPageBreak/>
        <w:t>2.2.1 Competition for talent remains high</w:t>
      </w:r>
      <w:bookmarkEnd w:id="7"/>
      <w:r>
        <w:t xml:space="preserve"> </w:t>
      </w:r>
    </w:p>
    <w:p w14:paraId="5F778AFB" w14:textId="1C0D8682" w:rsidR="00812924" w:rsidRDefault="00812924" w:rsidP="005846CC">
      <w:pPr>
        <w:jc w:val="both"/>
      </w:pPr>
      <w:r>
        <w:t xml:space="preserve">Despite the economic conditions in the UK, NRW </w:t>
      </w:r>
      <w:r w:rsidR="00A262D3">
        <w:t xml:space="preserve">continues to operate in a tight labour market </w:t>
      </w:r>
      <w:r w:rsidR="00922AB7">
        <w:t>for roles across digital and technology, regulation and engineering (</w:t>
      </w:r>
      <w:r w:rsidR="00063DD8">
        <w:t>Cockett, 2025</w:t>
      </w:r>
      <w:r w:rsidR="00922AB7">
        <w:t xml:space="preserve">). </w:t>
      </w:r>
      <w:r w:rsidR="00BF2D11">
        <w:t xml:space="preserve">69% of organisations are experiencing difficulties recruiting </w:t>
      </w:r>
      <w:r w:rsidR="00B07EB9">
        <w:t>well-qualified candidates (Hogarth and McCartney, 2024)</w:t>
      </w:r>
      <w:r w:rsidR="00764C14">
        <w:t xml:space="preserve">, alongside the 2024 resourcing and talent report, data from the ONS </w:t>
      </w:r>
      <w:r w:rsidR="0084067B">
        <w:t>indicate</w:t>
      </w:r>
      <w:r w:rsidR="00764C14">
        <w:t xml:space="preserve"> that national vacancy levels remain above</w:t>
      </w:r>
      <w:r w:rsidR="0010132D">
        <w:t xml:space="preserve"> pre-pandemic levels </w:t>
      </w:r>
      <w:r w:rsidR="00082A5B">
        <w:t>(ONS, 2025)</w:t>
      </w:r>
      <w:r w:rsidR="00F0181D">
        <w:t xml:space="preserve">. </w:t>
      </w:r>
      <w:r w:rsidR="0079490F">
        <w:t>While the economic climate of the UK remains uncertain</w:t>
      </w:r>
      <w:r w:rsidR="00C12430">
        <w:t xml:space="preserve"> (Islam, 2025)</w:t>
      </w:r>
      <w:r w:rsidR="0079490F">
        <w:t xml:space="preserve">, </w:t>
      </w:r>
      <w:r w:rsidR="000C467C">
        <w:t>public-sector</w:t>
      </w:r>
      <w:r w:rsidR="0079490F">
        <w:t xml:space="preserve"> organisations continue to face resourcing shortages and difficulties </w:t>
      </w:r>
      <w:r w:rsidR="004C227A">
        <w:t>attracting senior and specialist roles</w:t>
      </w:r>
      <w:r w:rsidR="00BA5783">
        <w:t xml:space="preserve"> (Taylor, 2025, p</w:t>
      </w:r>
      <w:r w:rsidR="002C1027">
        <w:t xml:space="preserve">28). </w:t>
      </w:r>
    </w:p>
    <w:p w14:paraId="6705008B" w14:textId="5873BFE1" w:rsidR="002C1027" w:rsidRDefault="002C1027" w:rsidP="005846CC">
      <w:pPr>
        <w:jc w:val="both"/>
      </w:pPr>
      <w:r>
        <w:tab/>
      </w:r>
      <w:r w:rsidR="00ED05BB">
        <w:t>Hogarth and McCartney (2024) found that</w:t>
      </w:r>
      <w:r w:rsidR="00E21E1D">
        <w:t xml:space="preserve"> </w:t>
      </w:r>
      <w:r w:rsidR="002B0508">
        <w:t>there is a considerable variation between organisations adopting a short-term or lon</w:t>
      </w:r>
      <w:r w:rsidR="004E7EEF">
        <w:t>g-</w:t>
      </w:r>
      <w:r w:rsidR="002B0508">
        <w:t xml:space="preserve">term approach to </w:t>
      </w:r>
      <w:r w:rsidR="004E7EEF">
        <w:t>workforce planning</w:t>
      </w:r>
      <w:r w:rsidR="00ED05BB">
        <w:t xml:space="preserve">. </w:t>
      </w:r>
      <w:r w:rsidR="004E7EEF">
        <w:t xml:space="preserve"> </w:t>
      </w:r>
      <w:r w:rsidR="00ED05BB">
        <w:t>M</w:t>
      </w:r>
      <w:r w:rsidR="00757265">
        <w:t xml:space="preserve">ansaray </w:t>
      </w:r>
      <w:r w:rsidR="005730B4">
        <w:t>(</w:t>
      </w:r>
      <w:r w:rsidR="00757265">
        <w:t>2019</w:t>
      </w:r>
      <w:r w:rsidR="005730B4">
        <w:t xml:space="preserve">) asserts that </w:t>
      </w:r>
      <w:r w:rsidR="00106309">
        <w:t>human resource</w:t>
      </w:r>
      <w:r w:rsidR="007B56DE">
        <w:t xml:space="preserve"> planning is</w:t>
      </w:r>
      <w:r w:rsidR="00116BFE">
        <w:t xml:space="preserve"> often incorrect</w:t>
      </w:r>
      <w:r w:rsidR="00E470FB">
        <w:t xml:space="preserve"> which is detrimental to</w:t>
      </w:r>
      <w:r w:rsidR="00374C79">
        <w:t xml:space="preserve"> organisations</w:t>
      </w:r>
      <w:r w:rsidR="00E470FB">
        <w:t xml:space="preserve"> </w:t>
      </w:r>
      <w:r w:rsidR="00705FA3">
        <w:t xml:space="preserve">being competitive. </w:t>
      </w:r>
      <w:r w:rsidR="009E3099">
        <w:t xml:space="preserve">However, whilst acknowledging that the external environment is </w:t>
      </w:r>
      <w:r w:rsidR="00203997">
        <w:t>volatile and unpredictable</w:t>
      </w:r>
      <w:r w:rsidR="00F35590">
        <w:t xml:space="preserve"> (</w:t>
      </w:r>
      <w:r w:rsidR="00D10E77" w:rsidRPr="0038134F">
        <w:rPr>
          <w:rFonts w:cs="Arial"/>
          <w:szCs w:val="24"/>
        </w:rPr>
        <w:t>Perera</w:t>
      </w:r>
      <w:r w:rsidR="00211A1E">
        <w:t>, 2017</w:t>
      </w:r>
      <w:r w:rsidR="00F35590">
        <w:t>)</w:t>
      </w:r>
      <w:r w:rsidR="00203997">
        <w:t>,</w:t>
      </w:r>
      <w:r w:rsidR="00616733">
        <w:t xml:space="preserve"> it</w:t>
      </w:r>
      <w:r w:rsidR="006122E4">
        <w:t xml:space="preserve"> is</w:t>
      </w:r>
      <w:r w:rsidR="00616733">
        <w:t xml:space="preserve"> critical that organisations </w:t>
      </w:r>
      <w:r w:rsidR="000353D0">
        <w:t>consider workforce scalability</w:t>
      </w:r>
      <w:r w:rsidR="006F4733">
        <w:t xml:space="preserve"> to remain competitive</w:t>
      </w:r>
      <w:r w:rsidR="000054D8">
        <w:t xml:space="preserve"> (Dyer and Ericksen, 2007). </w:t>
      </w:r>
      <w:r w:rsidR="00F35590">
        <w:t>At NRW</w:t>
      </w:r>
      <w:r w:rsidR="00D839CF">
        <w:t xml:space="preserve">, </w:t>
      </w:r>
      <w:r w:rsidR="00AA2E56">
        <w:t>40% of leadership and specialist roles are occupied by postholders approaching retirement age within the next 5 years (NRW, 2025</w:t>
      </w:r>
      <w:r w:rsidR="000A29E1">
        <w:t>a</w:t>
      </w:r>
      <w:r w:rsidR="00AA2E56">
        <w:t>).</w:t>
      </w:r>
      <w:r w:rsidR="00306B1C">
        <w:t xml:space="preserve"> </w:t>
      </w:r>
      <w:r w:rsidR="00DB1E3F" w:rsidRPr="00DC1B0C">
        <w:t xml:space="preserve">Despite </w:t>
      </w:r>
      <w:r w:rsidR="00112045" w:rsidRPr="00DC1B0C">
        <w:t xml:space="preserve">the criticism, a data-led approach to workforce planning </w:t>
      </w:r>
      <w:r w:rsidR="003F0828" w:rsidRPr="00DC1B0C">
        <w:t>will support the organisation’s talent pipeline, mitigate risks of skills and knowledge shortages</w:t>
      </w:r>
      <w:r w:rsidR="00927D54" w:rsidRPr="00DC1B0C">
        <w:t xml:space="preserve"> and will ensure operational costs are kept low (Mayo, 2025).</w:t>
      </w:r>
      <w:r w:rsidR="00927D54">
        <w:t xml:space="preserve"> </w:t>
      </w:r>
    </w:p>
    <w:p w14:paraId="6AFF3711" w14:textId="44A36FB1" w:rsidR="00B87782" w:rsidRDefault="004C398A" w:rsidP="00B87782">
      <w:pPr>
        <w:jc w:val="both"/>
      </w:pPr>
      <w:r>
        <w:tab/>
      </w:r>
      <w:r w:rsidR="00B87782" w:rsidRPr="00B87782">
        <w:t xml:space="preserve">While 81% of UK organisations have enhanced their employer brand (Hogarth and McCartney, 2024), 41% of new recruits still leave within 12 weeks, underlining the importance of candidate engagement (Brown, 2024). NRW prioritises engagement across the recruitment process as part of its </w:t>
      </w:r>
      <w:r w:rsidR="00D90497">
        <w:t>employee value proposition</w:t>
      </w:r>
      <w:r w:rsidR="00B87782" w:rsidRPr="00B87782">
        <w:t xml:space="preserve"> (Orlando, Winton and Alexander, 2023), and this appears successful given its attrition rate of 2% in 2025 (NRW, 2025c). This suggests strong retention practices; however, the organisation faces persistent attraction challenges. To remain competitive, NRW must leverage its environmental mission and improve brand messaging to appeal to scarce talent pools.</w:t>
      </w:r>
      <w:r w:rsidR="00A37D75">
        <w:tab/>
      </w:r>
    </w:p>
    <w:p w14:paraId="2319C9D3" w14:textId="4003C090" w:rsidR="00344D5A" w:rsidRDefault="00A37D75" w:rsidP="00B87782">
      <w:pPr>
        <w:ind w:firstLine="720"/>
        <w:jc w:val="both"/>
      </w:pPr>
      <w:r>
        <w:t>A</w:t>
      </w:r>
      <w:r w:rsidR="00BB191D">
        <w:t>s an organisation, the flexible hybrid working styles is a strength and opportunity</w:t>
      </w:r>
      <w:r w:rsidR="00595B84">
        <w:t xml:space="preserve"> (Gillmore, 2025)</w:t>
      </w:r>
      <w:r w:rsidR="00867315">
        <w:t>.</w:t>
      </w:r>
      <w:r w:rsidR="004324F8">
        <w:t xml:space="preserve"> </w:t>
      </w:r>
      <w:r w:rsidR="009E4994">
        <w:t>Unlike establishing specific office day requirements</w:t>
      </w:r>
      <w:r w:rsidR="00E51566">
        <w:t xml:space="preserve"> (Markson, 2025), </w:t>
      </w:r>
      <w:r w:rsidR="003D3FA2">
        <w:t>NRW has benefited by increasing the diversity of its workforce</w:t>
      </w:r>
      <w:r w:rsidR="004324F8">
        <w:t xml:space="preserve"> through flexible working arrangements allowing staff to work either from their homes or from their nearest NRW office base</w:t>
      </w:r>
      <w:r w:rsidR="003D3FA2">
        <w:t xml:space="preserve"> (NRW, 2024)</w:t>
      </w:r>
      <w:r w:rsidR="004413B3">
        <w:t xml:space="preserve">. </w:t>
      </w:r>
      <w:r w:rsidR="00E232B5">
        <w:t xml:space="preserve">However, while more employers continue to consider offering </w:t>
      </w:r>
      <w:r w:rsidR="0077297E">
        <w:t xml:space="preserve">greater flexible opportunities (Hogarth and McCartney, 2024), </w:t>
      </w:r>
      <w:r w:rsidR="008C4AD0">
        <w:t xml:space="preserve">it </w:t>
      </w:r>
      <w:r w:rsidR="00914C67">
        <w:t>is not</w:t>
      </w:r>
      <w:r w:rsidR="008C4AD0">
        <w:t xml:space="preserve"> sufficient to address resourcing issues </w:t>
      </w:r>
      <w:r w:rsidR="00F21BD0">
        <w:t xml:space="preserve">alone </w:t>
      </w:r>
      <w:r w:rsidR="008C4AD0">
        <w:t>without considering the pay and benefits package.</w:t>
      </w:r>
      <w:r w:rsidR="0042509D">
        <w:t xml:space="preserve"> </w:t>
      </w:r>
    </w:p>
    <w:p w14:paraId="79D01F8D" w14:textId="7C78AC88" w:rsidR="00D67685" w:rsidRDefault="00D67685" w:rsidP="005846CC">
      <w:pPr>
        <w:jc w:val="both"/>
      </w:pPr>
      <w:r>
        <w:tab/>
      </w:r>
      <w:r w:rsidR="00A34AD9">
        <w:t xml:space="preserve">As an organisation reliant on consistent funding awards from the Welsh Government, the talent management strategy is </w:t>
      </w:r>
      <w:r w:rsidR="00EA1AF9">
        <w:t>centred on boom or bust (</w:t>
      </w:r>
      <w:r w:rsidR="006B3050">
        <w:t xml:space="preserve">Ameen, 2023). </w:t>
      </w:r>
      <w:r w:rsidR="00EA1AF9">
        <w:t xml:space="preserve">The organisation’s EVPs are distinctive, however significantly under-leveraged. </w:t>
      </w:r>
      <w:r w:rsidR="00490FC1">
        <w:t>In the current financial year, the organisation has advertised 1,011 vacancies (NRW, 2025</w:t>
      </w:r>
      <w:r w:rsidR="00723E25">
        <w:t>c</w:t>
      </w:r>
      <w:r w:rsidR="00490FC1">
        <w:t>).</w:t>
      </w:r>
      <w:r w:rsidR="00D14FF8">
        <w:t xml:space="preserve"> While recruitment remains reactive, </w:t>
      </w:r>
      <w:r w:rsidR="001E444E">
        <w:t xml:space="preserve">the introduction of an ATS will </w:t>
      </w:r>
      <w:r w:rsidR="009A3925">
        <w:t xml:space="preserve">transform the service to become more proactive and data-driven in addressing the resourcing gaps. </w:t>
      </w:r>
    </w:p>
    <w:p w14:paraId="7ADE1A11" w14:textId="448767DB" w:rsidR="009B2D75" w:rsidRDefault="006C5849" w:rsidP="0003175C">
      <w:pPr>
        <w:pStyle w:val="Heading3"/>
        <w:spacing w:line="360" w:lineRule="auto"/>
        <w:jc w:val="both"/>
      </w:pPr>
      <w:bookmarkStart w:id="8" w:name="_Toc214975034"/>
      <w:r>
        <w:lastRenderedPageBreak/>
        <w:t>2.2.2 Greater focus on developing skills in-house</w:t>
      </w:r>
      <w:bookmarkEnd w:id="8"/>
      <w:r>
        <w:t xml:space="preserve"> </w:t>
      </w:r>
    </w:p>
    <w:p w14:paraId="46AF6771" w14:textId="16C4EEE5" w:rsidR="009B2D75" w:rsidRDefault="0027131B" w:rsidP="004B64BD">
      <w:pPr>
        <w:jc w:val="both"/>
      </w:pPr>
      <w:r>
        <w:t xml:space="preserve">Research conducted by Allen and Bryant (2012) found that </w:t>
      </w:r>
      <w:r w:rsidR="0009556C">
        <w:t xml:space="preserve">both training and development opportunities are </w:t>
      </w:r>
      <w:r w:rsidR="00CE2E50">
        <w:t>interlinked,</w:t>
      </w:r>
      <w:r w:rsidR="00506A77">
        <w:t xml:space="preserve"> and retention can only be attained when provided simultaneously (Taylor, 2025, p.352).</w:t>
      </w:r>
      <w:r w:rsidR="00124C72">
        <w:t xml:space="preserve"> In 2024, 5</w:t>
      </w:r>
      <w:r w:rsidR="002816DB">
        <w:t xml:space="preserve">2% of public sector organisations </w:t>
      </w:r>
      <w:r w:rsidR="0058776D">
        <w:t>reported difficulties retaining talent</w:t>
      </w:r>
      <w:r w:rsidR="00113E85">
        <w:t xml:space="preserve"> resulting in greater efforts to the existing workforce </w:t>
      </w:r>
      <w:r w:rsidR="00A677D0">
        <w:t xml:space="preserve">(Hogarth and McCartney, 2024). </w:t>
      </w:r>
    </w:p>
    <w:p w14:paraId="1C51FAB7" w14:textId="49D21EE4" w:rsidR="00313D23" w:rsidRDefault="00225832" w:rsidP="00225832">
      <w:pPr>
        <w:jc w:val="both"/>
      </w:pPr>
      <w:r>
        <w:tab/>
        <w:t xml:space="preserve">NRW’s investment in technical and compliance learning demonstrates commitment to capability building, however developmental opportunities remain uneven across the organisation (NRW, 2025c). Green </w:t>
      </w:r>
      <w:r>
        <w:rPr>
          <w:i/>
          <w:iCs/>
        </w:rPr>
        <w:t xml:space="preserve">et al., </w:t>
      </w:r>
      <w:r>
        <w:t xml:space="preserve">(2000) </w:t>
      </w:r>
      <w:r w:rsidR="00C2146C">
        <w:t>argued that training has minimal impact on retention, however this finding is dated and may not reflect current labour market dynamics. Allen and Bryant (2012) highlighted that retention is achieved when training and development are offered together as part of a strategic approach. For NRW, embedding career development to the learning strategy is essential to strengthen psychological contract and mitigate attrition risks (Armstrong and Brown, 2024</w:t>
      </w:r>
      <w:r w:rsidR="00911AC3">
        <w:t>, p.15</w:t>
      </w:r>
      <w:r w:rsidR="00C2146C">
        <w:t xml:space="preserve">). </w:t>
      </w:r>
      <w:r w:rsidR="00313D23">
        <w:t xml:space="preserve"> </w:t>
      </w:r>
    </w:p>
    <w:p w14:paraId="460C56F3" w14:textId="431A46B4" w:rsidR="006C5849" w:rsidRDefault="00313D23" w:rsidP="009E1A69">
      <w:pPr>
        <w:ind w:firstLine="720"/>
        <w:jc w:val="both"/>
      </w:pPr>
      <w:r>
        <w:t>As</w:t>
      </w:r>
      <w:r w:rsidR="00FC77BA">
        <w:t xml:space="preserve"> more </w:t>
      </w:r>
      <w:r w:rsidR="005E1F99">
        <w:t>organisations</w:t>
      </w:r>
      <w:r w:rsidR="0000117D">
        <w:t xml:space="preserve"> focus their efforts on </w:t>
      </w:r>
      <w:r w:rsidR="009E1A69">
        <w:t>retention</w:t>
      </w:r>
      <w:r w:rsidR="00F36D83">
        <w:t>,</w:t>
      </w:r>
      <w:r w:rsidR="00864C81">
        <w:t xml:space="preserve"> investment in learning and developmental opportunities </w:t>
      </w:r>
      <w:r w:rsidR="00AD292C">
        <w:t xml:space="preserve">aligned with workforce planning will strengthen the NRW’s commitment to career mobility </w:t>
      </w:r>
      <w:r w:rsidR="005E1F99">
        <w:t xml:space="preserve">strengthening </w:t>
      </w:r>
      <w:r w:rsidR="00D067C2">
        <w:t xml:space="preserve">the psychological contract </w:t>
      </w:r>
      <w:r w:rsidR="00AD292C">
        <w:t>(</w:t>
      </w:r>
      <w:r w:rsidR="005A5FEC">
        <w:t xml:space="preserve">Alstein </w:t>
      </w:r>
      <w:r w:rsidR="0075789B">
        <w:rPr>
          <w:i/>
          <w:iCs/>
        </w:rPr>
        <w:t>et al.,</w:t>
      </w:r>
      <w:r w:rsidR="005E1F99">
        <w:t xml:space="preserve">2025). </w:t>
      </w:r>
      <w:r w:rsidR="009E1A69">
        <w:t xml:space="preserve">NRW’s current recruitment policy requires internal candidates to remain in post for 12 months before applying for promotional opportunities. This restriction, if perceived as a barrier, may limit career mobility, reduce engagement and long-term retention. Reviewing this policy to cater for greater flexibility could strengthen internal development and support succession planning (Hogarth and McCartney, 2024). </w:t>
      </w:r>
    </w:p>
    <w:p w14:paraId="1226C048" w14:textId="2A0F55CB" w:rsidR="008B6EF8" w:rsidRDefault="006C5849" w:rsidP="0003175C">
      <w:pPr>
        <w:pStyle w:val="Heading3"/>
        <w:spacing w:line="360" w:lineRule="auto"/>
        <w:jc w:val="both"/>
      </w:pPr>
      <w:bookmarkStart w:id="9" w:name="_Toc214975035"/>
      <w:r>
        <w:t>2.2.3 Technology speeding up recruitment and improving experience</w:t>
      </w:r>
      <w:bookmarkEnd w:id="9"/>
      <w:r>
        <w:t xml:space="preserve"> </w:t>
      </w:r>
    </w:p>
    <w:p w14:paraId="3782F7CA" w14:textId="6DFB7E11" w:rsidR="00EE3A29" w:rsidRDefault="00D37B45" w:rsidP="008B6EF8">
      <w:r>
        <w:t xml:space="preserve">Technological advancements </w:t>
      </w:r>
      <w:r w:rsidR="00921B5C">
        <w:t>continue to reshape resourcing practices (Taylor, 2025, p.26)</w:t>
      </w:r>
      <w:r w:rsidR="00261A99">
        <w:t xml:space="preserve"> with 78% of organisations in 2024 investing in technology and adopting AI to improve efficiency</w:t>
      </w:r>
      <w:r w:rsidR="00921B5C">
        <w:t xml:space="preserve"> </w:t>
      </w:r>
      <w:r w:rsidR="00437346">
        <w:t>(Hogar</w:t>
      </w:r>
      <w:r w:rsidR="00DF3A86">
        <w:t xml:space="preserve">th and McCartney, 2024). At NRW the recent implementation of the </w:t>
      </w:r>
      <w:r w:rsidR="00603D18">
        <w:t xml:space="preserve">ATS </w:t>
      </w:r>
      <w:r w:rsidR="00DF3A86">
        <w:t xml:space="preserve">has transformed the recruitment process </w:t>
      </w:r>
      <w:r w:rsidR="00D32BA5">
        <w:t xml:space="preserve">and improved the </w:t>
      </w:r>
      <w:r w:rsidR="00603D18">
        <w:t xml:space="preserve">candidate experience. However, </w:t>
      </w:r>
      <w:r w:rsidR="006826ED">
        <w:t xml:space="preserve">unlike many private sector organisations, NRW has not yet introduced AI </w:t>
      </w:r>
      <w:r w:rsidR="0003763F">
        <w:t>screening tool</w:t>
      </w:r>
      <w:r w:rsidR="00983C1C">
        <w:t xml:space="preserve">s due to transparency and bias in algorithmic </w:t>
      </w:r>
      <w:r w:rsidR="00EE3A29">
        <w:t>decision-making</w:t>
      </w:r>
      <w:r w:rsidR="00983C1C">
        <w:t xml:space="preserve"> </w:t>
      </w:r>
      <w:r w:rsidR="00EE3A29">
        <w:t xml:space="preserve">concerns (Rigotti and </w:t>
      </w:r>
      <w:proofErr w:type="spellStart"/>
      <w:r w:rsidR="00EE3A29">
        <w:t>Fos</w:t>
      </w:r>
      <w:r w:rsidR="00C7614F">
        <w:t>c</w:t>
      </w:r>
      <w:r w:rsidR="00EE3A29">
        <w:t>h</w:t>
      </w:r>
      <w:proofErr w:type="spellEnd"/>
      <w:r w:rsidR="00EE3A29">
        <w:t xml:space="preserve">-Villaronga, 2024). </w:t>
      </w:r>
    </w:p>
    <w:p w14:paraId="6AD736A9" w14:textId="13D0DD5E" w:rsidR="0067254D" w:rsidRDefault="00EE3A29" w:rsidP="001604F6">
      <w:r>
        <w:tab/>
        <w:t xml:space="preserve">Despite the governance factors, NRW’s operational pressures </w:t>
      </w:r>
      <w:r w:rsidR="00E54144">
        <w:t>present a compelling case to explore AI solutions. In 2025, NRW has received over 9,000 (NRW, 2025c), resulting in capacity challenges for hiring managers</w:t>
      </w:r>
      <w:r w:rsidR="00EA3C11">
        <w:t xml:space="preserve">. </w:t>
      </w:r>
      <w:r w:rsidR="0067254D">
        <w:t xml:space="preserve">AI could generate efficiencies through raking applications against a set criterion, resulting in a reduced time to hire and enabling managers to focus more on candidate engagement (Ferrazzi, 2025).  </w:t>
      </w:r>
    </w:p>
    <w:p w14:paraId="45F3604D" w14:textId="3D418FEC" w:rsidR="0067254D" w:rsidRDefault="001604F6" w:rsidP="0067254D">
      <w:pPr>
        <w:ind w:firstLine="720"/>
      </w:pPr>
      <w:r>
        <w:t xml:space="preserve">A study conducted by </w:t>
      </w:r>
      <w:r w:rsidRPr="00885E35">
        <w:rPr>
          <w:i/>
          <w:iCs/>
        </w:rPr>
        <w:t>The Inclusion Initiative</w:t>
      </w:r>
      <w:r>
        <w:t xml:space="preserve"> found that AI </w:t>
      </w:r>
      <w:r w:rsidR="00D16F5F">
        <w:t>reduced the time to hire</w:t>
      </w:r>
      <w:r>
        <w:t xml:space="preserve"> and could recommend candidates with greater chances of being offered the role following an interview (Will </w:t>
      </w:r>
      <w:r>
        <w:rPr>
          <w:i/>
          <w:iCs/>
        </w:rPr>
        <w:t xml:space="preserve">et al., </w:t>
      </w:r>
      <w:r>
        <w:t xml:space="preserve">2023). While their findings appear promising, the small sample of empirical studies presents its limitations. </w:t>
      </w:r>
      <w:r w:rsidR="0067254D">
        <w:t xml:space="preserve">Wider research on algorithmic bias and fairness suggest that AI systems used in recruitment lack </w:t>
      </w:r>
      <w:r w:rsidR="0067254D">
        <w:lastRenderedPageBreak/>
        <w:t xml:space="preserve">transparency resulting in difficulties assessing whether decisions are fair or accountable (Rigotti and </w:t>
      </w:r>
      <w:proofErr w:type="spellStart"/>
      <w:r w:rsidR="0067254D">
        <w:t>Fosch</w:t>
      </w:r>
      <w:proofErr w:type="spellEnd"/>
      <w:r w:rsidR="0067254D">
        <w:t xml:space="preserve">-Villaronga, 2024). </w:t>
      </w:r>
      <w:r w:rsidR="00FC2DB2">
        <w:t xml:space="preserve">Any adoption of </w:t>
      </w:r>
      <w:r w:rsidR="00D66A74">
        <w:t xml:space="preserve">AI </w:t>
      </w:r>
      <w:r w:rsidR="00FC2DB2">
        <w:t xml:space="preserve">must be accompanied by robust governance and human oversight to ensure compliance </w:t>
      </w:r>
      <w:r w:rsidR="0067254D">
        <w:t xml:space="preserve">and maintain trust in the recruitment process (Davenport, 2010). </w:t>
      </w:r>
    </w:p>
    <w:p w14:paraId="020FA03D" w14:textId="77777777" w:rsidR="00483A2A" w:rsidRDefault="0067254D" w:rsidP="001604F6">
      <w:r>
        <w:tab/>
        <w:t>Furthermore, the impact of AI is not only relevant to employers but also for candidates.</w:t>
      </w:r>
      <w:r w:rsidR="004D5363">
        <w:t xml:space="preserve"> With AI platforms </w:t>
      </w:r>
      <w:r w:rsidR="00CC3A29">
        <w:t>widely accessible</w:t>
      </w:r>
      <w:r w:rsidR="004D5363">
        <w:t xml:space="preserve">, </w:t>
      </w:r>
      <w:r w:rsidR="00CC3A29">
        <w:t xml:space="preserve">candidates </w:t>
      </w:r>
      <w:r w:rsidR="004D5363">
        <w:t>are using generative AI to draft and create applications, potentially embellishing their experience</w:t>
      </w:r>
      <w:r w:rsidR="00E325BB">
        <w:t xml:space="preserve"> (Hogarth and McCartney, 2024)</w:t>
      </w:r>
      <w:r w:rsidR="004D5363">
        <w:t xml:space="preserve">. For NRW, </w:t>
      </w:r>
      <w:r w:rsidR="00E325BB">
        <w:t xml:space="preserve">this trend reinforces the importance of competency-based interviews and assessment methods that validate skills beyond written submissions. </w:t>
      </w:r>
    </w:p>
    <w:p w14:paraId="06375CB0" w14:textId="2C7E3DA5" w:rsidR="00E325BB" w:rsidRDefault="00930CB4" w:rsidP="00483A2A">
      <w:pPr>
        <w:ind w:firstLine="720"/>
      </w:pPr>
      <w:r>
        <w:t>While AI presents opportunities for process efficiencies,</w:t>
      </w:r>
      <w:r w:rsidR="00B16986">
        <w:t xml:space="preserve"> its use should remain assistive rather than autonomous</w:t>
      </w:r>
      <w:r w:rsidR="00032213">
        <w:t xml:space="preserve"> (Davenport, 2010). This is achievable </w:t>
      </w:r>
      <w:r w:rsidR="00BF61B6">
        <w:t xml:space="preserve">by combining technology with informed human judgement to ensure fairness and enhance the candidate experience (Soleimani </w:t>
      </w:r>
      <w:r w:rsidR="00BF61B6">
        <w:rPr>
          <w:i/>
          <w:iCs/>
        </w:rPr>
        <w:t>et al.,</w:t>
      </w:r>
      <w:r w:rsidR="00BF61B6">
        <w:t>2024).</w:t>
      </w:r>
    </w:p>
    <w:p w14:paraId="3BAD6712" w14:textId="0EC34422" w:rsidR="00B04DA5" w:rsidRDefault="00B04DA5" w:rsidP="005846CC">
      <w:pPr>
        <w:jc w:val="both"/>
        <w:rPr>
          <w:rFonts w:eastAsiaTheme="majorEastAsia" w:cstheme="majorBidi"/>
          <w:color w:val="009999"/>
          <w:sz w:val="28"/>
          <w:szCs w:val="36"/>
        </w:rPr>
      </w:pPr>
    </w:p>
    <w:p w14:paraId="4EAAB426" w14:textId="0E16BFE0" w:rsidR="00753146" w:rsidRDefault="00B04DA5" w:rsidP="005846CC">
      <w:pPr>
        <w:jc w:val="both"/>
      </w:pPr>
      <w:r>
        <w:br w:type="page"/>
      </w:r>
    </w:p>
    <w:p w14:paraId="51A4B90B" w14:textId="77777777" w:rsidR="00022D71" w:rsidRDefault="006C5849" w:rsidP="005846CC">
      <w:pPr>
        <w:pStyle w:val="Heading1"/>
        <w:jc w:val="both"/>
      </w:pPr>
      <w:bookmarkStart w:id="10" w:name="_Toc214975036"/>
      <w:r>
        <w:lastRenderedPageBreak/>
        <w:t xml:space="preserve">3.0 </w:t>
      </w:r>
      <w:r w:rsidR="005452E1">
        <w:t>Conclusion</w:t>
      </w:r>
      <w:bookmarkEnd w:id="10"/>
      <w:r w:rsidR="005452E1">
        <w:t xml:space="preserve"> </w:t>
      </w:r>
    </w:p>
    <w:p w14:paraId="7F781980" w14:textId="77777777" w:rsidR="00A76615" w:rsidRDefault="00A76615" w:rsidP="00A76615"/>
    <w:p w14:paraId="07112E66" w14:textId="5565FC9F" w:rsidR="00FA3A01" w:rsidRDefault="00180F35" w:rsidP="00180F35">
      <w:r>
        <w:t xml:space="preserve">Resourcing and talent management are critical to </w:t>
      </w:r>
      <w:r w:rsidR="00575129">
        <w:t>NRW’s</w:t>
      </w:r>
      <w:r>
        <w:t xml:space="preserve"> success and sustainability (Taylor, 2025, p.21). </w:t>
      </w:r>
      <w:r w:rsidR="00575129">
        <w:t xml:space="preserve">Political uncertainty, ongoing economic pressures and technological developments are </w:t>
      </w:r>
      <w:r w:rsidR="00EF343A">
        <w:t xml:space="preserve">key </w:t>
      </w:r>
      <w:r w:rsidR="00575129">
        <w:t>external factors impacting NRW’s ability to attract, recruit and retain talent (Hogarth and McCartney, 202</w:t>
      </w:r>
      <w:r w:rsidR="00DE1255">
        <w:t>4</w:t>
      </w:r>
      <w:r w:rsidR="00575129">
        <w:t xml:space="preserve">). </w:t>
      </w:r>
    </w:p>
    <w:p w14:paraId="7CB70468" w14:textId="3F50A0A2" w:rsidR="00575129" w:rsidRDefault="006441DB" w:rsidP="00FA3A01">
      <w:pPr>
        <w:ind w:firstLine="720"/>
      </w:pPr>
      <w:r>
        <w:t xml:space="preserve">The outcome of forthcoming Senedd Elections and subsequent budget decisions will have a direct impact on NRW’s workforce planning and resourcing priorities </w:t>
      </w:r>
      <w:r w:rsidR="002119D5">
        <w:t xml:space="preserve">(Deans, 2025). </w:t>
      </w:r>
      <w:r w:rsidR="00FA3A01">
        <w:t xml:space="preserve"> Technological advancements present opportunities to improve hiring </w:t>
      </w:r>
      <w:proofErr w:type="gramStart"/>
      <w:r w:rsidR="00FA3A01">
        <w:t>efficiency,</w:t>
      </w:r>
      <w:proofErr w:type="gramEnd"/>
      <w:r w:rsidR="00FA3A01">
        <w:t xml:space="preserve"> despite investing in an ATS, </w:t>
      </w:r>
      <w:r w:rsidR="00B75ECF">
        <w:t>AI adoption poses</w:t>
      </w:r>
      <w:r w:rsidR="00FA3A01">
        <w:t xml:space="preserve"> risks to existing governance and process fairness (</w:t>
      </w:r>
      <w:r w:rsidR="00986B1A">
        <w:t xml:space="preserve">Rigotti and </w:t>
      </w:r>
      <w:proofErr w:type="spellStart"/>
      <w:r w:rsidR="00986B1A">
        <w:t>Fos</w:t>
      </w:r>
      <w:r w:rsidR="00221204">
        <w:t>c</w:t>
      </w:r>
      <w:r w:rsidR="00986B1A">
        <w:t>h</w:t>
      </w:r>
      <w:proofErr w:type="spellEnd"/>
      <w:r w:rsidR="00986B1A">
        <w:t>-Villaronga, 2024</w:t>
      </w:r>
      <w:r w:rsidR="00FA3A01">
        <w:t>). However, operational pressures resulting from high-volume recruitment</w:t>
      </w:r>
      <w:r w:rsidR="005422D9">
        <w:t xml:space="preserve"> (NRW, 2025c)</w:t>
      </w:r>
      <w:r w:rsidR="00FA3A01">
        <w:t xml:space="preserve"> outline the need for assistive technology coupled with human-oversight (</w:t>
      </w:r>
      <w:r w:rsidR="00986B1A">
        <w:t>Davenport, 2010</w:t>
      </w:r>
      <w:r w:rsidR="00FA3A01">
        <w:t xml:space="preserve">). </w:t>
      </w:r>
    </w:p>
    <w:p w14:paraId="36187E6E" w14:textId="6358F5D8" w:rsidR="00FA3A01" w:rsidRDefault="00FA3A01" w:rsidP="00FA3A01">
      <w:pPr>
        <w:ind w:firstLine="720"/>
      </w:pPr>
      <w:r>
        <w:t>Internally, NRW demonstrates commitment to learning and development and early career opportunities</w:t>
      </w:r>
      <w:r w:rsidR="00B07E94">
        <w:t xml:space="preserve"> (Secker, 2020)</w:t>
      </w:r>
      <w:r>
        <w:t>, howbeit strategic integration is limited (</w:t>
      </w:r>
      <w:r w:rsidR="00B07E94">
        <w:t>Taylor, 2025, p.352</w:t>
      </w:r>
      <w:r>
        <w:t>)</w:t>
      </w:r>
      <w:r w:rsidR="00B07E94">
        <w:t xml:space="preserve">. </w:t>
      </w:r>
      <w:r w:rsidR="00227156">
        <w:t xml:space="preserve">Currently, workforce planning is reactive and access to development opportunities remains inconsistent resulting in poor engagement </w:t>
      </w:r>
      <w:r w:rsidR="009F6696">
        <w:t xml:space="preserve">impacting the psychological contract (Alstein </w:t>
      </w:r>
      <w:r w:rsidR="009F6696">
        <w:rPr>
          <w:i/>
          <w:iCs/>
        </w:rPr>
        <w:t xml:space="preserve">et al., </w:t>
      </w:r>
      <w:r w:rsidR="009F6696">
        <w:t>2025)</w:t>
      </w:r>
      <w:r w:rsidR="00227156">
        <w:t xml:space="preserve">. Addressing these risks </w:t>
      </w:r>
      <w:r w:rsidR="00B07E94">
        <w:t xml:space="preserve">is essential for the organisation to address succession risks and build future workforce capability (Jeremy and Ali, 2021). </w:t>
      </w:r>
    </w:p>
    <w:p w14:paraId="2E3847B4" w14:textId="4F286D25" w:rsidR="009F6696" w:rsidRDefault="002353AF" w:rsidP="00FA3A01">
      <w:pPr>
        <w:ind w:firstLine="720"/>
      </w:pPr>
      <w:r>
        <w:t xml:space="preserve">Decisive action is required to ensure NRW remains competitive in a volatile labour market </w:t>
      </w:r>
      <w:r w:rsidR="009F6696">
        <w:t>(Cockett, 2025)</w:t>
      </w:r>
      <w:r w:rsidR="00FB10B9">
        <w:t>.</w:t>
      </w:r>
      <w:r w:rsidR="00430E42">
        <w:t xml:space="preserve"> Political challenges, economic constraints and technology advancement require a cohesive talent management approach (Hogarth and McCartney, 2024). </w:t>
      </w:r>
      <w:r w:rsidR="006B6340">
        <w:t xml:space="preserve">Addressing workforce planning and development while exploring technology solutions </w:t>
      </w:r>
      <w:r w:rsidR="00263025">
        <w:t xml:space="preserve">responsibly is critical to organisational sustainability (Taylor, 2025, p.32). The recommendations outlined in this report will strengthen NRW’s talent pipeline, support operational continuity and help position itself as an employer of choice (Hogarth and McCartney, 2024). </w:t>
      </w:r>
    </w:p>
    <w:p w14:paraId="5A71F4EB" w14:textId="441F7063" w:rsidR="002119D5" w:rsidRDefault="00EF343A" w:rsidP="00180F35">
      <w:r>
        <w:tab/>
      </w:r>
    </w:p>
    <w:p w14:paraId="3A3324E1" w14:textId="77777777" w:rsidR="00575129" w:rsidRDefault="00575129" w:rsidP="00180F35"/>
    <w:p w14:paraId="71FF8C75" w14:textId="382303EA" w:rsidR="00A76615" w:rsidRPr="00A76615" w:rsidRDefault="00A76615" w:rsidP="00A76615">
      <w:pPr>
        <w:sectPr w:rsidR="00A76615" w:rsidRPr="00A76615">
          <w:footerReference w:type="default" r:id="rId14"/>
          <w:pgSz w:w="11906" w:h="16838"/>
          <w:pgMar w:top="1440" w:right="1440" w:bottom="1440" w:left="1440" w:header="708" w:footer="708" w:gutter="0"/>
          <w:cols w:space="708"/>
          <w:docGrid w:linePitch="360"/>
        </w:sectPr>
      </w:pPr>
    </w:p>
    <w:p w14:paraId="2D923FB5" w14:textId="1E5D75F6" w:rsidR="006C5849" w:rsidRDefault="006C5849" w:rsidP="005846CC">
      <w:pPr>
        <w:pStyle w:val="Heading1"/>
        <w:jc w:val="both"/>
      </w:pPr>
      <w:bookmarkStart w:id="11" w:name="_Toc214975037"/>
      <w:r>
        <w:lastRenderedPageBreak/>
        <w:t xml:space="preserve">4.0 </w:t>
      </w:r>
      <w:r w:rsidR="00022D71">
        <w:t>Recommendations</w:t>
      </w:r>
      <w:bookmarkEnd w:id="11"/>
      <w:r w:rsidR="00022D71">
        <w:t xml:space="preserve"> </w:t>
      </w:r>
    </w:p>
    <w:p w14:paraId="3C9795E0" w14:textId="76200101" w:rsidR="005452E1" w:rsidRDefault="005452E1" w:rsidP="005846CC">
      <w:pPr>
        <w:jc w:val="both"/>
        <w:rPr>
          <w:rFonts w:eastAsiaTheme="majorEastAsia" w:cstheme="majorBidi"/>
          <w:b/>
          <w:color w:val="009999"/>
          <w:sz w:val="28"/>
          <w:szCs w:val="36"/>
        </w:rPr>
      </w:pPr>
    </w:p>
    <w:p w14:paraId="29AB80D6" w14:textId="2A436E00" w:rsidR="006E719C" w:rsidRPr="007F3F6A" w:rsidRDefault="00400A15" w:rsidP="00400A15">
      <w:pPr>
        <w:pStyle w:val="ListParagraph"/>
        <w:numPr>
          <w:ilvl w:val="0"/>
          <w:numId w:val="14"/>
        </w:numPr>
        <w:rPr>
          <w:rFonts w:eastAsiaTheme="majorEastAsia"/>
          <w:b/>
          <w:bCs/>
        </w:rPr>
      </w:pPr>
      <w:r w:rsidRPr="007F3F6A">
        <w:rPr>
          <w:rFonts w:eastAsiaTheme="majorEastAsia"/>
          <w:b/>
          <w:bCs/>
        </w:rPr>
        <w:t>Strengthen internal development and retention</w:t>
      </w:r>
    </w:p>
    <w:p w14:paraId="66A5280E" w14:textId="3878A25F" w:rsidR="00517E71" w:rsidRDefault="0053324A" w:rsidP="00400A15">
      <w:pPr>
        <w:ind w:left="360"/>
        <w:rPr>
          <w:rFonts w:eastAsiaTheme="majorEastAsia"/>
        </w:rPr>
      </w:pPr>
      <w:r>
        <w:rPr>
          <w:rFonts w:eastAsiaTheme="majorEastAsia"/>
        </w:rPr>
        <w:t xml:space="preserve">To undertake a structured review of the recruitment policy and 12 </w:t>
      </w:r>
      <w:r w:rsidR="008A430F">
        <w:rPr>
          <w:rFonts w:eastAsiaTheme="majorEastAsia"/>
        </w:rPr>
        <w:t>months</w:t>
      </w:r>
      <w:r>
        <w:rPr>
          <w:rFonts w:eastAsiaTheme="majorEastAsia"/>
        </w:rPr>
        <w:t xml:space="preserve"> in post commitment to ensure that internal talent is considered fairly and consistently</w:t>
      </w:r>
      <w:r w:rsidR="00517E71">
        <w:rPr>
          <w:rFonts w:eastAsiaTheme="majorEastAsia"/>
        </w:rPr>
        <w:t xml:space="preserve"> by </w:t>
      </w:r>
      <w:r w:rsidR="00E35510">
        <w:rPr>
          <w:rFonts w:eastAsiaTheme="majorEastAsia"/>
        </w:rPr>
        <w:t xml:space="preserve">January </w:t>
      </w:r>
      <w:r w:rsidR="00517E71">
        <w:rPr>
          <w:rFonts w:eastAsiaTheme="majorEastAsia"/>
        </w:rPr>
        <w:t>2026</w:t>
      </w:r>
      <w:r>
        <w:rPr>
          <w:rFonts w:eastAsiaTheme="majorEastAsia"/>
        </w:rPr>
        <w:t xml:space="preserve">. </w:t>
      </w:r>
      <w:r w:rsidR="008E29FF">
        <w:rPr>
          <w:rFonts w:eastAsiaTheme="majorEastAsia"/>
        </w:rPr>
        <w:t>Current recruitment advertising spend in 2025 was £845,983</w:t>
      </w:r>
      <w:r w:rsidR="009D595D">
        <w:rPr>
          <w:rFonts w:eastAsiaTheme="majorEastAsia"/>
        </w:rPr>
        <w:t xml:space="preserve"> (NRW, 2025c)</w:t>
      </w:r>
      <w:r w:rsidR="008E29FF">
        <w:rPr>
          <w:rFonts w:eastAsiaTheme="majorEastAsia"/>
        </w:rPr>
        <w:t xml:space="preserve">. </w:t>
      </w:r>
      <w:r w:rsidR="00F9660A">
        <w:rPr>
          <w:rFonts w:eastAsiaTheme="majorEastAsia"/>
        </w:rPr>
        <w:t xml:space="preserve">With over 50% of appointments being made to internal candidates, this review could deliver a projected saving of </w:t>
      </w:r>
      <w:r w:rsidR="00893083">
        <w:rPr>
          <w:rFonts w:eastAsiaTheme="majorEastAsia"/>
        </w:rPr>
        <w:t>£169,055</w:t>
      </w:r>
      <w:r w:rsidR="00B8455C">
        <w:rPr>
          <w:rFonts w:eastAsiaTheme="majorEastAsia"/>
        </w:rPr>
        <w:t xml:space="preserve"> (NRW, 2025c)</w:t>
      </w:r>
      <w:r w:rsidR="00893083">
        <w:rPr>
          <w:rFonts w:eastAsiaTheme="majorEastAsia"/>
        </w:rPr>
        <w:t xml:space="preserve">. </w:t>
      </w:r>
    </w:p>
    <w:p w14:paraId="5BD70F15" w14:textId="013EF0B6" w:rsidR="00400A15" w:rsidRDefault="00080428" w:rsidP="00517E71">
      <w:pPr>
        <w:ind w:left="360" w:firstLine="360"/>
        <w:rPr>
          <w:rFonts w:eastAsiaTheme="majorEastAsia"/>
        </w:rPr>
      </w:pPr>
      <w:r>
        <w:rPr>
          <w:rFonts w:eastAsiaTheme="majorEastAsia"/>
        </w:rPr>
        <w:t xml:space="preserve">The review will analyse internal applicant data, shortlisting and interview pattern. Hogarth and McCartney (2024) outline </w:t>
      </w:r>
      <w:r w:rsidR="00D91284">
        <w:rPr>
          <w:rFonts w:eastAsiaTheme="majorEastAsia"/>
        </w:rPr>
        <w:t xml:space="preserve">risks concerning attrition, with many organisations losing new starters within the first 12 weeks. </w:t>
      </w:r>
      <w:r w:rsidR="00214F72">
        <w:rPr>
          <w:rFonts w:eastAsiaTheme="majorEastAsia"/>
        </w:rPr>
        <w:t xml:space="preserve">While </w:t>
      </w:r>
      <w:r w:rsidR="00EE4E59">
        <w:rPr>
          <w:rFonts w:eastAsiaTheme="majorEastAsia"/>
        </w:rPr>
        <w:t>enhancements</w:t>
      </w:r>
      <w:r w:rsidR="00214F72">
        <w:rPr>
          <w:rFonts w:eastAsiaTheme="majorEastAsia"/>
        </w:rPr>
        <w:t xml:space="preserve"> to the onboarding process is underway, the organisation </w:t>
      </w:r>
      <w:r w:rsidR="008A430F">
        <w:rPr>
          <w:rFonts w:eastAsiaTheme="majorEastAsia"/>
        </w:rPr>
        <w:t>cannot</w:t>
      </w:r>
      <w:r w:rsidR="00214F72">
        <w:rPr>
          <w:rFonts w:eastAsiaTheme="majorEastAsia"/>
        </w:rPr>
        <w:t xml:space="preserve"> risk losing internal talent</w:t>
      </w:r>
      <w:r w:rsidR="00DA51BE">
        <w:rPr>
          <w:rFonts w:eastAsiaTheme="majorEastAsia"/>
        </w:rPr>
        <w:t xml:space="preserve">. </w:t>
      </w:r>
    </w:p>
    <w:tbl>
      <w:tblPr>
        <w:tblStyle w:val="TableGrid"/>
        <w:tblW w:w="0" w:type="auto"/>
        <w:tblInd w:w="360" w:type="dxa"/>
        <w:tblLook w:val="04A0" w:firstRow="1" w:lastRow="0" w:firstColumn="1" w:lastColumn="0" w:noHBand="0" w:noVBand="1"/>
      </w:tblPr>
      <w:tblGrid>
        <w:gridCol w:w="5872"/>
        <w:gridCol w:w="2784"/>
      </w:tblGrid>
      <w:tr w:rsidR="004C029D" w14:paraId="7A9FD977" w14:textId="77777777" w:rsidTr="004C029D">
        <w:tc>
          <w:tcPr>
            <w:tcW w:w="5872" w:type="dxa"/>
          </w:tcPr>
          <w:p w14:paraId="51A2DF82" w14:textId="33C9C20D" w:rsidR="004C029D" w:rsidRDefault="00517E71" w:rsidP="00400A15">
            <w:pPr>
              <w:rPr>
                <w:rFonts w:eastAsiaTheme="majorEastAsia"/>
              </w:rPr>
            </w:pPr>
            <w:r>
              <w:rPr>
                <w:rFonts w:eastAsiaTheme="majorEastAsia"/>
              </w:rPr>
              <w:t xml:space="preserve">HR Advisor (1 month) </w:t>
            </w:r>
          </w:p>
        </w:tc>
        <w:tc>
          <w:tcPr>
            <w:tcW w:w="2784" w:type="dxa"/>
          </w:tcPr>
          <w:p w14:paraId="706555F7" w14:textId="6D6B55E0" w:rsidR="004C029D" w:rsidRDefault="00807E22" w:rsidP="00400A15">
            <w:pPr>
              <w:rPr>
                <w:rFonts w:eastAsiaTheme="majorEastAsia"/>
              </w:rPr>
            </w:pPr>
            <w:r>
              <w:rPr>
                <w:rFonts w:eastAsiaTheme="majorEastAsia"/>
              </w:rPr>
              <w:t>£1,800</w:t>
            </w:r>
          </w:p>
        </w:tc>
      </w:tr>
      <w:tr w:rsidR="00807E22" w14:paraId="66B6D1F5" w14:textId="77777777" w:rsidTr="004C029D">
        <w:tc>
          <w:tcPr>
            <w:tcW w:w="5872" w:type="dxa"/>
          </w:tcPr>
          <w:p w14:paraId="48981210" w14:textId="6F2A1FE7" w:rsidR="00807E22" w:rsidRDefault="00807E22" w:rsidP="00400A15">
            <w:pPr>
              <w:rPr>
                <w:rFonts w:eastAsiaTheme="majorEastAsia"/>
              </w:rPr>
            </w:pPr>
            <w:r>
              <w:rPr>
                <w:rFonts w:eastAsiaTheme="majorEastAsia"/>
              </w:rPr>
              <w:t xml:space="preserve">Equalities Lead (4 hours) </w:t>
            </w:r>
          </w:p>
        </w:tc>
        <w:tc>
          <w:tcPr>
            <w:tcW w:w="2784" w:type="dxa"/>
          </w:tcPr>
          <w:p w14:paraId="0CF9D040" w14:textId="459CD772" w:rsidR="00807E22" w:rsidRDefault="00807E22" w:rsidP="00400A15">
            <w:pPr>
              <w:rPr>
                <w:rFonts w:eastAsiaTheme="majorEastAsia"/>
              </w:rPr>
            </w:pPr>
            <w:r>
              <w:rPr>
                <w:rFonts w:eastAsiaTheme="majorEastAsia"/>
              </w:rPr>
              <w:t xml:space="preserve">£128 </w:t>
            </w:r>
          </w:p>
        </w:tc>
      </w:tr>
      <w:tr w:rsidR="00807E22" w14:paraId="04F829C6" w14:textId="77777777" w:rsidTr="004C029D">
        <w:tc>
          <w:tcPr>
            <w:tcW w:w="5872" w:type="dxa"/>
          </w:tcPr>
          <w:p w14:paraId="6A64D817" w14:textId="437E5D10" w:rsidR="00807E22" w:rsidRDefault="00807E22" w:rsidP="00400A15">
            <w:pPr>
              <w:rPr>
                <w:rFonts w:eastAsiaTheme="majorEastAsia"/>
              </w:rPr>
            </w:pPr>
            <w:r>
              <w:rPr>
                <w:rFonts w:eastAsiaTheme="majorEastAsia"/>
              </w:rPr>
              <w:t xml:space="preserve">Communications Support (5 hours) </w:t>
            </w:r>
          </w:p>
        </w:tc>
        <w:tc>
          <w:tcPr>
            <w:tcW w:w="2784" w:type="dxa"/>
          </w:tcPr>
          <w:p w14:paraId="39C2E5D7" w14:textId="316B2237" w:rsidR="00807E22" w:rsidRDefault="008E29FF" w:rsidP="00400A15">
            <w:pPr>
              <w:rPr>
                <w:rFonts w:eastAsiaTheme="majorEastAsia"/>
              </w:rPr>
            </w:pPr>
            <w:r>
              <w:rPr>
                <w:rFonts w:eastAsiaTheme="majorEastAsia"/>
              </w:rPr>
              <w:t xml:space="preserve">£60 </w:t>
            </w:r>
          </w:p>
        </w:tc>
      </w:tr>
      <w:tr w:rsidR="008E29FF" w:rsidRPr="007F3F6A" w14:paraId="109B8B0C" w14:textId="77777777" w:rsidTr="004C029D">
        <w:tc>
          <w:tcPr>
            <w:tcW w:w="5872" w:type="dxa"/>
          </w:tcPr>
          <w:p w14:paraId="04D7DFE7" w14:textId="3AA6A58A" w:rsidR="008E29FF" w:rsidRPr="007F3F6A" w:rsidRDefault="008E29FF" w:rsidP="00400A15">
            <w:pPr>
              <w:rPr>
                <w:rFonts w:eastAsiaTheme="majorEastAsia"/>
                <w:b/>
                <w:bCs/>
              </w:rPr>
            </w:pPr>
            <w:r w:rsidRPr="007F3F6A">
              <w:rPr>
                <w:rFonts w:eastAsiaTheme="majorEastAsia"/>
                <w:b/>
                <w:bCs/>
              </w:rPr>
              <w:t xml:space="preserve">Total </w:t>
            </w:r>
          </w:p>
        </w:tc>
        <w:tc>
          <w:tcPr>
            <w:tcW w:w="2784" w:type="dxa"/>
          </w:tcPr>
          <w:p w14:paraId="68B55C1C" w14:textId="02E12C86" w:rsidR="008E29FF" w:rsidRPr="007F3F6A" w:rsidRDefault="00A81994" w:rsidP="00400A15">
            <w:pPr>
              <w:rPr>
                <w:rFonts w:eastAsiaTheme="majorEastAsia"/>
                <w:b/>
                <w:bCs/>
              </w:rPr>
            </w:pPr>
            <w:r w:rsidRPr="007F3F6A">
              <w:rPr>
                <w:rFonts w:eastAsiaTheme="majorEastAsia"/>
                <w:b/>
                <w:bCs/>
              </w:rPr>
              <w:t>£1,988</w:t>
            </w:r>
          </w:p>
        </w:tc>
      </w:tr>
    </w:tbl>
    <w:p w14:paraId="5027A2C1" w14:textId="77777777" w:rsidR="00DA51BE" w:rsidRPr="007F3F6A" w:rsidRDefault="00DA51BE" w:rsidP="007F3F6A">
      <w:pPr>
        <w:rPr>
          <w:rFonts w:eastAsiaTheme="majorEastAsia"/>
          <w:b/>
          <w:bCs/>
        </w:rPr>
      </w:pPr>
    </w:p>
    <w:p w14:paraId="3D065D4B" w14:textId="7C486496" w:rsidR="00DA51BE" w:rsidRPr="007F3F6A" w:rsidRDefault="00DA51BE" w:rsidP="00DA51BE">
      <w:pPr>
        <w:pStyle w:val="ListParagraph"/>
        <w:numPr>
          <w:ilvl w:val="0"/>
          <w:numId w:val="14"/>
        </w:numPr>
        <w:rPr>
          <w:rFonts w:eastAsiaTheme="majorEastAsia"/>
          <w:b/>
          <w:bCs/>
        </w:rPr>
      </w:pPr>
      <w:r w:rsidRPr="007F3F6A">
        <w:rPr>
          <w:rFonts w:eastAsiaTheme="majorEastAsia"/>
          <w:b/>
          <w:bCs/>
        </w:rPr>
        <w:t xml:space="preserve">Implement a strategic workforce plan </w:t>
      </w:r>
    </w:p>
    <w:p w14:paraId="4CECD2C5" w14:textId="60D63A74" w:rsidR="00E35510" w:rsidRDefault="00567C21" w:rsidP="00DA51BE">
      <w:pPr>
        <w:ind w:left="360"/>
        <w:rPr>
          <w:rFonts w:eastAsiaTheme="majorEastAsia"/>
        </w:rPr>
      </w:pPr>
      <w:r>
        <w:rPr>
          <w:rFonts w:eastAsiaTheme="majorEastAsia"/>
        </w:rPr>
        <w:t>The CIPD (2017)</w:t>
      </w:r>
      <w:r w:rsidR="00DA51BE">
        <w:rPr>
          <w:rFonts w:eastAsiaTheme="majorEastAsia"/>
        </w:rPr>
        <w:t xml:space="preserve"> outline that a strategic workforce plan is essential for anticipating future demand rather than reacting to shortages. </w:t>
      </w:r>
      <w:r w:rsidR="00776630">
        <w:rPr>
          <w:rFonts w:eastAsiaTheme="majorEastAsia"/>
        </w:rPr>
        <w:t xml:space="preserve">By </w:t>
      </w:r>
      <w:r w:rsidR="00CF265B">
        <w:rPr>
          <w:rFonts w:eastAsiaTheme="majorEastAsia"/>
        </w:rPr>
        <w:t xml:space="preserve">February </w:t>
      </w:r>
      <w:r w:rsidR="00776630">
        <w:rPr>
          <w:rFonts w:eastAsiaTheme="majorEastAsia"/>
        </w:rPr>
        <w:t>2026, a predictive workforce plan built by data from recruitment and HR systems will be developed to identify critical roles, demographic risks and emerging skills gaps</w:t>
      </w:r>
      <w:r w:rsidR="00CF265B">
        <w:rPr>
          <w:rFonts w:eastAsiaTheme="majorEastAsia"/>
        </w:rPr>
        <w:t xml:space="preserve"> </w:t>
      </w:r>
      <w:r w:rsidR="00CF265B">
        <w:t>Jeremy and Ali, 2021</w:t>
      </w:r>
      <w:r w:rsidR="00776630">
        <w:rPr>
          <w:rFonts w:eastAsiaTheme="majorEastAsia"/>
        </w:rPr>
        <w:t xml:space="preserve">. Once established, the strategic workforce plan will be integrated to corporate objectives ensuring alignment between workforce capabilities and strategic objectives. </w:t>
      </w:r>
      <w:r w:rsidR="008225B8">
        <w:rPr>
          <w:rFonts w:eastAsiaTheme="majorEastAsia"/>
        </w:rPr>
        <w:t xml:space="preserve">By </w:t>
      </w:r>
      <w:r w:rsidR="00CF265B">
        <w:rPr>
          <w:rFonts w:eastAsiaTheme="majorEastAsia"/>
        </w:rPr>
        <w:t>March</w:t>
      </w:r>
      <w:r w:rsidR="008225B8">
        <w:rPr>
          <w:rFonts w:eastAsiaTheme="majorEastAsia"/>
        </w:rPr>
        <w:t xml:space="preserve"> 2026, the team will be able to commence predictive modelling with the ability to anticipate turnover rates and design targeted learning interventions to address future gaps. </w:t>
      </w:r>
    </w:p>
    <w:tbl>
      <w:tblPr>
        <w:tblStyle w:val="TableGrid"/>
        <w:tblW w:w="0" w:type="auto"/>
        <w:tblInd w:w="360" w:type="dxa"/>
        <w:tblLook w:val="04A0" w:firstRow="1" w:lastRow="0" w:firstColumn="1" w:lastColumn="0" w:noHBand="0" w:noVBand="1"/>
      </w:tblPr>
      <w:tblGrid>
        <w:gridCol w:w="4332"/>
        <w:gridCol w:w="4324"/>
      </w:tblGrid>
      <w:tr w:rsidR="008225B8" w14:paraId="69ADD154" w14:textId="77777777" w:rsidTr="008225B8">
        <w:tc>
          <w:tcPr>
            <w:tcW w:w="4508" w:type="dxa"/>
          </w:tcPr>
          <w:p w14:paraId="125A61B6" w14:textId="40CB94F0" w:rsidR="008225B8" w:rsidRDefault="008225B8" w:rsidP="00DA51BE">
            <w:pPr>
              <w:rPr>
                <w:rFonts w:eastAsiaTheme="majorEastAsia"/>
              </w:rPr>
            </w:pPr>
            <w:r>
              <w:rPr>
                <w:rFonts w:eastAsiaTheme="majorEastAsia"/>
              </w:rPr>
              <w:t xml:space="preserve">Data analysts (3 months) </w:t>
            </w:r>
          </w:p>
        </w:tc>
        <w:tc>
          <w:tcPr>
            <w:tcW w:w="4508" w:type="dxa"/>
          </w:tcPr>
          <w:p w14:paraId="306339D1" w14:textId="48E16BD8" w:rsidR="008225B8" w:rsidRDefault="00EB0090" w:rsidP="00DA51BE">
            <w:pPr>
              <w:rPr>
                <w:rFonts w:eastAsiaTheme="majorEastAsia"/>
              </w:rPr>
            </w:pPr>
            <w:r>
              <w:rPr>
                <w:rFonts w:eastAsiaTheme="majorEastAsia"/>
              </w:rPr>
              <w:t>£4,500</w:t>
            </w:r>
            <w:r w:rsidR="00883315">
              <w:rPr>
                <w:rFonts w:eastAsiaTheme="majorEastAsia"/>
              </w:rPr>
              <w:t>*</w:t>
            </w:r>
          </w:p>
        </w:tc>
      </w:tr>
      <w:tr w:rsidR="00EB0090" w14:paraId="10025BDD" w14:textId="77777777" w:rsidTr="008225B8">
        <w:tc>
          <w:tcPr>
            <w:tcW w:w="4508" w:type="dxa"/>
          </w:tcPr>
          <w:p w14:paraId="37641613" w14:textId="3BD160CB" w:rsidR="00EB0090" w:rsidRDefault="00EB0090" w:rsidP="00DA51BE">
            <w:pPr>
              <w:rPr>
                <w:rFonts w:eastAsiaTheme="majorEastAsia"/>
              </w:rPr>
            </w:pPr>
            <w:r>
              <w:rPr>
                <w:rFonts w:eastAsiaTheme="majorEastAsia"/>
              </w:rPr>
              <w:t xml:space="preserve">Workforce Planning Lead (4 months) </w:t>
            </w:r>
          </w:p>
        </w:tc>
        <w:tc>
          <w:tcPr>
            <w:tcW w:w="4508" w:type="dxa"/>
          </w:tcPr>
          <w:p w14:paraId="15AFB012" w14:textId="4B436D91" w:rsidR="00EB0090" w:rsidRDefault="00883315" w:rsidP="00DA51BE">
            <w:pPr>
              <w:rPr>
                <w:rFonts w:eastAsiaTheme="majorEastAsia"/>
              </w:rPr>
            </w:pPr>
            <w:r>
              <w:rPr>
                <w:rFonts w:eastAsiaTheme="majorEastAsia"/>
              </w:rPr>
              <w:t>£9,300*</w:t>
            </w:r>
          </w:p>
        </w:tc>
      </w:tr>
      <w:tr w:rsidR="00883315" w14:paraId="21F5D9E1" w14:textId="77777777" w:rsidTr="008225B8">
        <w:tc>
          <w:tcPr>
            <w:tcW w:w="4508" w:type="dxa"/>
          </w:tcPr>
          <w:p w14:paraId="1A472D5B" w14:textId="398CB1AC" w:rsidR="00883315" w:rsidRPr="00221204" w:rsidRDefault="00883315" w:rsidP="00DA51BE">
            <w:pPr>
              <w:rPr>
                <w:rFonts w:eastAsiaTheme="majorEastAsia"/>
                <w:b/>
                <w:bCs/>
              </w:rPr>
            </w:pPr>
            <w:r w:rsidRPr="00221204">
              <w:rPr>
                <w:rFonts w:eastAsiaTheme="majorEastAsia"/>
                <w:b/>
                <w:bCs/>
              </w:rPr>
              <w:t xml:space="preserve">Total </w:t>
            </w:r>
          </w:p>
        </w:tc>
        <w:tc>
          <w:tcPr>
            <w:tcW w:w="4508" w:type="dxa"/>
          </w:tcPr>
          <w:p w14:paraId="37A3CCD5" w14:textId="53602CAC" w:rsidR="00883315" w:rsidRPr="00221204" w:rsidRDefault="00883315" w:rsidP="00DA51BE">
            <w:pPr>
              <w:rPr>
                <w:rFonts w:eastAsiaTheme="majorEastAsia"/>
                <w:b/>
                <w:bCs/>
              </w:rPr>
            </w:pPr>
            <w:r w:rsidRPr="00221204">
              <w:rPr>
                <w:rFonts w:eastAsiaTheme="majorEastAsia"/>
                <w:b/>
                <w:bCs/>
              </w:rPr>
              <w:t>£13,800*</w:t>
            </w:r>
          </w:p>
        </w:tc>
      </w:tr>
    </w:tbl>
    <w:p w14:paraId="581F42AA" w14:textId="51F7452F" w:rsidR="00376FC9" w:rsidRDefault="00883315" w:rsidP="00DA51BE">
      <w:pPr>
        <w:ind w:left="360"/>
        <w:rPr>
          <w:rFonts w:eastAsiaTheme="majorEastAsia"/>
        </w:rPr>
      </w:pPr>
      <w:r>
        <w:rPr>
          <w:rFonts w:eastAsiaTheme="majorEastAsia"/>
        </w:rPr>
        <w:t xml:space="preserve">*Existing staff budget already allocated. </w:t>
      </w:r>
    </w:p>
    <w:p w14:paraId="2E7DCC07" w14:textId="60D35ECF" w:rsidR="00376FC9" w:rsidRPr="00883315" w:rsidRDefault="00376FC9" w:rsidP="00376FC9">
      <w:pPr>
        <w:pStyle w:val="ListParagraph"/>
        <w:numPr>
          <w:ilvl w:val="0"/>
          <w:numId w:val="14"/>
        </w:numPr>
        <w:rPr>
          <w:rFonts w:eastAsiaTheme="majorEastAsia"/>
          <w:b/>
          <w:bCs/>
        </w:rPr>
      </w:pPr>
      <w:r w:rsidRPr="00883315">
        <w:rPr>
          <w:rFonts w:eastAsiaTheme="majorEastAsia"/>
          <w:b/>
          <w:bCs/>
        </w:rPr>
        <w:t xml:space="preserve">Invest in early career opportunities </w:t>
      </w:r>
    </w:p>
    <w:p w14:paraId="334A8D19" w14:textId="2B4A4473" w:rsidR="00376FC9" w:rsidRDefault="00162437" w:rsidP="00376FC9">
      <w:pPr>
        <w:ind w:left="360"/>
        <w:rPr>
          <w:rFonts w:eastAsiaTheme="majorEastAsia"/>
        </w:rPr>
      </w:pPr>
      <w:r>
        <w:rPr>
          <w:rFonts w:eastAsiaTheme="majorEastAsia"/>
        </w:rPr>
        <w:t xml:space="preserve">Building on the work of developing a strategic workforce plan, the introduction of graduate schemes, internships and career returner programmes will help build internal capability linked to areas of future demand. The CIPD found that developing skills in-house is growing priority across the public sector </w:t>
      </w:r>
      <w:r w:rsidR="008014E2">
        <w:rPr>
          <w:rFonts w:eastAsiaTheme="majorEastAsia"/>
        </w:rPr>
        <w:t xml:space="preserve">(Hogarth and McCartney, 2024). </w:t>
      </w:r>
      <w:r w:rsidR="00664F85">
        <w:rPr>
          <w:rFonts w:eastAsiaTheme="majorEastAsia"/>
        </w:rPr>
        <w:t xml:space="preserve">By February 2026, a business proposal will be presented to the senior management team outlining options and indicative costs. </w:t>
      </w:r>
    </w:p>
    <w:tbl>
      <w:tblPr>
        <w:tblStyle w:val="TableGrid"/>
        <w:tblW w:w="0" w:type="auto"/>
        <w:tblInd w:w="360" w:type="dxa"/>
        <w:tblLook w:val="04A0" w:firstRow="1" w:lastRow="0" w:firstColumn="1" w:lastColumn="0" w:noHBand="0" w:noVBand="1"/>
      </w:tblPr>
      <w:tblGrid>
        <w:gridCol w:w="4344"/>
        <w:gridCol w:w="4312"/>
      </w:tblGrid>
      <w:tr w:rsidR="00162437" w14:paraId="05D664E0" w14:textId="77777777" w:rsidTr="00221204">
        <w:tc>
          <w:tcPr>
            <w:tcW w:w="4344" w:type="dxa"/>
          </w:tcPr>
          <w:p w14:paraId="7D0F2B8E" w14:textId="3A3F3401" w:rsidR="00162437" w:rsidRDefault="00664F85" w:rsidP="00FC0524">
            <w:pPr>
              <w:rPr>
                <w:rFonts w:eastAsiaTheme="majorEastAsia"/>
              </w:rPr>
            </w:pPr>
            <w:r>
              <w:rPr>
                <w:rFonts w:eastAsiaTheme="majorEastAsia"/>
              </w:rPr>
              <w:lastRenderedPageBreak/>
              <w:t xml:space="preserve">Talent Development Advisor </w:t>
            </w:r>
            <w:r w:rsidR="00ED5DB7">
              <w:rPr>
                <w:rFonts w:eastAsiaTheme="majorEastAsia"/>
              </w:rPr>
              <w:br/>
            </w:r>
            <w:r>
              <w:rPr>
                <w:rFonts w:eastAsiaTheme="majorEastAsia"/>
              </w:rPr>
              <w:t xml:space="preserve">(2 months) </w:t>
            </w:r>
            <w:r w:rsidR="00162437">
              <w:rPr>
                <w:rFonts w:eastAsiaTheme="majorEastAsia"/>
              </w:rPr>
              <w:t xml:space="preserve"> </w:t>
            </w:r>
          </w:p>
        </w:tc>
        <w:tc>
          <w:tcPr>
            <w:tcW w:w="4312" w:type="dxa"/>
          </w:tcPr>
          <w:p w14:paraId="4A06E6F0" w14:textId="134F9ACF" w:rsidR="00162437" w:rsidRDefault="00664F85" w:rsidP="00FC0524">
            <w:pPr>
              <w:rPr>
                <w:rFonts w:eastAsiaTheme="majorEastAsia"/>
              </w:rPr>
            </w:pPr>
            <w:r>
              <w:rPr>
                <w:rFonts w:eastAsiaTheme="majorEastAsia"/>
              </w:rPr>
              <w:t>£5,380*</w:t>
            </w:r>
          </w:p>
        </w:tc>
      </w:tr>
      <w:tr w:rsidR="00162437" w14:paraId="159FFE8E" w14:textId="77777777" w:rsidTr="00221204">
        <w:tc>
          <w:tcPr>
            <w:tcW w:w="4344" w:type="dxa"/>
          </w:tcPr>
          <w:p w14:paraId="0CE89721" w14:textId="469FA48B" w:rsidR="00162437" w:rsidRDefault="00664F85" w:rsidP="00FC0524">
            <w:pPr>
              <w:rPr>
                <w:rFonts w:eastAsiaTheme="majorEastAsia"/>
              </w:rPr>
            </w:pPr>
            <w:r>
              <w:rPr>
                <w:rFonts w:eastAsiaTheme="majorEastAsia"/>
              </w:rPr>
              <w:t xml:space="preserve">External consultancy support </w:t>
            </w:r>
          </w:p>
        </w:tc>
        <w:tc>
          <w:tcPr>
            <w:tcW w:w="4312" w:type="dxa"/>
          </w:tcPr>
          <w:p w14:paraId="51FA97D7" w14:textId="6CB6DE02" w:rsidR="00162437" w:rsidRDefault="00664F85" w:rsidP="00FC0524">
            <w:pPr>
              <w:rPr>
                <w:rFonts w:eastAsiaTheme="majorEastAsia"/>
              </w:rPr>
            </w:pPr>
            <w:r>
              <w:rPr>
                <w:rFonts w:eastAsiaTheme="majorEastAsia"/>
              </w:rPr>
              <w:t>£8,450</w:t>
            </w:r>
          </w:p>
        </w:tc>
      </w:tr>
      <w:tr w:rsidR="00162437" w14:paraId="5DED8BFA" w14:textId="77777777" w:rsidTr="00221204">
        <w:tc>
          <w:tcPr>
            <w:tcW w:w="4344" w:type="dxa"/>
          </w:tcPr>
          <w:p w14:paraId="35F55332" w14:textId="77777777" w:rsidR="00162437" w:rsidRPr="00221204" w:rsidRDefault="00162437" w:rsidP="00FC0524">
            <w:pPr>
              <w:rPr>
                <w:rFonts w:eastAsiaTheme="majorEastAsia"/>
                <w:b/>
                <w:bCs/>
              </w:rPr>
            </w:pPr>
            <w:r w:rsidRPr="00221204">
              <w:rPr>
                <w:rFonts w:eastAsiaTheme="majorEastAsia"/>
                <w:b/>
                <w:bCs/>
              </w:rPr>
              <w:t xml:space="preserve">Total </w:t>
            </w:r>
          </w:p>
        </w:tc>
        <w:tc>
          <w:tcPr>
            <w:tcW w:w="4312" w:type="dxa"/>
          </w:tcPr>
          <w:p w14:paraId="1F857531" w14:textId="058B68B3" w:rsidR="00162437" w:rsidRPr="00221204" w:rsidRDefault="00162437" w:rsidP="00FC0524">
            <w:pPr>
              <w:rPr>
                <w:rFonts w:eastAsiaTheme="majorEastAsia"/>
                <w:b/>
                <w:bCs/>
              </w:rPr>
            </w:pPr>
            <w:r w:rsidRPr="00221204">
              <w:rPr>
                <w:rFonts w:eastAsiaTheme="majorEastAsia"/>
                <w:b/>
                <w:bCs/>
              </w:rPr>
              <w:t>£</w:t>
            </w:r>
            <w:r w:rsidR="00221204" w:rsidRPr="00221204">
              <w:rPr>
                <w:rFonts w:eastAsiaTheme="majorEastAsia"/>
                <w:b/>
                <w:bCs/>
              </w:rPr>
              <w:t>13,830</w:t>
            </w:r>
          </w:p>
        </w:tc>
      </w:tr>
    </w:tbl>
    <w:p w14:paraId="60EF88A1" w14:textId="7138C1D4" w:rsidR="00AB2545" w:rsidRDefault="00221204" w:rsidP="00221204">
      <w:pPr>
        <w:ind w:left="360"/>
        <w:rPr>
          <w:rFonts w:eastAsiaTheme="majorEastAsia"/>
        </w:rPr>
      </w:pPr>
      <w:r>
        <w:rPr>
          <w:rFonts w:eastAsiaTheme="majorEastAsia"/>
        </w:rPr>
        <w:t xml:space="preserve">*Existing staff budget already allocated. </w:t>
      </w:r>
    </w:p>
    <w:p w14:paraId="5ED8B507" w14:textId="15811E75" w:rsidR="00982DAE" w:rsidRPr="00ED7F9A" w:rsidRDefault="00982DAE" w:rsidP="00221204">
      <w:pPr>
        <w:ind w:left="360"/>
        <w:rPr>
          <w:rFonts w:eastAsiaTheme="majorEastAsia"/>
          <w:b/>
          <w:bCs/>
        </w:rPr>
      </w:pPr>
      <w:r w:rsidRPr="00ED7F9A">
        <w:rPr>
          <w:rFonts w:eastAsiaTheme="majorEastAsia"/>
          <w:b/>
          <w:bCs/>
        </w:rPr>
        <w:t>4. Enhance Learning and Development</w:t>
      </w:r>
    </w:p>
    <w:p w14:paraId="0ACF5C57" w14:textId="46EF03E3" w:rsidR="00982DAE" w:rsidRDefault="00ED7F9A" w:rsidP="00221204">
      <w:pPr>
        <w:ind w:left="360"/>
        <w:rPr>
          <w:rFonts w:eastAsiaTheme="majorEastAsia"/>
        </w:rPr>
      </w:pPr>
      <w:r>
        <w:rPr>
          <w:rFonts w:eastAsiaTheme="majorEastAsia"/>
        </w:rPr>
        <w:t>The employee survey highlighted the need to equip managers with coaching skills to promote inclusive management practice and reinforce organisational values</w:t>
      </w:r>
      <w:r w:rsidR="000E3FC9">
        <w:rPr>
          <w:rFonts w:eastAsiaTheme="majorEastAsia"/>
        </w:rPr>
        <w:t xml:space="preserve"> (NRW, 2023</w:t>
      </w:r>
      <w:r w:rsidR="00DC3BDE">
        <w:rPr>
          <w:rFonts w:eastAsiaTheme="majorEastAsia"/>
        </w:rPr>
        <w:t>)</w:t>
      </w:r>
      <w:r w:rsidR="00E15E94">
        <w:rPr>
          <w:rFonts w:eastAsiaTheme="majorEastAsia"/>
        </w:rPr>
        <w:t xml:space="preserve"> (Bough </w:t>
      </w:r>
      <w:r w:rsidR="00E15E94">
        <w:rPr>
          <w:rFonts w:eastAsiaTheme="majorEastAsia"/>
          <w:i/>
          <w:iCs/>
        </w:rPr>
        <w:t xml:space="preserve">et al., </w:t>
      </w:r>
      <w:r w:rsidR="00E15E94">
        <w:rPr>
          <w:rFonts w:eastAsiaTheme="majorEastAsia"/>
        </w:rPr>
        <w:t>2025)</w:t>
      </w:r>
      <w:r>
        <w:rPr>
          <w:rFonts w:eastAsiaTheme="majorEastAsia"/>
        </w:rPr>
        <w:t xml:space="preserve">. While NRW has exceptional completion rates for </w:t>
      </w:r>
      <w:proofErr w:type="gramStart"/>
      <w:r>
        <w:rPr>
          <w:rFonts w:eastAsiaTheme="majorEastAsia"/>
        </w:rPr>
        <w:t xml:space="preserve">compliance </w:t>
      </w:r>
      <w:r w:rsidR="00D05F94">
        <w:rPr>
          <w:rFonts w:eastAsiaTheme="majorEastAsia"/>
        </w:rPr>
        <w:t>based</w:t>
      </w:r>
      <w:proofErr w:type="gramEnd"/>
      <w:r w:rsidR="00D05F94">
        <w:rPr>
          <w:rFonts w:eastAsiaTheme="majorEastAsia"/>
        </w:rPr>
        <w:t xml:space="preserve"> learning</w:t>
      </w:r>
      <w:r w:rsidR="00E15E94">
        <w:rPr>
          <w:rFonts w:eastAsiaTheme="majorEastAsia"/>
        </w:rPr>
        <w:t xml:space="preserve"> (NRW, 2025a)</w:t>
      </w:r>
      <w:r>
        <w:rPr>
          <w:rFonts w:eastAsiaTheme="majorEastAsia"/>
        </w:rPr>
        <w:t>, investment in the management team</w:t>
      </w:r>
      <w:r w:rsidR="006C7B74">
        <w:rPr>
          <w:rFonts w:eastAsiaTheme="majorEastAsia"/>
        </w:rPr>
        <w:t xml:space="preserve"> by launching coaching workshops from March 2026</w:t>
      </w:r>
      <w:r>
        <w:rPr>
          <w:rFonts w:eastAsiaTheme="majorEastAsia"/>
        </w:rPr>
        <w:t xml:space="preserve"> will strengthen the psychological contract which will improve engagement and support retention</w:t>
      </w:r>
      <w:r w:rsidR="00176301">
        <w:rPr>
          <w:rFonts w:eastAsiaTheme="majorEastAsia"/>
        </w:rPr>
        <w:t xml:space="preserve"> (Bera, 2021)</w:t>
      </w:r>
      <w:r>
        <w:rPr>
          <w:rFonts w:eastAsiaTheme="majorEastAsia"/>
        </w:rPr>
        <w:t xml:space="preserve">. </w:t>
      </w:r>
    </w:p>
    <w:tbl>
      <w:tblPr>
        <w:tblStyle w:val="TableGrid"/>
        <w:tblW w:w="0" w:type="auto"/>
        <w:tblInd w:w="360" w:type="dxa"/>
        <w:tblLook w:val="04A0" w:firstRow="1" w:lastRow="0" w:firstColumn="1" w:lastColumn="0" w:noHBand="0" w:noVBand="1"/>
      </w:tblPr>
      <w:tblGrid>
        <w:gridCol w:w="4344"/>
        <w:gridCol w:w="4312"/>
      </w:tblGrid>
      <w:tr w:rsidR="00ED7F9A" w14:paraId="5716E803" w14:textId="77777777" w:rsidTr="00FC0524">
        <w:tc>
          <w:tcPr>
            <w:tcW w:w="4344" w:type="dxa"/>
          </w:tcPr>
          <w:p w14:paraId="000B03A1" w14:textId="433758E1" w:rsidR="00ED7F9A" w:rsidRDefault="00ED7F9A" w:rsidP="00FC0524">
            <w:pPr>
              <w:rPr>
                <w:rFonts w:eastAsiaTheme="majorEastAsia"/>
              </w:rPr>
            </w:pPr>
            <w:r>
              <w:rPr>
                <w:rFonts w:eastAsiaTheme="majorEastAsia"/>
              </w:rPr>
              <w:t xml:space="preserve">External facilitator   </w:t>
            </w:r>
          </w:p>
        </w:tc>
        <w:tc>
          <w:tcPr>
            <w:tcW w:w="4312" w:type="dxa"/>
          </w:tcPr>
          <w:p w14:paraId="4196F3E1" w14:textId="32C0D39E" w:rsidR="00ED7F9A" w:rsidRDefault="00ED7F9A" w:rsidP="00FC0524">
            <w:pPr>
              <w:rPr>
                <w:rFonts w:eastAsiaTheme="majorEastAsia"/>
              </w:rPr>
            </w:pPr>
            <w:r>
              <w:rPr>
                <w:rFonts w:eastAsiaTheme="majorEastAsia"/>
              </w:rPr>
              <w:t>£7,569</w:t>
            </w:r>
          </w:p>
        </w:tc>
      </w:tr>
      <w:tr w:rsidR="00ED7F9A" w14:paraId="6246E85C" w14:textId="77777777" w:rsidTr="00FC0524">
        <w:tc>
          <w:tcPr>
            <w:tcW w:w="4344" w:type="dxa"/>
          </w:tcPr>
          <w:p w14:paraId="24CFAA6F" w14:textId="5172CB3F" w:rsidR="00ED7F9A" w:rsidRDefault="00ED7F9A" w:rsidP="00FC0524">
            <w:pPr>
              <w:rPr>
                <w:rFonts w:eastAsiaTheme="majorEastAsia"/>
              </w:rPr>
            </w:pPr>
            <w:r>
              <w:rPr>
                <w:rFonts w:eastAsiaTheme="majorEastAsia"/>
              </w:rPr>
              <w:t xml:space="preserve">Course supplies </w:t>
            </w:r>
          </w:p>
        </w:tc>
        <w:tc>
          <w:tcPr>
            <w:tcW w:w="4312" w:type="dxa"/>
          </w:tcPr>
          <w:p w14:paraId="4DCA3B04" w14:textId="358AC904" w:rsidR="00ED7F9A" w:rsidRDefault="00ED7F9A" w:rsidP="00FC0524">
            <w:pPr>
              <w:rPr>
                <w:rFonts w:eastAsiaTheme="majorEastAsia"/>
              </w:rPr>
            </w:pPr>
            <w:r>
              <w:rPr>
                <w:rFonts w:eastAsiaTheme="majorEastAsia"/>
              </w:rPr>
              <w:t>£750</w:t>
            </w:r>
          </w:p>
        </w:tc>
      </w:tr>
      <w:tr w:rsidR="00ED7F9A" w14:paraId="35509F7D" w14:textId="77777777" w:rsidTr="00FC0524">
        <w:tc>
          <w:tcPr>
            <w:tcW w:w="4344" w:type="dxa"/>
          </w:tcPr>
          <w:p w14:paraId="554CFE71" w14:textId="77777777" w:rsidR="00ED7F9A" w:rsidRPr="00221204" w:rsidRDefault="00ED7F9A" w:rsidP="00FC0524">
            <w:pPr>
              <w:rPr>
                <w:rFonts w:eastAsiaTheme="majorEastAsia"/>
                <w:b/>
                <w:bCs/>
              </w:rPr>
            </w:pPr>
            <w:r w:rsidRPr="00221204">
              <w:rPr>
                <w:rFonts w:eastAsiaTheme="majorEastAsia"/>
                <w:b/>
                <w:bCs/>
              </w:rPr>
              <w:t xml:space="preserve">Total </w:t>
            </w:r>
          </w:p>
        </w:tc>
        <w:tc>
          <w:tcPr>
            <w:tcW w:w="4312" w:type="dxa"/>
          </w:tcPr>
          <w:p w14:paraId="05CA19E8" w14:textId="607115D0" w:rsidR="00ED7F9A" w:rsidRPr="00221204" w:rsidRDefault="006C7B74" w:rsidP="00FC0524">
            <w:pPr>
              <w:rPr>
                <w:rFonts w:eastAsiaTheme="majorEastAsia"/>
                <w:b/>
                <w:bCs/>
              </w:rPr>
            </w:pPr>
            <w:r>
              <w:rPr>
                <w:rFonts w:eastAsiaTheme="majorEastAsia"/>
                <w:b/>
                <w:bCs/>
              </w:rPr>
              <w:t>£8,319</w:t>
            </w:r>
          </w:p>
        </w:tc>
      </w:tr>
    </w:tbl>
    <w:p w14:paraId="484517C3" w14:textId="77777777" w:rsidR="00ED7F9A" w:rsidRDefault="00ED7F9A" w:rsidP="006C7B74">
      <w:pPr>
        <w:rPr>
          <w:rFonts w:eastAsiaTheme="majorEastAsia"/>
        </w:rPr>
      </w:pPr>
    </w:p>
    <w:p w14:paraId="49235768" w14:textId="71324860" w:rsidR="00AB2545" w:rsidRPr="00982DAE" w:rsidRDefault="00AB2545" w:rsidP="00982DAE">
      <w:pPr>
        <w:pStyle w:val="ListParagraph"/>
        <w:numPr>
          <w:ilvl w:val="0"/>
          <w:numId w:val="15"/>
        </w:numPr>
        <w:rPr>
          <w:rFonts w:eastAsiaTheme="majorEastAsia"/>
          <w:b/>
          <w:bCs/>
        </w:rPr>
      </w:pPr>
      <w:r w:rsidRPr="00982DAE">
        <w:rPr>
          <w:rFonts w:eastAsiaTheme="majorEastAsia"/>
          <w:b/>
          <w:bCs/>
        </w:rPr>
        <w:t>Explore AI solutions to enhance current processes</w:t>
      </w:r>
    </w:p>
    <w:p w14:paraId="37566493" w14:textId="29BEDC48" w:rsidR="00982DAE" w:rsidRDefault="00C24A00" w:rsidP="00AB2545">
      <w:pPr>
        <w:ind w:left="360"/>
        <w:rPr>
          <w:rFonts w:eastAsiaTheme="majorEastAsia"/>
        </w:rPr>
      </w:pPr>
      <w:r>
        <w:rPr>
          <w:rFonts w:eastAsiaTheme="majorEastAsia"/>
        </w:rPr>
        <w:t>AI presents opportunities to improve the speed and consistency of assessing high-volume applications (</w:t>
      </w:r>
      <w:r w:rsidR="00221204">
        <w:rPr>
          <w:rFonts w:eastAsiaTheme="majorEastAsia"/>
        </w:rPr>
        <w:t>Ferrari, 2025</w:t>
      </w:r>
      <w:r>
        <w:rPr>
          <w:rFonts w:eastAsiaTheme="majorEastAsia"/>
        </w:rPr>
        <w:t xml:space="preserve">). </w:t>
      </w:r>
      <w:r w:rsidR="00845B5A">
        <w:rPr>
          <w:rFonts w:eastAsiaTheme="majorEastAsia"/>
        </w:rPr>
        <w:t xml:space="preserve">While the use of AI tools </w:t>
      </w:r>
      <w:r w:rsidR="00221204">
        <w:rPr>
          <w:rFonts w:eastAsiaTheme="majorEastAsia"/>
        </w:rPr>
        <w:t>requires</w:t>
      </w:r>
      <w:r w:rsidR="00845B5A">
        <w:rPr>
          <w:rFonts w:eastAsiaTheme="majorEastAsia"/>
        </w:rPr>
        <w:t xml:space="preserve"> significant governance (</w:t>
      </w:r>
      <w:r w:rsidR="00221204">
        <w:t xml:space="preserve">Rigotti and </w:t>
      </w:r>
      <w:proofErr w:type="spellStart"/>
      <w:r w:rsidR="00221204">
        <w:t>Fosch</w:t>
      </w:r>
      <w:proofErr w:type="spellEnd"/>
      <w:r w:rsidR="00221204">
        <w:t>-Villaronga, 2024</w:t>
      </w:r>
      <w:r w:rsidR="00FE2231">
        <w:t>)</w:t>
      </w:r>
      <w:r w:rsidR="00845B5A">
        <w:rPr>
          <w:rFonts w:eastAsiaTheme="majorEastAsia"/>
        </w:rPr>
        <w:t xml:space="preserve">, </w:t>
      </w:r>
      <w:r w:rsidR="00221204">
        <w:rPr>
          <w:rFonts w:eastAsiaTheme="majorEastAsia"/>
        </w:rPr>
        <w:t xml:space="preserve">operational pressures </w:t>
      </w:r>
      <w:r w:rsidR="00982DAE">
        <w:rPr>
          <w:rFonts w:eastAsiaTheme="majorEastAsia"/>
        </w:rPr>
        <w:t>because of</w:t>
      </w:r>
      <w:r w:rsidR="00221204">
        <w:rPr>
          <w:rFonts w:eastAsiaTheme="majorEastAsia"/>
        </w:rPr>
        <w:t xml:space="preserve"> high-volume recruitment </w:t>
      </w:r>
      <w:r w:rsidR="00D056DE">
        <w:rPr>
          <w:rFonts w:eastAsiaTheme="majorEastAsia"/>
        </w:rPr>
        <w:t>(NRW, 2025c) r</w:t>
      </w:r>
      <w:r w:rsidR="00982DAE">
        <w:rPr>
          <w:rFonts w:eastAsiaTheme="majorEastAsia"/>
        </w:rPr>
        <w:t xml:space="preserve">equires investment in automated tools to process applications more efficiently while balancing compliance with civil service recruitment principles. A paper will be submitted to the senior management team outlining options, costs and governance considerations by February 2026. </w:t>
      </w:r>
    </w:p>
    <w:tbl>
      <w:tblPr>
        <w:tblStyle w:val="TableGrid"/>
        <w:tblW w:w="0" w:type="auto"/>
        <w:tblInd w:w="360" w:type="dxa"/>
        <w:tblLook w:val="04A0" w:firstRow="1" w:lastRow="0" w:firstColumn="1" w:lastColumn="0" w:noHBand="0" w:noVBand="1"/>
      </w:tblPr>
      <w:tblGrid>
        <w:gridCol w:w="4344"/>
        <w:gridCol w:w="4312"/>
      </w:tblGrid>
      <w:tr w:rsidR="00982DAE" w14:paraId="19A7B44E" w14:textId="77777777" w:rsidTr="00FC0524">
        <w:tc>
          <w:tcPr>
            <w:tcW w:w="4344" w:type="dxa"/>
          </w:tcPr>
          <w:p w14:paraId="38A90000" w14:textId="0CAF4037" w:rsidR="00982DAE" w:rsidRDefault="00982DAE" w:rsidP="00FC0524">
            <w:pPr>
              <w:rPr>
                <w:rFonts w:eastAsiaTheme="majorEastAsia"/>
              </w:rPr>
            </w:pPr>
            <w:r>
              <w:rPr>
                <w:rFonts w:eastAsiaTheme="majorEastAsia"/>
              </w:rPr>
              <w:t xml:space="preserve">Strategic Resourcing Manager </w:t>
            </w:r>
            <w:r w:rsidR="00ED5DB7">
              <w:rPr>
                <w:rFonts w:eastAsiaTheme="majorEastAsia"/>
              </w:rPr>
              <w:br/>
            </w:r>
            <w:r>
              <w:rPr>
                <w:rFonts w:eastAsiaTheme="majorEastAsia"/>
              </w:rPr>
              <w:t>(1 month)</w:t>
            </w:r>
          </w:p>
        </w:tc>
        <w:tc>
          <w:tcPr>
            <w:tcW w:w="4312" w:type="dxa"/>
          </w:tcPr>
          <w:p w14:paraId="4671DFE8" w14:textId="5D061C56" w:rsidR="00982DAE" w:rsidRDefault="00982DAE" w:rsidP="00FC0524">
            <w:pPr>
              <w:rPr>
                <w:rFonts w:eastAsiaTheme="majorEastAsia"/>
              </w:rPr>
            </w:pPr>
            <w:r>
              <w:rPr>
                <w:rFonts w:eastAsiaTheme="majorEastAsia"/>
              </w:rPr>
              <w:t>£632*</w:t>
            </w:r>
          </w:p>
        </w:tc>
      </w:tr>
      <w:tr w:rsidR="00982DAE" w14:paraId="5DF61BD0" w14:textId="77777777" w:rsidTr="00FC0524">
        <w:tc>
          <w:tcPr>
            <w:tcW w:w="4344" w:type="dxa"/>
          </w:tcPr>
          <w:p w14:paraId="4039B078" w14:textId="77777777" w:rsidR="00982DAE" w:rsidRPr="00221204" w:rsidRDefault="00982DAE" w:rsidP="00FC0524">
            <w:pPr>
              <w:rPr>
                <w:rFonts w:eastAsiaTheme="majorEastAsia"/>
                <w:b/>
                <w:bCs/>
              </w:rPr>
            </w:pPr>
            <w:r w:rsidRPr="00221204">
              <w:rPr>
                <w:rFonts w:eastAsiaTheme="majorEastAsia"/>
                <w:b/>
                <w:bCs/>
              </w:rPr>
              <w:t xml:space="preserve">Total </w:t>
            </w:r>
          </w:p>
        </w:tc>
        <w:tc>
          <w:tcPr>
            <w:tcW w:w="4312" w:type="dxa"/>
          </w:tcPr>
          <w:p w14:paraId="0033CAC2" w14:textId="633092AA" w:rsidR="00982DAE" w:rsidRPr="00221204" w:rsidRDefault="00982DAE" w:rsidP="00FC0524">
            <w:pPr>
              <w:rPr>
                <w:rFonts w:eastAsiaTheme="majorEastAsia"/>
                <w:b/>
                <w:bCs/>
              </w:rPr>
            </w:pPr>
            <w:r w:rsidRPr="00221204">
              <w:rPr>
                <w:rFonts w:eastAsiaTheme="majorEastAsia"/>
                <w:b/>
                <w:bCs/>
              </w:rPr>
              <w:t>£</w:t>
            </w:r>
            <w:r>
              <w:rPr>
                <w:rFonts w:eastAsiaTheme="majorEastAsia"/>
                <w:b/>
                <w:bCs/>
              </w:rPr>
              <w:t>682*</w:t>
            </w:r>
          </w:p>
        </w:tc>
      </w:tr>
    </w:tbl>
    <w:p w14:paraId="577058A9" w14:textId="77777777" w:rsidR="00982DAE" w:rsidRDefault="00982DAE" w:rsidP="00982DAE">
      <w:pPr>
        <w:ind w:left="360"/>
        <w:rPr>
          <w:rFonts w:eastAsiaTheme="majorEastAsia"/>
        </w:rPr>
      </w:pPr>
      <w:r>
        <w:rPr>
          <w:rFonts w:eastAsiaTheme="majorEastAsia"/>
        </w:rPr>
        <w:t xml:space="preserve">*Existing staff budget already allocated. </w:t>
      </w:r>
    </w:p>
    <w:p w14:paraId="201170CB" w14:textId="77777777" w:rsidR="00982DAE" w:rsidRDefault="00982DAE" w:rsidP="00AB2545">
      <w:pPr>
        <w:ind w:left="360"/>
        <w:rPr>
          <w:rFonts w:eastAsiaTheme="majorEastAsia"/>
        </w:rPr>
      </w:pPr>
    </w:p>
    <w:p w14:paraId="41D7F4D0" w14:textId="77777777" w:rsidR="00EE4E59" w:rsidRDefault="00EE4E59" w:rsidP="00AB2545">
      <w:pPr>
        <w:ind w:left="360"/>
        <w:rPr>
          <w:rFonts w:eastAsiaTheme="majorEastAsia"/>
        </w:rPr>
      </w:pPr>
    </w:p>
    <w:p w14:paraId="2DE164BE" w14:textId="77777777" w:rsidR="00EE4E59" w:rsidRPr="00AB2545" w:rsidRDefault="00EE4E59" w:rsidP="00AB2545">
      <w:pPr>
        <w:ind w:left="360"/>
        <w:rPr>
          <w:rFonts w:eastAsiaTheme="majorEastAsia"/>
        </w:rPr>
      </w:pPr>
    </w:p>
    <w:p w14:paraId="33C6CD80" w14:textId="77777777" w:rsidR="00AB2545" w:rsidRDefault="00AB2545" w:rsidP="00AB2545">
      <w:pPr>
        <w:pStyle w:val="ListParagraph"/>
        <w:rPr>
          <w:rFonts w:eastAsiaTheme="majorEastAsia"/>
        </w:rPr>
      </w:pPr>
    </w:p>
    <w:p w14:paraId="13DE94FE" w14:textId="77777777" w:rsidR="00AB2545" w:rsidRPr="00AB2545" w:rsidRDefault="00AB2545" w:rsidP="00AB2545">
      <w:pPr>
        <w:pStyle w:val="ListParagraph"/>
        <w:rPr>
          <w:rFonts w:eastAsiaTheme="majorEastAsia"/>
        </w:rPr>
      </w:pPr>
    </w:p>
    <w:p w14:paraId="2746584B" w14:textId="77777777" w:rsidR="005452E1" w:rsidRDefault="005452E1" w:rsidP="005846CC">
      <w:pPr>
        <w:jc w:val="both"/>
        <w:rPr>
          <w:rFonts w:eastAsiaTheme="majorEastAsia" w:cstheme="majorBidi"/>
          <w:b/>
          <w:color w:val="009999"/>
          <w:sz w:val="28"/>
          <w:szCs w:val="36"/>
        </w:rPr>
      </w:pPr>
      <w:r>
        <w:br w:type="page"/>
      </w:r>
    </w:p>
    <w:p w14:paraId="3CA95F90" w14:textId="4F1673B9" w:rsidR="00CB14E6" w:rsidRDefault="00B04DA5" w:rsidP="005846CC">
      <w:pPr>
        <w:pStyle w:val="Heading1"/>
        <w:jc w:val="both"/>
      </w:pPr>
      <w:bookmarkStart w:id="12" w:name="_Toc214975038"/>
      <w:r>
        <w:lastRenderedPageBreak/>
        <w:t>References</w:t>
      </w:r>
      <w:bookmarkEnd w:id="12"/>
      <w:r>
        <w:t xml:space="preserve"> </w:t>
      </w:r>
    </w:p>
    <w:p w14:paraId="620EF490" w14:textId="77777777" w:rsidR="00F74FF7" w:rsidRDefault="00F74FF7" w:rsidP="005846CC">
      <w:pPr>
        <w:jc w:val="both"/>
      </w:pPr>
    </w:p>
    <w:p w14:paraId="1622A2D6" w14:textId="77777777" w:rsidR="0003175C" w:rsidRDefault="0003175C" w:rsidP="00C84663">
      <w:r w:rsidRPr="00CB14E6">
        <w:t xml:space="preserve">Advisory, Conciliation and Arbitration Service (2024) </w:t>
      </w:r>
      <w:r w:rsidRPr="00C84663">
        <w:rPr>
          <w:i/>
          <w:iCs/>
        </w:rPr>
        <w:t>Flexible working: Code of Practice</w:t>
      </w:r>
      <w:r w:rsidRPr="00CB14E6">
        <w:t>.</w:t>
      </w:r>
      <w:r>
        <w:t xml:space="preserve"> </w:t>
      </w:r>
      <w:r w:rsidRPr="00CB14E6">
        <w:t xml:space="preserve">Available at: </w:t>
      </w:r>
      <w:hyperlink r:id="rId15" w:history="1">
        <w:r w:rsidRPr="00C84663">
          <w:rPr>
            <w:rStyle w:val="Hyperlink"/>
            <w:rFonts w:cs="Arial"/>
            <w:szCs w:val="24"/>
          </w:rPr>
          <w:t>https://www.acas.org.uk/flexible-working-code-of-practice</w:t>
        </w:r>
      </w:hyperlink>
      <w:r>
        <w:t xml:space="preserve"> </w:t>
      </w:r>
      <w:r w:rsidRPr="00CB14E6">
        <w:t>(Accessed: 25 October 2025).</w:t>
      </w:r>
    </w:p>
    <w:p w14:paraId="49CD9CE5" w14:textId="77777777" w:rsidR="0003175C" w:rsidRPr="004D7D0D" w:rsidRDefault="0003175C" w:rsidP="00C84663">
      <w:pPr>
        <w:rPr>
          <w:color w:val="FF0000"/>
        </w:rPr>
      </w:pPr>
      <w:r>
        <w:t xml:space="preserve">Almeida, L. (2023) </w:t>
      </w:r>
      <w:r>
        <w:rPr>
          <w:i/>
          <w:iCs/>
        </w:rPr>
        <w:t xml:space="preserve">Civil servants retire three years earlier than the private sector workers. </w:t>
      </w:r>
      <w:r>
        <w:t xml:space="preserve">Available at: </w:t>
      </w:r>
      <w:hyperlink r:id="rId16" w:history="1">
        <w:r w:rsidRPr="00FC6FE4">
          <w:rPr>
            <w:rStyle w:val="Hyperlink"/>
          </w:rPr>
          <w:t>https://www.telegraph.co.uk/money/pensions/tax-retirement/civil-servants-retire-three-years-earlier-than-private-sect/</w:t>
        </w:r>
      </w:hyperlink>
      <w:r>
        <w:t xml:space="preserve"> (Accessed: 5 November 2025). </w:t>
      </w:r>
    </w:p>
    <w:p w14:paraId="7008DD06" w14:textId="77777777" w:rsidR="0003175C" w:rsidRDefault="0003175C" w:rsidP="00C84663">
      <w:r>
        <w:t xml:space="preserve">Alstein, T., </w:t>
      </w:r>
      <w:proofErr w:type="spellStart"/>
      <w:r>
        <w:t>Bayiates</w:t>
      </w:r>
      <w:proofErr w:type="spellEnd"/>
      <w:r>
        <w:t xml:space="preserve">, A., </w:t>
      </w:r>
      <w:proofErr w:type="spellStart"/>
      <w:r>
        <w:t>Cantrell,S</w:t>
      </w:r>
      <w:proofErr w:type="spellEnd"/>
      <w:r>
        <w:t xml:space="preserve">., Commisso, C., Domergue, C., Duda, J., Eggers, B, W., Fish, B., Flynn, J., Forsythe, J., Goodwin, J, Lahiri, G, Harrington, S., Kirby, L., Mallon, D., Moss, K., Poynton, S., Reyes, V., Sanford, A., Scoble-Williams, N., </w:t>
      </w:r>
      <w:proofErr w:type="spellStart"/>
      <w:r>
        <w:t>Durmve</w:t>
      </w:r>
      <w:proofErr w:type="spellEnd"/>
      <w:r>
        <w:t xml:space="preserve">, V.Y (2025) Global Human Capital Trends. Available at: </w:t>
      </w:r>
      <w:hyperlink r:id="rId17" w:history="1">
        <w:r w:rsidRPr="00FC6FE4">
          <w:rPr>
            <w:rStyle w:val="Hyperlink"/>
          </w:rPr>
          <w:t>https://www.deloitte.com/content/dam/insights/articles/2025/glob187692_global-human-capital-trends/DI_2025-Global-Human-Capital-Trends.pdf</w:t>
        </w:r>
      </w:hyperlink>
      <w:r>
        <w:t xml:space="preserve"> (Accessed: 5 November 2025). </w:t>
      </w:r>
    </w:p>
    <w:p w14:paraId="5C494D29" w14:textId="216FA38A" w:rsidR="006B3050" w:rsidRPr="00EF2D72" w:rsidRDefault="006B3050" w:rsidP="00C84663">
      <w:r>
        <w:t xml:space="preserve">Ameen, M. (2023) </w:t>
      </w:r>
      <w:r w:rsidR="00EF2D72">
        <w:rPr>
          <w:i/>
          <w:iCs/>
        </w:rPr>
        <w:t xml:space="preserve">Why people professionals must rethink talent management. </w:t>
      </w:r>
      <w:r w:rsidR="00EF2D72">
        <w:t xml:space="preserve">Available at: </w:t>
      </w:r>
      <w:hyperlink r:id="rId18" w:history="1">
        <w:r w:rsidR="00EF2D72" w:rsidRPr="00CC3307">
          <w:rPr>
            <w:rStyle w:val="Hyperlink"/>
          </w:rPr>
          <w:t>https://www.peoplemanagement.co.uk/article/1813805/why-people-professionals-rethink-talent-management</w:t>
        </w:r>
      </w:hyperlink>
      <w:r w:rsidR="00EF2D72">
        <w:t xml:space="preserve"> (Accessed: 5 November 2025). </w:t>
      </w:r>
    </w:p>
    <w:p w14:paraId="1F14153C" w14:textId="77777777" w:rsidR="0003175C" w:rsidRDefault="0003175C" w:rsidP="00C84663">
      <w:r w:rsidRPr="00F6160A">
        <w:t xml:space="preserve">Appelbaum, E., Bailey, T., Berg, P. and Kalleberg, A. (2000) ‘Manufacturing advantage: Why high-performance work systems pay off.’ </w:t>
      </w:r>
      <w:r w:rsidRPr="00F6160A">
        <w:rPr>
          <w:i/>
          <w:iCs/>
        </w:rPr>
        <w:t xml:space="preserve">Academy of Management Review, </w:t>
      </w:r>
      <w:r w:rsidRPr="00F6160A">
        <w:t xml:space="preserve">26(3), pp.459-462.  Available at: </w:t>
      </w:r>
      <w:hyperlink r:id="rId19" w:history="1">
        <w:r w:rsidRPr="00B4475A">
          <w:rPr>
            <w:rStyle w:val="Hyperlink"/>
          </w:rPr>
          <w:t>https://www.jstor.org/stable/259189?origin=crossref</w:t>
        </w:r>
      </w:hyperlink>
      <w:r>
        <w:rPr>
          <w:color w:val="FF0000"/>
        </w:rPr>
        <w:t xml:space="preserve"> </w:t>
      </w:r>
      <w:r w:rsidRPr="00F6160A">
        <w:t xml:space="preserve">(Accessed: 1 November 2025). </w:t>
      </w:r>
    </w:p>
    <w:p w14:paraId="74F1295F" w14:textId="5774FFBC" w:rsidR="00122A68" w:rsidRDefault="00FE1B73" w:rsidP="00C84663">
      <w:pPr>
        <w:rPr>
          <w:rFonts w:cs="Arial"/>
          <w:color w:val="000000"/>
        </w:rPr>
      </w:pPr>
      <w:r w:rsidRPr="00F7565F">
        <w:rPr>
          <w:rFonts w:cs="Arial"/>
          <w:color w:val="000000"/>
        </w:rPr>
        <w:t xml:space="preserve">Armstrong, M., and Brown, D. (2024) </w:t>
      </w:r>
      <w:r w:rsidRPr="00F7565F">
        <w:rPr>
          <w:rFonts w:cs="Arial"/>
          <w:i/>
          <w:iCs/>
          <w:color w:val="000000"/>
        </w:rPr>
        <w:t xml:space="preserve">Armstrong’s handbook of reward management practice: improving performance through reward. </w:t>
      </w:r>
      <w:r w:rsidRPr="00F7565F">
        <w:rPr>
          <w:rFonts w:cs="Arial"/>
          <w:color w:val="000000"/>
        </w:rPr>
        <w:t>7</w:t>
      </w:r>
      <w:r w:rsidRPr="00F7565F">
        <w:rPr>
          <w:rFonts w:cs="Arial"/>
          <w:color w:val="000000"/>
          <w:vertAlign w:val="superscript"/>
        </w:rPr>
        <w:t>th</w:t>
      </w:r>
      <w:r w:rsidRPr="00F7565F">
        <w:rPr>
          <w:rFonts w:cs="Arial"/>
          <w:color w:val="000000"/>
        </w:rPr>
        <w:t xml:space="preserve"> </w:t>
      </w:r>
      <w:proofErr w:type="spellStart"/>
      <w:r w:rsidRPr="00F7565F">
        <w:rPr>
          <w:rFonts w:cs="Arial"/>
          <w:color w:val="000000"/>
        </w:rPr>
        <w:t>edn</w:t>
      </w:r>
      <w:proofErr w:type="spellEnd"/>
      <w:r w:rsidRPr="00F7565F">
        <w:rPr>
          <w:rFonts w:cs="Arial"/>
          <w:color w:val="000000"/>
        </w:rPr>
        <w:t>. London: Kogan Page.</w:t>
      </w:r>
    </w:p>
    <w:p w14:paraId="50717380" w14:textId="20C8397F" w:rsidR="00836E67" w:rsidRDefault="00836E67" w:rsidP="00C84663">
      <w:r w:rsidRPr="00F7565F">
        <w:rPr>
          <w:rFonts w:cs="Arial"/>
          <w:color w:val="000000"/>
        </w:rPr>
        <w:t>Armstrong, M. (2017</w:t>
      </w:r>
      <w:proofErr w:type="gramStart"/>
      <w:r w:rsidRPr="00F7565F">
        <w:rPr>
          <w:rFonts w:cs="Arial"/>
          <w:color w:val="000000"/>
        </w:rPr>
        <w:t xml:space="preserve">) </w:t>
      </w:r>
      <w:r w:rsidRPr="00F7565F">
        <w:rPr>
          <w:rFonts w:cs="Arial"/>
          <w:i/>
          <w:iCs/>
          <w:color w:val="000000"/>
        </w:rPr>
        <w:t xml:space="preserve"> How</w:t>
      </w:r>
      <w:proofErr w:type="gramEnd"/>
      <w:r w:rsidRPr="00F7565F">
        <w:rPr>
          <w:rFonts w:cs="Arial"/>
          <w:i/>
          <w:iCs/>
          <w:color w:val="000000"/>
        </w:rPr>
        <w:t xml:space="preserve"> can we fix performance management? </w:t>
      </w:r>
      <w:r w:rsidRPr="00F7565F">
        <w:rPr>
          <w:color w:val="000000"/>
        </w:rPr>
        <w:t xml:space="preserve">Available at: </w:t>
      </w:r>
      <w:hyperlink r:id="rId20" w:history="1">
        <w:r w:rsidRPr="0016524F">
          <w:rPr>
            <w:rStyle w:val="Hyperlink"/>
          </w:rPr>
          <w:t>https://www.peoplemanagement.co.uk/article/1746081/fix-performance-management</w:t>
        </w:r>
      </w:hyperlink>
      <w:r w:rsidRPr="00F7565F">
        <w:rPr>
          <w:color w:val="000000"/>
        </w:rPr>
        <w:t xml:space="preserve"> (Accessed: </w:t>
      </w:r>
      <w:r>
        <w:rPr>
          <w:color w:val="000000"/>
        </w:rPr>
        <w:t xml:space="preserve">5 November 2025). </w:t>
      </w:r>
    </w:p>
    <w:p w14:paraId="607F618E" w14:textId="77777777" w:rsidR="0003175C" w:rsidRDefault="0003175C" w:rsidP="00C84663">
      <w:r>
        <w:t xml:space="preserve">Back, H, Bergman, E, M., and </w:t>
      </w:r>
      <w:proofErr w:type="spellStart"/>
      <w:r>
        <w:t>Wolfgan</w:t>
      </w:r>
      <w:proofErr w:type="spellEnd"/>
      <w:r>
        <w:t xml:space="preserve">, C.M. (2023) ‘Coalition bargaining time and governments’ policy-making productivity’, </w:t>
      </w:r>
      <w:r w:rsidRPr="00C84663">
        <w:rPr>
          <w:i/>
          <w:iCs/>
        </w:rPr>
        <w:t>European Journal of Political Research,</w:t>
      </w:r>
      <w:r w:rsidRPr="00701652">
        <w:t xml:space="preserve">63, pp.1263-1285. </w:t>
      </w:r>
      <w:r>
        <w:t xml:space="preserve">Available at: </w:t>
      </w:r>
      <w:hyperlink r:id="rId21" w:history="1">
        <w:r w:rsidRPr="00860D47">
          <w:rPr>
            <w:rStyle w:val="Hyperlink"/>
          </w:rPr>
          <w:t>https://ejpr.onlinelibrary.wiley.com/doi/10.1111/1475-6765.12651</w:t>
        </w:r>
      </w:hyperlink>
      <w:r>
        <w:t xml:space="preserve"> (Accessed: 25 October 2025).</w:t>
      </w:r>
    </w:p>
    <w:p w14:paraId="11CE7EB9" w14:textId="77777777" w:rsidR="0003175C" w:rsidRPr="00CB14E6" w:rsidRDefault="0003175C" w:rsidP="00C84663">
      <w:r w:rsidRPr="00CB14E6">
        <w:t xml:space="preserve">Backhaus, K. and Tikoo, S. (2004) ‘Conceptualizing and researching employer branding’, </w:t>
      </w:r>
      <w:r w:rsidRPr="0062123D">
        <w:rPr>
          <w:i/>
          <w:iCs/>
        </w:rPr>
        <w:t>Career Development International</w:t>
      </w:r>
      <w:r w:rsidRPr="00CB14E6">
        <w:t xml:space="preserve">, 9(5), pp. 501–517. Available at: </w:t>
      </w:r>
      <w:hyperlink r:id="rId22" w:history="1">
        <w:r w:rsidRPr="00C84663">
          <w:rPr>
            <w:rStyle w:val="Hyperlink"/>
            <w:rFonts w:cs="Arial"/>
            <w:szCs w:val="24"/>
          </w:rPr>
          <w:t>https://doi.org/10.1108/13620430410550754</w:t>
        </w:r>
      </w:hyperlink>
      <w:r>
        <w:t xml:space="preserve"> </w:t>
      </w:r>
      <w:r w:rsidRPr="00CB14E6">
        <w:t xml:space="preserve"> (Accessed: 25 October 2025).</w:t>
      </w:r>
    </w:p>
    <w:p w14:paraId="39E03588" w14:textId="77777777" w:rsidR="0003175C" w:rsidRDefault="0003175C" w:rsidP="00C84663">
      <w:r>
        <w:t xml:space="preserve">Balassone, F., Giordano, R. (2001) ‘Budget Deficits and Coalition Governments’, </w:t>
      </w:r>
      <w:r w:rsidRPr="00C84663">
        <w:rPr>
          <w:i/>
          <w:iCs/>
        </w:rPr>
        <w:t xml:space="preserve">Public Choice, </w:t>
      </w:r>
      <w:r>
        <w:t xml:space="preserve">106, pp.327-349. Available at: </w:t>
      </w:r>
      <w:hyperlink r:id="rId23" w:history="1">
        <w:r w:rsidRPr="00B4475A">
          <w:rPr>
            <w:rStyle w:val="Hyperlink"/>
          </w:rPr>
          <w:t>https://link.springer.com/article/10.1023/A:1005187827895</w:t>
        </w:r>
      </w:hyperlink>
      <w:r>
        <w:t xml:space="preserve"> (Accessed: 25 October 2025). </w:t>
      </w:r>
    </w:p>
    <w:p w14:paraId="69727054" w14:textId="0D47302A" w:rsidR="0003175C" w:rsidRPr="00CB14E6" w:rsidRDefault="0003175C" w:rsidP="00C84663">
      <w:r w:rsidRPr="00FB047A">
        <w:lastRenderedPageBreak/>
        <w:t xml:space="preserve">Barends, E., Rousseau, D. and </w:t>
      </w:r>
      <w:proofErr w:type="spellStart"/>
      <w:r w:rsidRPr="00FB047A">
        <w:t>Wietrak</w:t>
      </w:r>
      <w:proofErr w:type="spellEnd"/>
      <w:r w:rsidRPr="00FB047A">
        <w:t xml:space="preserve">, E. (2022) People performance models: an evidence review. Scientific Summary. </w:t>
      </w:r>
      <w:r>
        <w:t xml:space="preserve"> Available at: </w:t>
      </w:r>
      <w:hyperlink r:id="rId24" w:history="1">
        <w:r w:rsidRPr="00B4475A">
          <w:rPr>
            <w:rStyle w:val="Hyperlink"/>
          </w:rPr>
          <w:t>https://www.cipd.org/globalassets/media/knowledge/knowledge-hub/evidence-reviews/people-performance-scientific-summary_tcm18-109856.pdf</w:t>
        </w:r>
      </w:hyperlink>
      <w:r>
        <w:t xml:space="preserve"> (Accessed: 1 November 2025). </w:t>
      </w:r>
    </w:p>
    <w:p w14:paraId="664C431F" w14:textId="77777777" w:rsidR="0003175C" w:rsidRDefault="0003175C" w:rsidP="00C84663">
      <w:r w:rsidRPr="00CB14E6">
        <w:t xml:space="preserve">Barney, J. B. (1991) ‘Firm resources and sustained competitive advantage’, </w:t>
      </w:r>
      <w:r w:rsidRPr="0062123D">
        <w:rPr>
          <w:i/>
          <w:iCs/>
        </w:rPr>
        <w:t>Journal of Management</w:t>
      </w:r>
      <w:r w:rsidRPr="00CB14E6">
        <w:t xml:space="preserve">, 17(1), pp. 99–120. Available at: </w:t>
      </w:r>
      <w:hyperlink r:id="rId25" w:history="1">
        <w:r w:rsidRPr="00C84663">
          <w:rPr>
            <w:rStyle w:val="Hyperlink"/>
            <w:rFonts w:cs="Arial"/>
            <w:szCs w:val="24"/>
          </w:rPr>
          <w:t>https://doi.org/10.1177/014920639101700108</w:t>
        </w:r>
      </w:hyperlink>
      <w:r>
        <w:t xml:space="preserve"> </w:t>
      </w:r>
      <w:r w:rsidRPr="00CB14E6">
        <w:t>(Accessed: 25 October 2025).</w:t>
      </w:r>
    </w:p>
    <w:p w14:paraId="16B7D8BA" w14:textId="77777777" w:rsidR="0003175C" w:rsidRDefault="0003175C" w:rsidP="00C84663">
      <w:r>
        <w:t xml:space="preserve">Bastida, M, Garcia, V, A., Tain, V, A, M., Araaujo, R, M. (2025) ‘From automation to augmentation: Human resource’s journey with artificial intelligence’, </w:t>
      </w:r>
      <w:r w:rsidRPr="00C84663">
        <w:rPr>
          <w:i/>
          <w:iCs/>
        </w:rPr>
        <w:t xml:space="preserve">Journal of Industrial Information Integration, </w:t>
      </w:r>
      <w:r>
        <w:t xml:space="preserve">46. Available at: </w:t>
      </w:r>
      <w:hyperlink r:id="rId26" w:history="1">
        <w:r w:rsidRPr="00B4475A">
          <w:rPr>
            <w:rStyle w:val="Hyperlink"/>
          </w:rPr>
          <w:t>https://www.sciencedirect.com/science/article/pii/S2452414X25000950</w:t>
        </w:r>
      </w:hyperlink>
      <w:r>
        <w:t xml:space="preserve"> (Accessed: 25 October 2025). </w:t>
      </w:r>
    </w:p>
    <w:p w14:paraId="03FF1309" w14:textId="494B4039" w:rsidR="008A4697" w:rsidRPr="0026723E" w:rsidRDefault="008A4697" w:rsidP="00C84663">
      <w:pPr>
        <w:rPr>
          <w:rFonts w:cs="Arial"/>
          <w:szCs w:val="24"/>
        </w:rPr>
      </w:pPr>
      <w:proofErr w:type="spellStart"/>
      <w:r w:rsidRPr="00C310B7">
        <w:rPr>
          <w:rFonts w:cs="Arial"/>
          <w:szCs w:val="24"/>
        </w:rPr>
        <w:t>Battisa</w:t>
      </w:r>
      <w:proofErr w:type="spellEnd"/>
      <w:r w:rsidRPr="00C310B7">
        <w:rPr>
          <w:rFonts w:cs="Arial"/>
          <w:szCs w:val="24"/>
        </w:rPr>
        <w:t xml:space="preserve">, A. (2024) </w:t>
      </w:r>
      <w:r w:rsidRPr="00C310B7">
        <w:rPr>
          <w:rFonts w:cs="Arial"/>
          <w:i/>
          <w:iCs/>
          <w:szCs w:val="24"/>
        </w:rPr>
        <w:t>PESTLE analysis</w:t>
      </w:r>
      <w:r w:rsidRPr="00C310B7">
        <w:rPr>
          <w:rFonts w:cs="Arial"/>
          <w:szCs w:val="24"/>
        </w:rPr>
        <w:t xml:space="preserve">. Available at:  </w:t>
      </w:r>
      <w:hyperlink r:id="rId27" w:history="1">
        <w:r w:rsidRPr="00C310B7">
          <w:rPr>
            <w:rStyle w:val="Hyperlink"/>
            <w:rFonts w:cs="Arial"/>
            <w:szCs w:val="24"/>
          </w:rPr>
          <w:t>https://www.cipd.org/uk/knowledge/factsheets/pestle-analysis-factsheet/</w:t>
        </w:r>
      </w:hyperlink>
      <w:r w:rsidRPr="00C310B7">
        <w:rPr>
          <w:rFonts w:cs="Arial"/>
          <w:szCs w:val="24"/>
        </w:rPr>
        <w:t xml:space="preserve"> (Accessed: </w:t>
      </w:r>
      <w:r w:rsidR="0026723E">
        <w:rPr>
          <w:rFonts w:cs="Arial"/>
          <w:szCs w:val="24"/>
        </w:rPr>
        <w:t>25 October 2025</w:t>
      </w:r>
      <w:r w:rsidRPr="00C310B7">
        <w:rPr>
          <w:rFonts w:cs="Arial"/>
          <w:szCs w:val="24"/>
        </w:rPr>
        <w:t xml:space="preserve">). </w:t>
      </w:r>
    </w:p>
    <w:p w14:paraId="26021098" w14:textId="77777777" w:rsidR="0003175C" w:rsidRPr="000B4727" w:rsidRDefault="0003175C" w:rsidP="00C84663">
      <w:r>
        <w:t xml:space="preserve">Bera, A. (2021) ‘In Search of Outcomes of a Psychological Contract in Public Organisation’, </w:t>
      </w:r>
      <w:r w:rsidRPr="00C84663">
        <w:rPr>
          <w:i/>
          <w:iCs/>
        </w:rPr>
        <w:t xml:space="preserve">International Journal of Contemporary Management, </w:t>
      </w:r>
      <w:r>
        <w:t xml:space="preserve">57(2), pp.9-18. Available at: </w:t>
      </w:r>
      <w:hyperlink r:id="rId28" w:history="1">
        <w:r w:rsidRPr="00B4475A">
          <w:rPr>
            <w:rStyle w:val="Hyperlink"/>
          </w:rPr>
          <w:t>https://doi.org/10.2478/ijcm-2021-0005</w:t>
        </w:r>
      </w:hyperlink>
      <w:r>
        <w:t xml:space="preserve"> (Accessed: 1 November 2025). </w:t>
      </w:r>
    </w:p>
    <w:p w14:paraId="38435376" w14:textId="77777777" w:rsidR="0003175C" w:rsidRDefault="0003175C" w:rsidP="00C84663">
      <w:r>
        <w:t>Bergman, E., Angelova, M, Back, H., Muller, W.C. (2023) ‘</w:t>
      </w:r>
      <w:r w:rsidRPr="00D31223">
        <w:t>Coalition agreements and governments’ policy-making productivity</w:t>
      </w:r>
      <w:r>
        <w:t xml:space="preserve">’, </w:t>
      </w:r>
      <w:r w:rsidRPr="0062123D">
        <w:rPr>
          <w:i/>
          <w:iCs/>
        </w:rPr>
        <w:t>West European Politics</w:t>
      </w:r>
      <w:r w:rsidRPr="00D31223">
        <w:t xml:space="preserve">, 47(1), </w:t>
      </w:r>
      <w:r>
        <w:t>pp.</w:t>
      </w:r>
      <w:r w:rsidRPr="00D31223">
        <w:t xml:space="preserve">31–60. </w:t>
      </w:r>
      <w:hyperlink r:id="rId29" w:history="1">
        <w:r w:rsidRPr="00B4475A">
          <w:rPr>
            <w:rStyle w:val="Hyperlink"/>
          </w:rPr>
          <w:t>https://doi.org/10.1080/01402382.2022.2161794</w:t>
        </w:r>
      </w:hyperlink>
      <w:r>
        <w:t xml:space="preserve"> (Accessed: 25 October 2025).</w:t>
      </w:r>
    </w:p>
    <w:p w14:paraId="09E5B135" w14:textId="77777777" w:rsidR="0003175C" w:rsidRDefault="0003175C" w:rsidP="00C84663">
      <w:r w:rsidRPr="00CB14E6">
        <w:t xml:space="preserve">Bloom, N., Davis, S. J. and </w:t>
      </w:r>
      <w:proofErr w:type="spellStart"/>
      <w:r w:rsidRPr="00CB14E6">
        <w:t>Zhestkova</w:t>
      </w:r>
      <w:proofErr w:type="spellEnd"/>
      <w:r w:rsidRPr="00CB14E6">
        <w:t xml:space="preserve">, Y. (2023) ‘The future of working from home’, </w:t>
      </w:r>
      <w:r w:rsidRPr="0062123D">
        <w:rPr>
          <w:i/>
          <w:iCs/>
        </w:rPr>
        <w:t>Review of Economics and Statistics</w:t>
      </w:r>
      <w:r w:rsidRPr="00CB14E6">
        <w:t xml:space="preserve">, 105(4), pp. 718–734. Available at: </w:t>
      </w:r>
      <w:hyperlink r:id="rId30" w:history="1">
        <w:r w:rsidRPr="00C84663">
          <w:rPr>
            <w:rStyle w:val="Hyperlink"/>
            <w:rFonts w:cs="Arial"/>
            <w:szCs w:val="24"/>
          </w:rPr>
          <w:t>https://doi.org/10.1162/rest_a_01294</w:t>
        </w:r>
      </w:hyperlink>
      <w:r>
        <w:t xml:space="preserve"> </w:t>
      </w:r>
      <w:r w:rsidRPr="00CB14E6">
        <w:t>(Accessed: 25 October 2025).</w:t>
      </w:r>
    </w:p>
    <w:p w14:paraId="4BCC01D7" w14:textId="6C5AC52F" w:rsidR="0003175C" w:rsidRPr="00C87932" w:rsidRDefault="0003175C" w:rsidP="00C87932">
      <w:r>
        <w:t xml:space="preserve">Bon. E. (2025) </w:t>
      </w:r>
      <w:r>
        <w:rPr>
          <w:i/>
          <w:iCs/>
        </w:rPr>
        <w:t xml:space="preserve">Labour Market Outlook – spring 2025. </w:t>
      </w:r>
      <w:r>
        <w:t xml:space="preserve">Available at: </w:t>
      </w:r>
      <w:hyperlink r:id="rId31" w:history="1">
        <w:r w:rsidRPr="00FC6FE4">
          <w:rPr>
            <w:rStyle w:val="Hyperlink"/>
          </w:rPr>
          <w:t>https://www.cipd.org/contentassets/cf73843a106949d9b16ac2bc9b526278/8869-lmo-spring-2025-web.pdf</w:t>
        </w:r>
      </w:hyperlink>
      <w:r>
        <w:t xml:space="preserve"> (Accessed: 5 November 2025). </w:t>
      </w:r>
    </w:p>
    <w:p w14:paraId="6C6F68CC" w14:textId="77777777" w:rsidR="0003175C" w:rsidRDefault="0003175C" w:rsidP="00C84663">
      <w:r>
        <w:t xml:space="preserve">Brown, L. (2024) </w:t>
      </w:r>
      <w:r w:rsidRPr="00C84663">
        <w:rPr>
          <w:i/>
          <w:iCs/>
        </w:rPr>
        <w:t xml:space="preserve">Job security overtakes pay as top priority for </w:t>
      </w:r>
      <w:proofErr w:type="gramStart"/>
      <w:r w:rsidRPr="00C84663">
        <w:rPr>
          <w:i/>
          <w:iCs/>
        </w:rPr>
        <w:t>employees,</w:t>
      </w:r>
      <w:proofErr w:type="gramEnd"/>
      <w:r w:rsidRPr="00C84663">
        <w:rPr>
          <w:i/>
          <w:iCs/>
        </w:rPr>
        <w:t xml:space="preserve"> survey finds.</w:t>
      </w:r>
      <w:r>
        <w:rPr>
          <w:i/>
          <w:iCs/>
        </w:rPr>
        <w:t xml:space="preserve"> </w:t>
      </w:r>
      <w:r>
        <w:t xml:space="preserve">Available at: </w:t>
      </w:r>
      <w:r w:rsidRPr="00C84663">
        <w:rPr>
          <w:i/>
          <w:iCs/>
        </w:rPr>
        <w:t xml:space="preserve"> </w:t>
      </w:r>
      <w:hyperlink r:id="rId32" w:history="1">
        <w:r w:rsidRPr="00B4475A">
          <w:rPr>
            <w:rStyle w:val="Hyperlink"/>
          </w:rPr>
          <w:t>https://www.peoplemanagement.co.uk/article/1886633/job-security-overtakes-pay-top-priority-employees-survey-finds</w:t>
        </w:r>
      </w:hyperlink>
      <w:r>
        <w:t xml:space="preserve"> (Accessed: 25 October 2025).</w:t>
      </w:r>
    </w:p>
    <w:p w14:paraId="09145632" w14:textId="77777777" w:rsidR="0003175C" w:rsidRPr="00400732" w:rsidRDefault="0003175C" w:rsidP="00C84663">
      <w:r>
        <w:t xml:space="preserve">Brown, L. (2024) </w:t>
      </w:r>
      <w:r>
        <w:rPr>
          <w:i/>
          <w:iCs/>
        </w:rPr>
        <w:t xml:space="preserve">Quarter of businesses ghosted by new recruits on day one, CIPD research finds. </w:t>
      </w:r>
      <w:r>
        <w:t xml:space="preserve">Available at: </w:t>
      </w:r>
      <w:hyperlink r:id="rId33" w:history="1">
        <w:r w:rsidRPr="00FC6FE4">
          <w:rPr>
            <w:rStyle w:val="Hyperlink"/>
          </w:rPr>
          <w:t>https://www.peoplemanagement.co.uk/article/1889907/quarter-businesses-ghosted-new-recruits-day-one-cipd-research-finds</w:t>
        </w:r>
      </w:hyperlink>
      <w:r>
        <w:t xml:space="preserve"> (Accessed: 5 November 2025). </w:t>
      </w:r>
    </w:p>
    <w:p w14:paraId="6C3B67D8" w14:textId="77777777" w:rsidR="0003175C" w:rsidRPr="00CB14E6" w:rsidRDefault="0003175C" w:rsidP="00C84663">
      <w:r w:rsidRPr="00CB14E6">
        <w:t xml:space="preserve">Cappelli, P. (2020) ‘AI in HR: Separating reality from hype’, </w:t>
      </w:r>
      <w:r w:rsidRPr="0062123D">
        <w:rPr>
          <w:i/>
          <w:iCs/>
        </w:rPr>
        <w:t>MIT Sloan Management Review</w:t>
      </w:r>
      <w:r w:rsidRPr="00CB14E6">
        <w:t xml:space="preserve">, 61(4), pp. 23–27. Available at: </w:t>
      </w:r>
      <w:hyperlink r:id="rId34" w:history="1">
        <w:r w:rsidRPr="00C84663">
          <w:rPr>
            <w:rStyle w:val="Hyperlink"/>
            <w:rFonts w:cs="Arial"/>
            <w:szCs w:val="24"/>
          </w:rPr>
          <w:t>https://sloanreview.mit.edu/article/ai-in-hr-separating-reality-from-hype/</w:t>
        </w:r>
      </w:hyperlink>
      <w:r>
        <w:t xml:space="preserve"> </w:t>
      </w:r>
      <w:r w:rsidRPr="00CB14E6">
        <w:t xml:space="preserve"> (Accessed: 25 October 2025).</w:t>
      </w:r>
    </w:p>
    <w:p w14:paraId="3E0BC5B3" w14:textId="77777777" w:rsidR="0003175C" w:rsidRDefault="0003175C" w:rsidP="00C84663">
      <w:r>
        <w:lastRenderedPageBreak/>
        <w:t xml:space="preserve">CIPD. (2017) </w:t>
      </w:r>
      <w:r w:rsidRPr="00C84663">
        <w:rPr>
          <w:i/>
          <w:iCs/>
        </w:rPr>
        <w:t>The maturity model.</w:t>
      </w:r>
      <w:r>
        <w:t xml:space="preserve"> Available at: </w:t>
      </w:r>
      <w:hyperlink r:id="rId35" w:history="1">
        <w:r w:rsidRPr="00C84663">
          <w:rPr>
            <w:rStyle w:val="Hyperlink"/>
            <w:rFonts w:cs="Arial"/>
            <w:szCs w:val="24"/>
          </w:rPr>
          <w:t>https://www.cipd.org/globalassets/media/knowledge/knowledge-hub/reports/maturity-model.pdf</w:t>
        </w:r>
      </w:hyperlink>
      <w:r>
        <w:t>. (Accessed: 25 October 2025).</w:t>
      </w:r>
    </w:p>
    <w:p w14:paraId="64AC4429" w14:textId="77777777" w:rsidR="0003175C" w:rsidRDefault="0003175C" w:rsidP="00C84663">
      <w:r>
        <w:t xml:space="preserve">CIPD. (2025) </w:t>
      </w:r>
      <w:r w:rsidRPr="00C84663">
        <w:rPr>
          <w:i/>
          <w:iCs/>
        </w:rPr>
        <w:t xml:space="preserve">Strategic workforce planning: Guide for people professionals. </w:t>
      </w:r>
      <w:r>
        <w:t xml:space="preserve">Available at: </w:t>
      </w:r>
      <w:hyperlink r:id="rId36" w:history="1">
        <w:r w:rsidRPr="00B4475A">
          <w:rPr>
            <w:rStyle w:val="Hyperlink"/>
          </w:rPr>
          <w:t>https://www.cipd.org/uk/knowledge/guides/strategic-workforce-planning/</w:t>
        </w:r>
      </w:hyperlink>
      <w:r>
        <w:t xml:space="preserve">. (Accessed: 25 October 2025).  </w:t>
      </w:r>
    </w:p>
    <w:p w14:paraId="0BAB1CAA" w14:textId="0CB0EA38" w:rsidR="007744C3" w:rsidRPr="00A977E9" w:rsidRDefault="007744C3" w:rsidP="00C84663">
      <w:r>
        <w:t>Civil Service</w:t>
      </w:r>
      <w:r w:rsidR="00A977E9">
        <w:t xml:space="preserve">. (2018) </w:t>
      </w:r>
      <w:r w:rsidR="00A977E9">
        <w:rPr>
          <w:i/>
          <w:iCs/>
        </w:rPr>
        <w:t xml:space="preserve">Recruitment Principles. </w:t>
      </w:r>
      <w:r w:rsidR="00A977E9">
        <w:t xml:space="preserve">Available at: </w:t>
      </w:r>
      <w:hyperlink r:id="rId37" w:history="1">
        <w:r w:rsidR="009164E6" w:rsidRPr="001C688A">
          <w:rPr>
            <w:rStyle w:val="Hyperlink"/>
          </w:rPr>
          <w:t>https://civilservicecommission.independent.gov.uk/wp-content/uploads/2019/03/02a_RECRUITMENT-PRINCIPLES-April-2018-FINAL-.pdf</w:t>
        </w:r>
      </w:hyperlink>
      <w:r w:rsidR="009164E6">
        <w:t xml:space="preserve"> (Accessed: 5 November 2025). </w:t>
      </w:r>
    </w:p>
    <w:p w14:paraId="3FBFB475" w14:textId="77777777" w:rsidR="0003175C" w:rsidRPr="00CB14E6" w:rsidRDefault="0003175C" w:rsidP="00C84663">
      <w:r w:rsidRPr="00CB14E6">
        <w:t xml:space="preserve">Collings, D. G. and </w:t>
      </w:r>
      <w:proofErr w:type="spellStart"/>
      <w:r w:rsidRPr="00CB14E6">
        <w:t>Mellahi</w:t>
      </w:r>
      <w:proofErr w:type="spellEnd"/>
      <w:r w:rsidRPr="00CB14E6">
        <w:t xml:space="preserve">, K. (2009) ‘Strategic talent management: A review and research agenda’, </w:t>
      </w:r>
      <w:r w:rsidRPr="0062123D">
        <w:rPr>
          <w:i/>
          <w:iCs/>
        </w:rPr>
        <w:t>Human Resource Management Review</w:t>
      </w:r>
      <w:r w:rsidRPr="00CB14E6">
        <w:t xml:space="preserve">, 19(4), pp. 304–313. Available at: </w:t>
      </w:r>
      <w:hyperlink r:id="rId38" w:history="1">
        <w:r w:rsidRPr="00C84663">
          <w:rPr>
            <w:rStyle w:val="Hyperlink"/>
            <w:rFonts w:cs="Arial"/>
            <w:szCs w:val="24"/>
          </w:rPr>
          <w:t>https://doi.org/10.1016/j.hrmr.2009.04.001</w:t>
        </w:r>
      </w:hyperlink>
      <w:r>
        <w:t xml:space="preserve"> </w:t>
      </w:r>
      <w:r w:rsidRPr="00CB14E6">
        <w:t>(Accessed: 25 October 2025).</w:t>
      </w:r>
    </w:p>
    <w:p w14:paraId="387AC4FF" w14:textId="77777777" w:rsidR="0003175C" w:rsidRPr="00CB14E6" w:rsidRDefault="0003175C" w:rsidP="00C84663">
      <w:r w:rsidRPr="00CB14E6">
        <w:t xml:space="preserve">Cox, T. and Blake, S. (1991) ‘Managing cultural diversity: Implications for organizational competitiveness’, </w:t>
      </w:r>
      <w:r w:rsidRPr="0062123D">
        <w:rPr>
          <w:i/>
          <w:iCs/>
        </w:rPr>
        <w:t>Academy of Management Executive</w:t>
      </w:r>
      <w:r w:rsidRPr="00CB14E6">
        <w:t xml:space="preserve">, 5(3), pp. 45–56. Available at: </w:t>
      </w:r>
      <w:hyperlink r:id="rId39" w:history="1">
        <w:r w:rsidRPr="00C84663">
          <w:rPr>
            <w:rStyle w:val="Hyperlink"/>
            <w:rFonts w:cs="Arial"/>
            <w:szCs w:val="24"/>
          </w:rPr>
          <w:t>https://doi.org/10.5465/ame.1991.4274465</w:t>
        </w:r>
      </w:hyperlink>
      <w:r>
        <w:t xml:space="preserve"> </w:t>
      </w:r>
      <w:r w:rsidRPr="00CB14E6">
        <w:t>(Accessed: 25 October 2025).</w:t>
      </w:r>
    </w:p>
    <w:p w14:paraId="58E431F8" w14:textId="77777777" w:rsidR="0003175C" w:rsidRPr="00CB14E6" w:rsidRDefault="0003175C" w:rsidP="00C84663">
      <w:proofErr w:type="spellStart"/>
      <w:r w:rsidRPr="00CB14E6">
        <w:t>Cropanzano</w:t>
      </w:r>
      <w:proofErr w:type="spellEnd"/>
      <w:r w:rsidRPr="00CB14E6">
        <w:t xml:space="preserve">, R. and Mitchell, M. S. (2005) ‘Social exchange theory: An interdisciplinary review’, </w:t>
      </w:r>
      <w:r w:rsidRPr="0062123D">
        <w:rPr>
          <w:i/>
          <w:iCs/>
        </w:rPr>
        <w:t>Journal of Management</w:t>
      </w:r>
      <w:r w:rsidRPr="00CB14E6">
        <w:t xml:space="preserve">, 31(6), pp. 874–900. Available at: </w:t>
      </w:r>
      <w:hyperlink r:id="rId40" w:history="1">
        <w:r w:rsidRPr="00C84663">
          <w:rPr>
            <w:rStyle w:val="Hyperlink"/>
            <w:rFonts w:cs="Arial"/>
            <w:szCs w:val="24"/>
          </w:rPr>
          <w:t>https://doi.org/10.1177/0149206305279602</w:t>
        </w:r>
      </w:hyperlink>
      <w:r>
        <w:t xml:space="preserve"> </w:t>
      </w:r>
      <w:r w:rsidRPr="00CB14E6">
        <w:t>(Accessed: 25 October 2025).</w:t>
      </w:r>
    </w:p>
    <w:p w14:paraId="455DCDF0" w14:textId="77777777" w:rsidR="0003175C" w:rsidRDefault="0003175C" w:rsidP="00C84663">
      <w:r>
        <w:t xml:space="preserve">Crowell, B. (2017) </w:t>
      </w:r>
      <w:r w:rsidRPr="00C84663">
        <w:rPr>
          <w:i/>
          <w:iCs/>
        </w:rPr>
        <w:t xml:space="preserve">Elevating the Employee Experience. Available at: </w:t>
      </w:r>
      <w:hyperlink r:id="rId41" w:history="1">
        <w:r w:rsidRPr="00B4475A">
          <w:rPr>
            <w:rStyle w:val="Hyperlink"/>
          </w:rPr>
          <w:t>https://www.td.org/content/td-magazine/elevating-the-employee-experience</w:t>
        </w:r>
      </w:hyperlink>
      <w:r>
        <w:t xml:space="preserve"> </w:t>
      </w:r>
      <w:r w:rsidRPr="00064B3E">
        <w:t xml:space="preserve"> </w:t>
      </w:r>
      <w:r>
        <w:t xml:space="preserve">(Accessed: 25 October 2025). </w:t>
      </w:r>
    </w:p>
    <w:p w14:paraId="42B3B7B4" w14:textId="609774AE" w:rsidR="00E0710B" w:rsidRPr="00A45756" w:rsidRDefault="00E0710B" w:rsidP="00C84663">
      <w:proofErr w:type="spellStart"/>
      <w:r>
        <w:t>Dadheech</w:t>
      </w:r>
      <w:proofErr w:type="spellEnd"/>
      <w:r>
        <w:t xml:space="preserve">, R, Karichalil, </w:t>
      </w:r>
      <w:proofErr w:type="gramStart"/>
      <w:r>
        <w:t>A.R,.</w:t>
      </w:r>
      <w:proofErr w:type="gramEnd"/>
      <w:r>
        <w:t xml:space="preserve"> Sunada, K., Navdeep, S., (2025) </w:t>
      </w:r>
      <w:r w:rsidR="00A45756" w:rsidRPr="00A45756">
        <w:t>‘</w:t>
      </w:r>
      <w:r w:rsidRPr="00A45756">
        <w:t>AI in Recruitment Enhancing Efficiency or Replacing Human Judgement</w:t>
      </w:r>
      <w:r w:rsidR="00A45756" w:rsidRPr="00A45756">
        <w:t>’,</w:t>
      </w:r>
      <w:r w:rsidR="00A45756">
        <w:t xml:space="preserve"> </w:t>
      </w:r>
      <w:r w:rsidR="00A45756">
        <w:rPr>
          <w:i/>
          <w:iCs/>
        </w:rPr>
        <w:t xml:space="preserve">Journal of Informatics Education and Research, </w:t>
      </w:r>
      <w:r w:rsidR="00A45756">
        <w:t xml:space="preserve">5(2). Available at: </w:t>
      </w:r>
      <w:hyperlink r:id="rId42" w:history="1">
        <w:r w:rsidR="00262448" w:rsidRPr="00CC3307">
          <w:rPr>
            <w:rStyle w:val="Hyperlink"/>
          </w:rPr>
          <w:t>https://jier.org/index.php/journal/article/view/2817</w:t>
        </w:r>
      </w:hyperlink>
      <w:r w:rsidR="00262448">
        <w:t xml:space="preserve"> (Accessed: 5 November 2025). </w:t>
      </w:r>
    </w:p>
    <w:p w14:paraId="3AB237AB" w14:textId="77777777" w:rsidR="0003175C" w:rsidRPr="00C84663" w:rsidRDefault="0003175C" w:rsidP="00C84663">
      <w:pPr>
        <w:rPr>
          <w:rFonts w:eastAsiaTheme="majorEastAsia"/>
        </w:rPr>
      </w:pPr>
      <w:proofErr w:type="spellStart"/>
      <w:r w:rsidRPr="00C84663">
        <w:rPr>
          <w:rFonts w:eastAsiaTheme="majorEastAsia"/>
        </w:rPr>
        <w:t>Dajnoki</w:t>
      </w:r>
      <w:proofErr w:type="spellEnd"/>
      <w:r w:rsidRPr="00C84663">
        <w:rPr>
          <w:rFonts w:eastAsiaTheme="majorEastAsia"/>
        </w:rPr>
        <w:t xml:space="preserve">, K., and </w:t>
      </w:r>
      <w:proofErr w:type="spellStart"/>
      <w:r>
        <w:rPr>
          <w:rFonts w:eastAsiaTheme="majorEastAsia"/>
        </w:rPr>
        <w:t>Dalahmeh</w:t>
      </w:r>
      <w:proofErr w:type="spellEnd"/>
      <w:r>
        <w:rPr>
          <w:rFonts w:eastAsiaTheme="majorEastAsia"/>
        </w:rPr>
        <w:t>, M</w:t>
      </w:r>
      <w:r w:rsidRPr="00C84663">
        <w:rPr>
          <w:rFonts w:eastAsiaTheme="majorEastAsia"/>
        </w:rPr>
        <w:t xml:space="preserve">. (2020) ‘Do Talent Management Practices Affect Organisational Culture?’ </w:t>
      </w:r>
      <w:r w:rsidRPr="00C84663">
        <w:rPr>
          <w:rFonts w:eastAsiaTheme="majorEastAsia"/>
          <w:i/>
          <w:iCs/>
        </w:rPr>
        <w:t xml:space="preserve">International Journal of Engineering and Management Sciences, </w:t>
      </w:r>
      <w:r w:rsidRPr="00C84663">
        <w:rPr>
          <w:rFonts w:eastAsiaTheme="majorEastAsia"/>
        </w:rPr>
        <w:t>5(1), pp.495-506. Available at:</w:t>
      </w:r>
      <w:r w:rsidRPr="00C84663">
        <w:rPr>
          <w:rFonts w:eastAsiaTheme="majorEastAsia"/>
          <w:i/>
          <w:iCs/>
        </w:rPr>
        <w:t xml:space="preserve"> </w:t>
      </w:r>
      <w:hyperlink r:id="rId43" w:history="1">
        <w:r w:rsidRPr="00C84663">
          <w:rPr>
            <w:rStyle w:val="Hyperlink"/>
            <w:rFonts w:eastAsiaTheme="majorEastAsia"/>
          </w:rPr>
          <w:t>https://www.researchgate.net/publication/341562611_Do_Talent_Management_Practices_Affect_Organizational_Culture</w:t>
        </w:r>
      </w:hyperlink>
      <w:r w:rsidRPr="00C84663">
        <w:rPr>
          <w:rFonts w:eastAsiaTheme="majorEastAsia"/>
          <w:i/>
          <w:iCs/>
        </w:rPr>
        <w:t xml:space="preserve"> </w:t>
      </w:r>
      <w:r w:rsidRPr="00C84663">
        <w:rPr>
          <w:rFonts w:eastAsiaTheme="majorEastAsia"/>
        </w:rPr>
        <w:t xml:space="preserve">(Accessed: 1 November 2025). </w:t>
      </w:r>
      <w:r w:rsidRPr="00CB14E6">
        <w:t>.</w:t>
      </w:r>
    </w:p>
    <w:p w14:paraId="620E7FE6" w14:textId="77777777" w:rsidR="0003175C" w:rsidRDefault="0003175C" w:rsidP="00C84663">
      <w:r w:rsidRPr="007622DB">
        <w:t xml:space="preserve">Davies, D., and Deans, D. (2025) </w:t>
      </w:r>
      <w:r w:rsidRPr="00C84663">
        <w:rPr>
          <w:i/>
          <w:iCs/>
        </w:rPr>
        <w:t xml:space="preserve">Spending cuts loom if Drakeford budget falls in Senedd. </w:t>
      </w:r>
      <w:r w:rsidRPr="007622DB">
        <w:t xml:space="preserve">Available at: </w:t>
      </w:r>
      <w:hyperlink r:id="rId44" w:history="1">
        <w:r w:rsidRPr="00860D47">
          <w:rPr>
            <w:rStyle w:val="Hyperlink"/>
          </w:rPr>
          <w:t>https://www.bbc.co.uk/news/articles/c397krk2g77o</w:t>
        </w:r>
      </w:hyperlink>
      <w:r>
        <w:t xml:space="preserve"> (Accessed: 25 October 2025). </w:t>
      </w:r>
    </w:p>
    <w:p w14:paraId="614D8028" w14:textId="77777777" w:rsidR="0003175C" w:rsidRDefault="0003175C" w:rsidP="00C84663">
      <w:r>
        <w:t xml:space="preserve">Dean, D. (2025) </w:t>
      </w:r>
      <w:r w:rsidRPr="00C84663">
        <w:rPr>
          <w:i/>
          <w:iCs/>
        </w:rPr>
        <w:t xml:space="preserve">Senedd election could be seismic, expert says. </w:t>
      </w:r>
      <w:r>
        <w:t xml:space="preserve">Available at: </w:t>
      </w:r>
      <w:hyperlink r:id="rId45" w:history="1">
        <w:r w:rsidRPr="00B4475A">
          <w:rPr>
            <w:rStyle w:val="Hyperlink"/>
          </w:rPr>
          <w:t>https://www.bbc.co.uk/news/articles/c8ep2pgd9kko</w:t>
        </w:r>
      </w:hyperlink>
      <w:r>
        <w:t xml:space="preserve"> (Accessed: 25 October 2025).</w:t>
      </w:r>
    </w:p>
    <w:p w14:paraId="753A640E" w14:textId="77777777" w:rsidR="0003175C" w:rsidRDefault="0003175C" w:rsidP="00C84663">
      <w:r>
        <w:t xml:space="preserve">Deans, D. (2025) </w:t>
      </w:r>
      <w:r w:rsidRPr="00C84663">
        <w:rPr>
          <w:i/>
          <w:iCs/>
        </w:rPr>
        <w:t xml:space="preserve">Labour and Tories meet for talks on Welsh budget deal. </w:t>
      </w:r>
      <w:r>
        <w:t xml:space="preserve">Available at: </w:t>
      </w:r>
      <w:hyperlink r:id="rId46" w:history="1">
        <w:r w:rsidRPr="00860D47">
          <w:rPr>
            <w:rStyle w:val="Hyperlink"/>
          </w:rPr>
          <w:t>https://www.bbc.co.uk/news/articles/c1lqv7vlpe0o</w:t>
        </w:r>
      </w:hyperlink>
      <w:r>
        <w:t xml:space="preserve">  (Accessed: 25 October 2025). </w:t>
      </w:r>
    </w:p>
    <w:p w14:paraId="5C1D7202" w14:textId="77777777" w:rsidR="0003175C" w:rsidRDefault="0003175C" w:rsidP="00C84663">
      <w:r>
        <w:lastRenderedPageBreak/>
        <w:t xml:space="preserve">Durme, </w:t>
      </w:r>
      <w:proofErr w:type="gramStart"/>
      <w:r>
        <w:t>V,Y.</w:t>
      </w:r>
      <w:proofErr w:type="gramEnd"/>
      <w:r>
        <w:t xml:space="preserve">, Scoble-Williams, N., Eaton, K., Kirby, L., Griffiths, M., Poynton, S., Mallon, D., </w:t>
      </w:r>
      <w:proofErr w:type="spellStart"/>
      <w:proofErr w:type="gramStart"/>
      <w:r>
        <w:t>Forsythe,J</w:t>
      </w:r>
      <w:proofErr w:type="spellEnd"/>
      <w:r>
        <w:t>.</w:t>
      </w:r>
      <w:proofErr w:type="gramEnd"/>
      <w:r>
        <w:t xml:space="preserve"> (2023) </w:t>
      </w:r>
      <w:r w:rsidRPr="00C84663">
        <w:rPr>
          <w:i/>
          <w:iCs/>
        </w:rPr>
        <w:t xml:space="preserve">Deloitte 2023 Global Human Capital Trends: New fundamentals for a boundaryless world. </w:t>
      </w:r>
      <w:r>
        <w:t xml:space="preserve">Available at: </w:t>
      </w:r>
      <w:hyperlink r:id="rId47" w:history="1">
        <w:r w:rsidRPr="00B4475A">
          <w:rPr>
            <w:rStyle w:val="Hyperlink"/>
          </w:rPr>
          <w:t>https://www.deloitte.com/us/en/insights/topics/talent/human-capital-trends/2023/future-of-workforce-management.html</w:t>
        </w:r>
      </w:hyperlink>
      <w:r>
        <w:t xml:space="preserve"> (Accessed: 25 October 2025). </w:t>
      </w:r>
    </w:p>
    <w:p w14:paraId="7BBEA7D7" w14:textId="5DEB5834" w:rsidR="004D7169" w:rsidRDefault="004D7169" w:rsidP="004D7169">
      <w:pPr>
        <w:spacing w:after="0" w:line="240" w:lineRule="auto"/>
      </w:pPr>
      <w:r w:rsidRPr="00F7565F">
        <w:rPr>
          <w:rFonts w:cs="Arial"/>
          <w:color w:val="000000"/>
        </w:rPr>
        <w:t xml:space="preserve">Ehmann, S., </w:t>
      </w:r>
      <w:proofErr w:type="spellStart"/>
      <w:r w:rsidRPr="00F7565F">
        <w:rPr>
          <w:rFonts w:cs="Arial"/>
          <w:color w:val="000000"/>
        </w:rPr>
        <w:t>Kampkoetter</w:t>
      </w:r>
      <w:proofErr w:type="spellEnd"/>
      <w:r w:rsidRPr="00F7565F">
        <w:rPr>
          <w:rFonts w:cs="Arial"/>
          <w:color w:val="000000"/>
        </w:rPr>
        <w:t xml:space="preserve">, P., Maier, P, and Yang, P. (2024) ‘Performance management and work engagement – New evidence using longitudinal data’. </w:t>
      </w:r>
      <w:r w:rsidRPr="00F7565F">
        <w:rPr>
          <w:rFonts w:cs="Arial"/>
          <w:i/>
          <w:iCs/>
          <w:color w:val="000000"/>
        </w:rPr>
        <w:t xml:space="preserve">Management Accounting Research, </w:t>
      </w:r>
      <w:r w:rsidRPr="00F7565F">
        <w:rPr>
          <w:rFonts w:cs="Arial"/>
          <w:color w:val="000000"/>
        </w:rPr>
        <w:t>64, pp.100867. Available at:</w:t>
      </w:r>
      <w:r w:rsidRPr="0016524F">
        <w:t xml:space="preserve"> </w:t>
      </w:r>
      <w:hyperlink r:id="rId48" w:history="1">
        <w:r w:rsidRPr="00F7565F">
          <w:rPr>
            <w:rStyle w:val="Hyperlink"/>
            <w:rFonts w:cs="Arial"/>
          </w:rPr>
          <w:t>https://www-sciencedirect-com.ezproxy.uwtsd.ac.uk/science/article/pii/S1044500523000379</w:t>
        </w:r>
      </w:hyperlink>
      <w:r w:rsidRPr="00F7565F">
        <w:rPr>
          <w:rFonts w:cs="Arial"/>
          <w:color w:val="000000"/>
        </w:rPr>
        <w:t xml:space="preserve"> (Accessed: </w:t>
      </w:r>
      <w:r>
        <w:t>25 November 2025).</w:t>
      </w:r>
    </w:p>
    <w:p w14:paraId="6852E732" w14:textId="77777777" w:rsidR="004D7169" w:rsidRPr="00F27EB4" w:rsidRDefault="004D7169" w:rsidP="004D7169">
      <w:pPr>
        <w:spacing w:after="0" w:line="240" w:lineRule="auto"/>
      </w:pPr>
    </w:p>
    <w:p w14:paraId="70AB998E" w14:textId="77777777" w:rsidR="0003175C" w:rsidRDefault="0003175C" w:rsidP="00C84663">
      <w:proofErr w:type="spellStart"/>
      <w:r>
        <w:t>Elingrud</w:t>
      </w:r>
      <w:proofErr w:type="spellEnd"/>
      <w:r>
        <w:t xml:space="preserve">, K., Saurabh, S., </w:t>
      </w:r>
      <w:proofErr w:type="spellStart"/>
      <w:r>
        <w:t>Gurneeet</w:t>
      </w:r>
      <w:proofErr w:type="spellEnd"/>
      <w:r>
        <w:t xml:space="preserve">, S.D., </w:t>
      </w:r>
      <w:proofErr w:type="spellStart"/>
      <w:r>
        <w:t>Madgavkar</w:t>
      </w:r>
      <w:proofErr w:type="spellEnd"/>
      <w:r>
        <w:t xml:space="preserve">, A., Chui, M., White, O., and Hasebe, P. (2023) </w:t>
      </w:r>
      <w:r w:rsidRPr="00C84663">
        <w:rPr>
          <w:i/>
          <w:iCs/>
        </w:rPr>
        <w:t xml:space="preserve">Generative AI and the future of work in America. </w:t>
      </w:r>
      <w:r>
        <w:t xml:space="preserve">Available at: </w:t>
      </w:r>
      <w:hyperlink r:id="rId49" w:history="1">
        <w:r w:rsidRPr="00B4475A">
          <w:rPr>
            <w:rStyle w:val="Hyperlink"/>
          </w:rPr>
          <w:t>https://www.mckinsey.com/mgi/our-research/generative-ai-and-the-future-of-work-in-america</w:t>
        </w:r>
      </w:hyperlink>
      <w:r>
        <w:t xml:space="preserve"> (Accessed: 25 November 2025). </w:t>
      </w:r>
    </w:p>
    <w:p w14:paraId="022ECCD5" w14:textId="77777777" w:rsidR="0003175C" w:rsidRPr="00C446A4" w:rsidRDefault="0003175C" w:rsidP="00C84663">
      <w:r>
        <w:t xml:space="preserve">Ferrari, K. (2025) </w:t>
      </w:r>
      <w:r>
        <w:rPr>
          <w:i/>
          <w:iCs/>
        </w:rPr>
        <w:t xml:space="preserve">The AI Recruitment Takeover: Redefining Hiring </w:t>
      </w:r>
      <w:proofErr w:type="gramStart"/>
      <w:r>
        <w:rPr>
          <w:i/>
          <w:iCs/>
        </w:rPr>
        <w:t>In</w:t>
      </w:r>
      <w:proofErr w:type="gramEnd"/>
      <w:r>
        <w:rPr>
          <w:i/>
          <w:iCs/>
        </w:rPr>
        <w:t xml:space="preserve"> </w:t>
      </w:r>
      <w:proofErr w:type="gramStart"/>
      <w:r>
        <w:rPr>
          <w:i/>
          <w:iCs/>
        </w:rPr>
        <w:t>The</w:t>
      </w:r>
      <w:proofErr w:type="gramEnd"/>
      <w:r>
        <w:rPr>
          <w:i/>
          <w:iCs/>
        </w:rPr>
        <w:t xml:space="preserve"> Digital Age. </w:t>
      </w:r>
      <w:r>
        <w:t xml:space="preserve">Available at: </w:t>
      </w:r>
      <w:hyperlink r:id="rId50" w:history="1">
        <w:r w:rsidRPr="00FC6FE4">
          <w:rPr>
            <w:rStyle w:val="Hyperlink"/>
          </w:rPr>
          <w:t>https://www.forbes.com/sites/keithferrazzi/2025/03/27/the-ai-recruitment-takeover-redefining-hiring-in-the-digital-age/</w:t>
        </w:r>
      </w:hyperlink>
      <w:r>
        <w:t xml:space="preserve"> (Accessed: 5 November 2025). </w:t>
      </w:r>
    </w:p>
    <w:p w14:paraId="5874BEC0" w14:textId="49009BB4" w:rsidR="0003175C" w:rsidRDefault="0003175C" w:rsidP="00C84663">
      <w:r>
        <w:t xml:space="preserve">Gifford, J., and </w:t>
      </w:r>
      <w:proofErr w:type="spellStart"/>
      <w:proofErr w:type="gramStart"/>
      <w:r>
        <w:t>Wietrak,E</w:t>
      </w:r>
      <w:proofErr w:type="spellEnd"/>
      <w:r>
        <w:t>.</w:t>
      </w:r>
      <w:proofErr w:type="gramEnd"/>
      <w:r>
        <w:t xml:space="preserve"> </w:t>
      </w:r>
      <w:r w:rsidRPr="00205E11">
        <w:t xml:space="preserve">(2022) </w:t>
      </w:r>
      <w:r w:rsidRPr="00C84663">
        <w:rPr>
          <w:i/>
          <w:iCs/>
        </w:rPr>
        <w:t>Organisational Culture and Climate: An Evidence Review</w:t>
      </w:r>
      <w:r w:rsidRPr="00205E11">
        <w:t>.</w:t>
      </w:r>
      <w:r>
        <w:t xml:space="preserve"> Practice summary and recommendations. </w:t>
      </w:r>
      <w:r w:rsidRPr="00205E11">
        <w:t xml:space="preserve">Available at: </w:t>
      </w:r>
      <w:hyperlink r:id="rId51" w:tgtFrame="_new" w:history="1">
        <w:r w:rsidRPr="00C84663">
          <w:rPr>
            <w:rStyle w:val="Hyperlink"/>
            <w:rFonts w:cs="Arial"/>
            <w:szCs w:val="24"/>
          </w:rPr>
          <w:t>https://www.cipd.org/globalassets/media/knowledge/knowledge-hub/evidence-reviews/2023-pdfs/8263-organisational-culture-and-climate-practice-summary.pdf</w:t>
        </w:r>
      </w:hyperlink>
      <w:r w:rsidRPr="00C84663">
        <w:rPr>
          <w:rStyle w:val="Hyperlink"/>
          <w:rFonts w:cs="Arial"/>
          <w:szCs w:val="24"/>
        </w:rPr>
        <w:t xml:space="preserve"> </w:t>
      </w:r>
      <w:r w:rsidRPr="00C84663">
        <w:rPr>
          <w:rStyle w:val="Hyperlink"/>
          <w:rFonts w:cs="Arial"/>
          <w:szCs w:val="24"/>
        </w:rPr>
        <w:br/>
      </w:r>
      <w:r>
        <w:t>(Accessed: 25 October 2025).</w:t>
      </w:r>
    </w:p>
    <w:p w14:paraId="2ADECC7A" w14:textId="689B7E9D" w:rsidR="00595B84" w:rsidRPr="00595B84" w:rsidRDefault="00595B84" w:rsidP="00C84663">
      <w:r>
        <w:t xml:space="preserve">Gillmore, E. (2025) </w:t>
      </w:r>
      <w:r>
        <w:rPr>
          <w:i/>
          <w:iCs/>
        </w:rPr>
        <w:t xml:space="preserve">The hybrid working debate is growing in complexity – how should employers handle it? </w:t>
      </w:r>
      <w:r>
        <w:t xml:space="preserve"> Available at: </w:t>
      </w:r>
      <w:hyperlink r:id="rId52" w:history="1">
        <w:r w:rsidRPr="00CC3307">
          <w:rPr>
            <w:rStyle w:val="Hyperlink"/>
          </w:rPr>
          <w:t>https://www.peoplemanagement.co.uk/article/1927344/hybrid-working-debate-growing-complexity-%E2%80%93-employers-handle-it</w:t>
        </w:r>
      </w:hyperlink>
      <w:r>
        <w:t xml:space="preserve"> (Accessed: 5 November 2025). </w:t>
      </w:r>
    </w:p>
    <w:p w14:paraId="11C6AE83" w14:textId="4326F7E3" w:rsidR="0003175C" w:rsidRDefault="0003175C" w:rsidP="00C84663">
      <w:r w:rsidRPr="00CB14E6">
        <w:t>GOV.UK</w:t>
      </w:r>
      <w:r w:rsidR="0062123D">
        <w:t>.</w:t>
      </w:r>
      <w:r w:rsidRPr="00CB14E6">
        <w:t xml:space="preserve"> (2024) </w:t>
      </w:r>
      <w:r w:rsidRPr="00C84663">
        <w:rPr>
          <w:i/>
          <w:iCs/>
        </w:rPr>
        <w:t>Flexible working (updated guidance April 2024).</w:t>
      </w:r>
      <w:r w:rsidRPr="00CB14E6">
        <w:t xml:space="preserve"> Available at: </w:t>
      </w:r>
      <w:hyperlink r:id="rId53" w:history="1">
        <w:r w:rsidRPr="00C84663">
          <w:rPr>
            <w:rStyle w:val="Hyperlink"/>
            <w:rFonts w:cs="Arial"/>
            <w:szCs w:val="24"/>
          </w:rPr>
          <w:t>https://www.gov.uk/flexible-working</w:t>
        </w:r>
      </w:hyperlink>
      <w:r>
        <w:t xml:space="preserve"> </w:t>
      </w:r>
      <w:r w:rsidRPr="00CB14E6">
        <w:t xml:space="preserve"> (Accessed: 25 October 2025).</w:t>
      </w:r>
    </w:p>
    <w:p w14:paraId="0E218B25" w14:textId="4C69ED19" w:rsidR="0003175C" w:rsidRDefault="0003175C" w:rsidP="00C84663">
      <w:r w:rsidRPr="00C84663">
        <w:rPr>
          <w:i/>
          <w:iCs/>
        </w:rPr>
        <w:t xml:space="preserve">Government of Wales Act 2006, </w:t>
      </w:r>
      <w:r w:rsidR="00E725D9">
        <w:rPr>
          <w:i/>
          <w:iCs/>
        </w:rPr>
        <w:t>(</w:t>
      </w:r>
      <w:r w:rsidRPr="00E725D9">
        <w:t>c.32</w:t>
      </w:r>
      <w:r w:rsidR="00E725D9">
        <w:t>)</w:t>
      </w:r>
      <w:r w:rsidRPr="00C84663">
        <w:rPr>
          <w:i/>
          <w:iCs/>
        </w:rPr>
        <w:t xml:space="preserve">. </w:t>
      </w:r>
      <w:r>
        <w:t xml:space="preserve">Available at: </w:t>
      </w:r>
      <w:hyperlink r:id="rId54" w:history="1">
        <w:r w:rsidRPr="00860D47">
          <w:rPr>
            <w:rStyle w:val="Hyperlink"/>
          </w:rPr>
          <w:t>https://www.legislation.gov.uk/ukpga/2006/32/contents</w:t>
        </w:r>
      </w:hyperlink>
      <w:r>
        <w:t xml:space="preserve"> (Accessed: 25 October 2025)</w:t>
      </w:r>
    </w:p>
    <w:p w14:paraId="37E3BCB8" w14:textId="77777777" w:rsidR="0003175C" w:rsidRDefault="0003175C" w:rsidP="00C84663">
      <w:r>
        <w:t xml:space="preserve">Green, M., and Young, J. (2019) </w:t>
      </w:r>
      <w:r w:rsidRPr="00C84663">
        <w:rPr>
          <w:i/>
          <w:iCs/>
        </w:rPr>
        <w:t xml:space="preserve">Building inclusive workplaces: assessing the evidence. </w:t>
      </w:r>
      <w:r>
        <w:t xml:space="preserve">Chartered Institute of Personnel Development: London. Available at: </w:t>
      </w:r>
      <w:hyperlink r:id="rId55" w:history="1">
        <w:r w:rsidRPr="00B4475A">
          <w:rPr>
            <w:rStyle w:val="Hyperlink"/>
          </w:rPr>
          <w:t>https://www.cipd.org/globalassets/media/knowledge/knowledge-hub/reports/building-inclusive-workplaces-report-sept-2019_tcm18-64154.pdf</w:t>
        </w:r>
      </w:hyperlink>
      <w:r>
        <w:t xml:space="preserve"> (Accessed: 1 November 2025). </w:t>
      </w:r>
    </w:p>
    <w:p w14:paraId="36CBB41D" w14:textId="77777777" w:rsidR="0003175C" w:rsidRDefault="0003175C" w:rsidP="00C84663">
      <w:r w:rsidRPr="000A337C">
        <w:t xml:space="preserve">Holzinger, O., and </w:t>
      </w:r>
      <w:proofErr w:type="spellStart"/>
      <w:r w:rsidRPr="000A337C">
        <w:t>Lugonja</w:t>
      </w:r>
      <w:proofErr w:type="spellEnd"/>
      <w:r w:rsidRPr="000A337C">
        <w:t xml:space="preserve">, Bozo. (2025) </w:t>
      </w:r>
      <w:r w:rsidRPr="00C84663">
        <w:rPr>
          <w:i/>
          <w:iCs/>
        </w:rPr>
        <w:t xml:space="preserve">Business-as-usual for the Welsh Government’s 2026-27 Budget. </w:t>
      </w:r>
      <w:r w:rsidRPr="000A337C">
        <w:t xml:space="preserve">Available at:  </w:t>
      </w:r>
      <w:hyperlink r:id="rId56" w:history="1">
        <w:r w:rsidRPr="00860D47">
          <w:rPr>
            <w:rStyle w:val="Hyperlink"/>
          </w:rPr>
          <w:t>https://research.senedd.wales/research-articles/business-as-usual-priorities-for-the-welsh-government-s-2026-27-budget/</w:t>
        </w:r>
      </w:hyperlink>
      <w:r>
        <w:t xml:space="preserve">  (Accessed: 25 October 2025). </w:t>
      </w:r>
    </w:p>
    <w:p w14:paraId="3FC98B23" w14:textId="77777777" w:rsidR="0003175C" w:rsidRPr="00736177" w:rsidRDefault="0003175C" w:rsidP="00C84663">
      <w:r>
        <w:lastRenderedPageBreak/>
        <w:t xml:space="preserve">Horodyski, P. (2023) ‘Applicants’ perception of artificial intelligence in the recruitment process’. </w:t>
      </w:r>
      <w:r>
        <w:rPr>
          <w:i/>
          <w:iCs/>
        </w:rPr>
        <w:t xml:space="preserve">Computer in Human Behaviour Reports, </w:t>
      </w:r>
      <w:r>
        <w:t xml:space="preserve">13. Available at: </w:t>
      </w:r>
      <w:hyperlink r:id="rId57" w:history="1">
        <w:r w:rsidRPr="00FC6FE4">
          <w:rPr>
            <w:rStyle w:val="Hyperlink"/>
          </w:rPr>
          <w:t>https://www.sciencedirect.com/science/article/pii/S2451958823000362?via%3Dihub</w:t>
        </w:r>
      </w:hyperlink>
      <w:r>
        <w:t xml:space="preserve"> (Accessed: 5 November 2025). </w:t>
      </w:r>
    </w:p>
    <w:p w14:paraId="31EB85F2" w14:textId="68ABE2D2" w:rsidR="0003175C" w:rsidRDefault="0003175C" w:rsidP="00C84663">
      <w:r w:rsidRPr="00CB14E6">
        <w:t>House of Commons Library</w:t>
      </w:r>
      <w:r w:rsidR="00902BF6">
        <w:t>.</w:t>
      </w:r>
      <w:r w:rsidRPr="00CB14E6">
        <w:t xml:space="preserve"> (2025) </w:t>
      </w:r>
      <w:r w:rsidRPr="00C84663">
        <w:rPr>
          <w:i/>
          <w:iCs/>
        </w:rPr>
        <w:t>Labour market statistics, UK: January 2025.</w:t>
      </w:r>
      <w:r w:rsidRPr="00CB14E6">
        <w:t xml:space="preserve"> Available at: </w:t>
      </w:r>
      <w:hyperlink r:id="rId58" w:history="1">
        <w:r w:rsidRPr="00C84663">
          <w:rPr>
            <w:rStyle w:val="Hyperlink"/>
            <w:rFonts w:cs="Arial"/>
            <w:szCs w:val="24"/>
          </w:rPr>
          <w:t>https://commonslibrary.parliament.uk/research-briefings/sn02784/</w:t>
        </w:r>
      </w:hyperlink>
      <w:r>
        <w:t xml:space="preserve"> </w:t>
      </w:r>
      <w:r w:rsidRPr="00CB14E6">
        <w:t xml:space="preserve"> (Accessed: 25 October 2025).</w:t>
      </w:r>
    </w:p>
    <w:p w14:paraId="337E72A7" w14:textId="77777777" w:rsidR="0003175C" w:rsidRDefault="0003175C" w:rsidP="00C84663">
      <w:r>
        <w:t xml:space="preserve">House of Lords. (2022) </w:t>
      </w:r>
      <w:r w:rsidRPr="00C84663">
        <w:rPr>
          <w:i/>
          <w:iCs/>
        </w:rPr>
        <w:t xml:space="preserve">Fit for the future? Rethinking the public services workforce. </w:t>
      </w:r>
      <w:r>
        <w:t xml:space="preserve">Available at: </w:t>
      </w:r>
      <w:hyperlink r:id="rId59" w:history="1">
        <w:r w:rsidRPr="00C84663">
          <w:rPr>
            <w:rStyle w:val="Hyperlink"/>
            <w:rFonts w:cs="Arial"/>
            <w:szCs w:val="24"/>
          </w:rPr>
          <w:t>https://committees.parliament.uk/publications/23110/documents/169292/default/</w:t>
        </w:r>
      </w:hyperlink>
      <w:r>
        <w:t xml:space="preserve"> (Accessed: 1 November 2025). </w:t>
      </w:r>
    </w:p>
    <w:p w14:paraId="15012D10" w14:textId="77777777" w:rsidR="0003175C" w:rsidRPr="00942FAB" w:rsidRDefault="0003175C" w:rsidP="00C84663">
      <w:proofErr w:type="spellStart"/>
      <w:r>
        <w:t>Houter</w:t>
      </w:r>
      <w:proofErr w:type="spellEnd"/>
      <w:r>
        <w:t xml:space="preserve">, V.K. (2024) </w:t>
      </w:r>
      <w:r>
        <w:rPr>
          <w:i/>
          <w:iCs/>
        </w:rPr>
        <w:t xml:space="preserve">AI in the Workplace: Answering 3 Big Question. </w:t>
      </w:r>
      <w:r>
        <w:t xml:space="preserve">Available at: </w:t>
      </w:r>
      <w:hyperlink r:id="rId60" w:history="1">
        <w:r w:rsidRPr="00D261B1">
          <w:rPr>
            <w:rStyle w:val="Hyperlink"/>
          </w:rPr>
          <w:t>https://www.gallup.com/workplace/651203/workplace-answering-big-questions.aspx</w:t>
        </w:r>
      </w:hyperlink>
      <w:r>
        <w:t xml:space="preserve"> (Accessed: 5 November 2025). </w:t>
      </w:r>
    </w:p>
    <w:p w14:paraId="3377B467" w14:textId="0A4D9C7E" w:rsidR="00902BF6" w:rsidRDefault="00902BF6" w:rsidP="00C84663">
      <w:r>
        <w:t xml:space="preserve">Information Commissioner’s Office. (2024) </w:t>
      </w:r>
      <w:r>
        <w:rPr>
          <w:i/>
          <w:iCs/>
        </w:rPr>
        <w:t xml:space="preserve">Discrimination and Bias. </w:t>
      </w:r>
      <w:r>
        <w:t xml:space="preserve">Available at: </w:t>
      </w:r>
      <w:hyperlink r:id="rId61" w:history="1">
        <w:r w:rsidRPr="00CC3307">
          <w:rPr>
            <w:rStyle w:val="Hyperlink"/>
          </w:rPr>
          <w:t>https://ico.org.uk/for-organisations/advice-and-services/audits/data-protection-audit-framework/toolkits/artificial-intelligence/discrimination-and-bias/</w:t>
        </w:r>
      </w:hyperlink>
      <w:r>
        <w:t xml:space="preserve"> (Accessed: 5 November 2025). </w:t>
      </w:r>
    </w:p>
    <w:p w14:paraId="692A81B9" w14:textId="0F89C5D8" w:rsidR="0003175C" w:rsidRDefault="0003175C" w:rsidP="00C84663">
      <w:r w:rsidRPr="00CB14E6">
        <w:t>I</w:t>
      </w:r>
      <w:r>
        <w:t>nformation Commissioner’s Office</w:t>
      </w:r>
      <w:r w:rsidR="00902BF6">
        <w:t>.</w:t>
      </w:r>
      <w:r>
        <w:t xml:space="preserve"> </w:t>
      </w:r>
      <w:r w:rsidRPr="00CB14E6">
        <w:t xml:space="preserve">(2023) </w:t>
      </w:r>
      <w:r w:rsidRPr="00C84663">
        <w:rPr>
          <w:i/>
          <w:iCs/>
        </w:rPr>
        <w:t xml:space="preserve">Guidance on AI and data protection. </w:t>
      </w:r>
      <w:r w:rsidRPr="00CB14E6">
        <w:t xml:space="preserve"> Available at: </w:t>
      </w:r>
      <w:hyperlink r:id="rId62" w:history="1">
        <w:r w:rsidRPr="00B4475A">
          <w:rPr>
            <w:rStyle w:val="Hyperlink"/>
          </w:rPr>
          <w:t xml:space="preserve">Guidance on AI and data protection https://ico.org.uk/for-organisations/uk-gdpr-guidance-and-resources/artificial-intelligence/guidance-on-ai-and-data-protection/ </w:t>
        </w:r>
      </w:hyperlink>
      <w:r w:rsidRPr="00CB14E6">
        <w:t>(Accessed: 25 October 2025).</w:t>
      </w:r>
    </w:p>
    <w:p w14:paraId="1EBF77EA" w14:textId="77777777" w:rsidR="0003175C" w:rsidRPr="00BF4013" w:rsidRDefault="0003175C" w:rsidP="00C84663">
      <w:r>
        <w:t xml:space="preserve">Janssen, R (2024) </w:t>
      </w:r>
      <w:r>
        <w:rPr>
          <w:i/>
          <w:iCs/>
        </w:rPr>
        <w:t xml:space="preserve">Why a Hiring Free Shouldn’t Mean </w:t>
      </w:r>
      <w:proofErr w:type="gramStart"/>
      <w:r>
        <w:rPr>
          <w:i/>
          <w:iCs/>
        </w:rPr>
        <w:t>A</w:t>
      </w:r>
      <w:proofErr w:type="gramEnd"/>
      <w:r>
        <w:rPr>
          <w:i/>
          <w:iCs/>
        </w:rPr>
        <w:t xml:space="preserve"> Talent Freeze. </w:t>
      </w:r>
      <w:r>
        <w:t xml:space="preserve">Available at: </w:t>
      </w:r>
      <w:hyperlink r:id="rId63" w:history="1">
        <w:r w:rsidRPr="00FC6FE4">
          <w:rPr>
            <w:rStyle w:val="Hyperlink"/>
          </w:rPr>
          <w:t>https://www.forbes.com/councils/forbesbusinesscouncil/2024/11/20/why-a-hiring-freeze-shouldnt-mean-a-talent-freeze/</w:t>
        </w:r>
      </w:hyperlink>
      <w:r>
        <w:t xml:space="preserve"> (Accessed: 5 November 2025). </w:t>
      </w:r>
    </w:p>
    <w:p w14:paraId="32682074" w14:textId="77777777" w:rsidR="0003175C" w:rsidRDefault="0003175C" w:rsidP="00C84663">
      <w:r>
        <w:t xml:space="preserve">Jeremy, P., and Ali, S. (2021) ‘The Role of Strategic Workforce Planning in Sustaining Talent Retention’. Available at: </w:t>
      </w:r>
      <w:hyperlink r:id="rId64" w:history="1">
        <w:r w:rsidRPr="00C84663">
          <w:rPr>
            <w:rStyle w:val="Hyperlink"/>
            <w:rFonts w:cs="Arial"/>
            <w:szCs w:val="24"/>
          </w:rPr>
          <w:t>https://www.researchgate.net/publication/395027852_The_Role_of_Strategic_Workforce_Planning_in_Sustaining_Talent_Retention</w:t>
        </w:r>
      </w:hyperlink>
      <w:r>
        <w:t xml:space="preserve"> (Accessed: 1 November 2025). </w:t>
      </w:r>
    </w:p>
    <w:p w14:paraId="5FB1D0D0" w14:textId="77777777" w:rsidR="0003175C" w:rsidRDefault="0003175C" w:rsidP="00C84663">
      <w:r>
        <w:t xml:space="preserve">Jie, H., </w:t>
      </w:r>
      <w:proofErr w:type="spellStart"/>
      <w:r>
        <w:t>Gooi</w:t>
      </w:r>
      <w:proofErr w:type="spellEnd"/>
      <w:r>
        <w:t xml:space="preserve">, M,L., </w:t>
      </w:r>
      <w:proofErr w:type="spellStart"/>
      <w:r>
        <w:t>Ynachun</w:t>
      </w:r>
      <w:proofErr w:type="spellEnd"/>
      <w:r>
        <w:t xml:space="preserve">, L. (2025) ‘Digital maturity, dynamic capabilities and innovation performance in high-tech SMEs’, </w:t>
      </w:r>
      <w:r w:rsidRPr="00C84663">
        <w:rPr>
          <w:i/>
          <w:iCs/>
        </w:rPr>
        <w:t xml:space="preserve">International Review of Economics &amp; Finance, </w:t>
      </w:r>
      <w:r>
        <w:t xml:space="preserve">99. Available at:  </w:t>
      </w:r>
      <w:hyperlink r:id="rId65" w:history="1">
        <w:r w:rsidRPr="00B4475A">
          <w:rPr>
            <w:rStyle w:val="Hyperlink"/>
          </w:rPr>
          <w:t>https://www.sciencedirect.com/science/article/pii/S1059056025001340</w:t>
        </w:r>
      </w:hyperlink>
      <w:r>
        <w:t xml:space="preserve"> (Accessed: 25 October 2025).</w:t>
      </w:r>
    </w:p>
    <w:p w14:paraId="43A4B120" w14:textId="77777777" w:rsidR="0003175C" w:rsidRDefault="0003175C" w:rsidP="00C84663">
      <w:r w:rsidRPr="00087DA1">
        <w:t xml:space="preserve">King, T., </w:t>
      </w:r>
      <w:proofErr w:type="spellStart"/>
      <w:r w:rsidRPr="00087DA1">
        <w:t>Freyn</w:t>
      </w:r>
      <w:proofErr w:type="spellEnd"/>
      <w:r w:rsidRPr="00087DA1">
        <w:t xml:space="preserve">, S. and Morrison, J. (2023) </w:t>
      </w:r>
      <w:r>
        <w:t>‘</w:t>
      </w:r>
      <w:r w:rsidRPr="00087DA1">
        <w:t>SWOT analysis problems and solutions: practitioners’ feedback into the ongoing academic debate.</w:t>
      </w:r>
      <w:r>
        <w:t xml:space="preserve">’ </w:t>
      </w:r>
      <w:r w:rsidRPr="00087DA1">
        <w:rPr>
          <w:i/>
          <w:iCs/>
        </w:rPr>
        <w:t>Journal of Intelligence Studies in Business</w:t>
      </w:r>
      <w:r>
        <w:t xml:space="preserve">, 13(1), </w:t>
      </w:r>
      <w:r w:rsidRPr="00087DA1">
        <w:t>p</w:t>
      </w:r>
      <w:r>
        <w:t>p.</w:t>
      </w:r>
      <w:r w:rsidRPr="00087DA1">
        <w:t>30-42. </w:t>
      </w:r>
      <w:r>
        <w:t xml:space="preserve">Available at: </w:t>
      </w:r>
      <w:hyperlink r:id="rId66" w:history="1">
        <w:r w:rsidRPr="005D72BF">
          <w:rPr>
            <w:rStyle w:val="Hyperlink"/>
          </w:rPr>
          <w:t>https://doi.org/10.37380/jisib.v13i1.989</w:t>
        </w:r>
      </w:hyperlink>
      <w:r>
        <w:t xml:space="preserve"> (Accessed: 1 November 2025). </w:t>
      </w:r>
    </w:p>
    <w:p w14:paraId="4A70ADFF" w14:textId="1FDC8969" w:rsidR="00F07477" w:rsidRPr="001B1CBB" w:rsidRDefault="00F07477" w:rsidP="00C84663">
      <w:proofErr w:type="spellStart"/>
      <w:r>
        <w:t>King.A.K</w:t>
      </w:r>
      <w:proofErr w:type="spellEnd"/>
      <w:r>
        <w:t xml:space="preserve">., and </w:t>
      </w:r>
      <w:proofErr w:type="spellStart"/>
      <w:r>
        <w:t>Vaiman</w:t>
      </w:r>
      <w:proofErr w:type="spellEnd"/>
      <w:r>
        <w:t>, V. (2019) ‘Enabling effective talent management through a macro-contingent approach: A framework for research and practice’</w:t>
      </w:r>
      <w:r w:rsidR="001B1CBB">
        <w:t xml:space="preserve">. </w:t>
      </w:r>
      <w:r w:rsidR="001B1CBB">
        <w:rPr>
          <w:i/>
          <w:iCs/>
        </w:rPr>
        <w:t xml:space="preserve">Business </w:t>
      </w:r>
      <w:r w:rsidR="001B1CBB">
        <w:rPr>
          <w:i/>
          <w:iCs/>
        </w:rPr>
        <w:lastRenderedPageBreak/>
        <w:t xml:space="preserve">Research Quarterly, </w:t>
      </w:r>
      <w:r w:rsidR="001B1CBB">
        <w:t xml:space="preserve">22(3), </w:t>
      </w:r>
      <w:r w:rsidR="00622679">
        <w:t xml:space="preserve">pp.194-206. Available at: </w:t>
      </w:r>
      <w:hyperlink r:id="rId67" w:history="1">
        <w:r w:rsidR="00622679" w:rsidRPr="00CC3307">
          <w:rPr>
            <w:rStyle w:val="Hyperlink"/>
          </w:rPr>
          <w:t>https://doi.org/10.1016/j.brq.2019.04.005</w:t>
        </w:r>
      </w:hyperlink>
      <w:r w:rsidR="00622679">
        <w:t xml:space="preserve"> (Accessed: </w:t>
      </w:r>
      <w:proofErr w:type="gramStart"/>
      <w:r w:rsidR="00622679">
        <w:t>5  November</w:t>
      </w:r>
      <w:proofErr w:type="gramEnd"/>
      <w:r w:rsidR="00622679">
        <w:t xml:space="preserve"> 2025). </w:t>
      </w:r>
    </w:p>
    <w:p w14:paraId="202BF23E" w14:textId="100D9B42" w:rsidR="0003175C" w:rsidRDefault="0003175C" w:rsidP="00C84663">
      <w:r w:rsidRPr="00CB14E6">
        <w:t>KPMG</w:t>
      </w:r>
      <w:r w:rsidR="00834300">
        <w:t>.</w:t>
      </w:r>
      <w:r w:rsidRPr="00CB14E6">
        <w:t xml:space="preserve"> (202</w:t>
      </w:r>
      <w:r>
        <w:t xml:space="preserve">5) </w:t>
      </w:r>
      <w:r w:rsidRPr="00C84663">
        <w:rPr>
          <w:i/>
          <w:iCs/>
        </w:rPr>
        <w:t xml:space="preserve">The future of HR: from flux to flow. </w:t>
      </w:r>
      <w:r>
        <w:t>Available at:</w:t>
      </w:r>
      <w:r w:rsidRPr="00146A94">
        <w:t xml:space="preserve"> </w:t>
      </w:r>
      <w:hyperlink r:id="rId68" w:history="1">
        <w:r w:rsidRPr="00B4475A">
          <w:rPr>
            <w:rStyle w:val="Hyperlink"/>
          </w:rPr>
          <w:t>https://kpmg.com/xx/en/our-insights/workforce/the-future-of-hr-from-flux-to-flow.html</w:t>
        </w:r>
      </w:hyperlink>
      <w:r>
        <w:t xml:space="preserve">  </w:t>
      </w:r>
      <w:r w:rsidRPr="00CB14E6">
        <w:t xml:space="preserve"> (Accessed: 25 October 2025).</w:t>
      </w:r>
    </w:p>
    <w:p w14:paraId="50F8F14A" w14:textId="77777777" w:rsidR="0003175C" w:rsidRDefault="0003175C" w:rsidP="00C84663">
      <w:proofErr w:type="spellStart"/>
      <w:r w:rsidRPr="00CB14E6">
        <w:t>Kuvaas</w:t>
      </w:r>
      <w:proofErr w:type="spellEnd"/>
      <w:r w:rsidRPr="00CB14E6">
        <w:t>, B. (20</w:t>
      </w:r>
      <w:r>
        <w:t>08</w:t>
      </w:r>
      <w:r w:rsidRPr="00CB14E6">
        <w:t xml:space="preserve">) ‘An exploration of how the employee–organization relationship affects work performance’, </w:t>
      </w:r>
      <w:r w:rsidRPr="00834300">
        <w:rPr>
          <w:i/>
          <w:iCs/>
        </w:rPr>
        <w:t>Human Resource Management Journal,</w:t>
      </w:r>
      <w:r w:rsidRPr="00CB14E6">
        <w:t xml:space="preserve"> </w:t>
      </w:r>
      <w:r>
        <w:t>45</w:t>
      </w:r>
      <w:r w:rsidRPr="00CB14E6">
        <w:t>(</w:t>
      </w:r>
      <w:r>
        <w:t>1</w:t>
      </w:r>
      <w:r w:rsidRPr="00CB14E6">
        <w:t>), pp.</w:t>
      </w:r>
      <w:r>
        <w:t xml:space="preserve">1-25. </w:t>
      </w:r>
      <w:r w:rsidRPr="00CB14E6">
        <w:t xml:space="preserve"> Available at: </w:t>
      </w:r>
      <w:hyperlink r:id="rId69" w:history="1">
        <w:r w:rsidRPr="00C16304">
          <w:rPr>
            <w:rStyle w:val="Hyperlink"/>
          </w:rPr>
          <w:t>DOI:10.1111/j.1467-6486.2007.00710.x</w:t>
        </w:r>
      </w:hyperlink>
      <w:r>
        <w:t xml:space="preserve"> </w:t>
      </w:r>
      <w:r w:rsidRPr="00CB14E6">
        <w:t>(Accessed: 25 October 2025)</w:t>
      </w:r>
    </w:p>
    <w:p w14:paraId="364EDAAB" w14:textId="67483A60" w:rsidR="00A81979" w:rsidRPr="00A81979" w:rsidRDefault="00A81979" w:rsidP="00C84663">
      <w:pPr>
        <w:rPr>
          <w:rFonts w:cs="Arial"/>
          <w:szCs w:val="24"/>
        </w:rPr>
      </w:pPr>
      <w:r>
        <w:t xml:space="preserve">Laker, B. (2024). </w:t>
      </w:r>
      <w:r>
        <w:rPr>
          <w:i/>
          <w:iCs/>
        </w:rPr>
        <w:t xml:space="preserve">Understanding The Distinctions Between Culture and Climate. </w:t>
      </w:r>
      <w:r>
        <w:t xml:space="preserve">Available at: </w:t>
      </w:r>
      <w:hyperlink r:id="rId70" w:history="1">
        <w:r w:rsidRPr="00253583">
          <w:rPr>
            <w:rStyle w:val="Hyperlink"/>
            <w:rFonts w:cs="Arial"/>
            <w:szCs w:val="24"/>
          </w:rPr>
          <w:t>https://www.forbes.com/sites/benjaminlaker/2024/07/16/understanding-the-distinctions-between-culture-and-climate/</w:t>
        </w:r>
      </w:hyperlink>
      <w:r w:rsidRPr="00205E11">
        <w:rPr>
          <w:rFonts w:cs="Arial"/>
          <w:szCs w:val="24"/>
        </w:rPr>
        <w:t xml:space="preserve"> </w:t>
      </w:r>
      <w:r>
        <w:rPr>
          <w:rFonts w:cs="Arial"/>
          <w:szCs w:val="24"/>
        </w:rPr>
        <w:t xml:space="preserve">(Accessed: </w:t>
      </w:r>
      <w:r w:rsidRPr="00CB14E6">
        <w:t>25 October 2025</w:t>
      </w:r>
    </w:p>
    <w:p w14:paraId="794D89A2" w14:textId="77777777" w:rsidR="0003175C" w:rsidRDefault="0003175C" w:rsidP="00C84663">
      <w:r>
        <w:t xml:space="preserve">Lapsley, I., Midwinter, A., Nambiar, T., </w:t>
      </w:r>
      <w:proofErr w:type="spellStart"/>
      <w:r>
        <w:t>Steccolini</w:t>
      </w:r>
      <w:proofErr w:type="spellEnd"/>
      <w:r>
        <w:t xml:space="preserve">, I. (2011) ‘Government budgeting, power and negotiated order’, </w:t>
      </w:r>
      <w:r w:rsidRPr="00C84663">
        <w:rPr>
          <w:i/>
          <w:iCs/>
        </w:rPr>
        <w:t xml:space="preserve">Management Accounting Research, </w:t>
      </w:r>
      <w:r>
        <w:t xml:space="preserve">22(1), pp.16-25. Available at: </w:t>
      </w:r>
      <w:hyperlink r:id="rId71" w:history="1">
        <w:r w:rsidRPr="00860D47">
          <w:rPr>
            <w:rStyle w:val="Hyperlink"/>
          </w:rPr>
          <w:t>https://www.sciencedirect.com/science/article/abs/pii/S1044500510000892</w:t>
        </w:r>
      </w:hyperlink>
      <w:r>
        <w:t xml:space="preserve"> (Accessed: 25 October 2025).</w:t>
      </w:r>
    </w:p>
    <w:p w14:paraId="2EA5FF51" w14:textId="1026C914" w:rsidR="0003175C" w:rsidRDefault="0003175C" w:rsidP="00C84663">
      <w:r w:rsidRPr="00CB14E6">
        <w:t>LinkedIn</w:t>
      </w:r>
      <w:r w:rsidR="005569CD">
        <w:t xml:space="preserve">. </w:t>
      </w:r>
      <w:r w:rsidRPr="00CB14E6">
        <w:t xml:space="preserve">(2024) </w:t>
      </w:r>
      <w:r w:rsidRPr="005569CD">
        <w:rPr>
          <w:i/>
          <w:iCs/>
        </w:rPr>
        <w:t>Future of recruiting</w:t>
      </w:r>
      <w:r w:rsidR="000F1835">
        <w:t xml:space="preserve">. </w:t>
      </w:r>
      <w:r w:rsidRPr="00CB14E6">
        <w:t xml:space="preserve">Available at: </w:t>
      </w:r>
      <w:hyperlink r:id="rId72" w:history="1">
        <w:r w:rsidRPr="00C84663">
          <w:rPr>
            <w:rStyle w:val="Hyperlink"/>
            <w:rFonts w:cs="Arial"/>
            <w:szCs w:val="24"/>
          </w:rPr>
          <w:t>https://business.linkedin.com/talent-solutions/resources/talent-strategy/future-of-recruiting</w:t>
        </w:r>
      </w:hyperlink>
      <w:r>
        <w:t xml:space="preserve"> </w:t>
      </w:r>
      <w:r w:rsidRPr="00CB14E6">
        <w:t>(Accessed: 25 October 2025).</w:t>
      </w:r>
    </w:p>
    <w:p w14:paraId="31409CD2" w14:textId="77777777" w:rsidR="0003175C" w:rsidRDefault="0003175C" w:rsidP="00C84663">
      <w:proofErr w:type="spellStart"/>
      <w:r>
        <w:t>Lugona</w:t>
      </w:r>
      <w:proofErr w:type="spellEnd"/>
      <w:r>
        <w:t xml:space="preserve">, B. (2025) </w:t>
      </w:r>
      <w:r w:rsidRPr="00C84663">
        <w:rPr>
          <w:i/>
          <w:iCs/>
        </w:rPr>
        <w:t xml:space="preserve">Welsh Government Draft Budget 2025-26. </w:t>
      </w:r>
      <w:r>
        <w:t xml:space="preserve">Available at: </w:t>
      </w:r>
      <w:hyperlink r:id="rId73" w:history="1">
        <w:r w:rsidRPr="00B4475A">
          <w:rPr>
            <w:rStyle w:val="Hyperlink"/>
          </w:rPr>
          <w:t>https://research.senedd.wales/research-articles/welsh-government-draft-budget-2025-26/</w:t>
        </w:r>
      </w:hyperlink>
      <w:r>
        <w:t xml:space="preserve"> (Accessed: 25 October 2025).</w:t>
      </w:r>
    </w:p>
    <w:p w14:paraId="16CCE854" w14:textId="77777777" w:rsidR="0003175C" w:rsidRDefault="0003175C" w:rsidP="00C84663">
      <w:proofErr w:type="spellStart"/>
      <w:r>
        <w:t>Lugonja</w:t>
      </w:r>
      <w:proofErr w:type="spellEnd"/>
      <w:r>
        <w:t xml:space="preserve">, B., Jones, H. (2025) </w:t>
      </w:r>
      <w:r w:rsidRPr="00C84663">
        <w:rPr>
          <w:i/>
          <w:iCs/>
        </w:rPr>
        <w:t xml:space="preserve">Budget 2025-26: What’s new in the Welsh Government’s Final Budget 2025-26? </w:t>
      </w:r>
      <w:r>
        <w:t xml:space="preserve">Available at: </w:t>
      </w:r>
      <w:hyperlink r:id="rId74" w:history="1">
        <w:r w:rsidRPr="00B4475A">
          <w:rPr>
            <w:rStyle w:val="Hyperlink"/>
          </w:rPr>
          <w:t>https://research.senedd.wales/research-articles/budget-2025-26-what-s-new-in-the-welsh-government-s-final-budget-2025-26/</w:t>
        </w:r>
      </w:hyperlink>
      <w:r>
        <w:t xml:space="preserve"> (Accessed: 25 October 2025).</w:t>
      </w:r>
    </w:p>
    <w:p w14:paraId="4DF98F4B" w14:textId="77777777" w:rsidR="0003175C" w:rsidRDefault="0003175C" w:rsidP="00C84663">
      <w:r>
        <w:t xml:space="preserve">Manning, S., </w:t>
      </w:r>
      <w:proofErr w:type="spellStart"/>
      <w:r>
        <w:t>Frey,B,C</w:t>
      </w:r>
      <w:proofErr w:type="spellEnd"/>
      <w:r>
        <w:t xml:space="preserve">., Evans, S., Russell, C., Arino, M., </w:t>
      </w:r>
      <w:proofErr w:type="spellStart"/>
      <w:r>
        <w:t>Dijk,V,G</w:t>
      </w:r>
      <w:proofErr w:type="spellEnd"/>
      <w:r>
        <w:t xml:space="preserve">., </w:t>
      </w:r>
      <w:proofErr w:type="spellStart"/>
      <w:r>
        <w:t>Renoult</w:t>
      </w:r>
      <w:proofErr w:type="spellEnd"/>
      <w:r>
        <w:t xml:space="preserve">, J., Louch, E., Barnard, K., Makridis, A,C., Muro, M., </w:t>
      </w:r>
      <w:proofErr w:type="spellStart"/>
      <w:r>
        <w:t>Lusoli</w:t>
      </w:r>
      <w:proofErr w:type="spellEnd"/>
      <w:r>
        <w:t xml:space="preserve">, A., Larsen, B., </w:t>
      </w:r>
      <w:proofErr w:type="spellStart"/>
      <w:r>
        <w:t>Korner,M</w:t>
      </w:r>
      <w:proofErr w:type="spellEnd"/>
      <w:r>
        <w:t xml:space="preserve">., </w:t>
      </w:r>
      <w:proofErr w:type="spellStart"/>
      <w:r>
        <w:t>Simuyandi</w:t>
      </w:r>
      <w:proofErr w:type="spellEnd"/>
      <w:r>
        <w:t xml:space="preserve">, A., Boulos, M., Coll, L., </w:t>
      </w:r>
      <w:proofErr w:type="spellStart"/>
      <w:r>
        <w:t>Skandul</w:t>
      </w:r>
      <w:proofErr w:type="spellEnd"/>
      <w:r>
        <w:t xml:space="preserve">, E., Reese, A., Freeman, T., Milder, M., Broecke, </w:t>
      </w:r>
      <w:proofErr w:type="spellStart"/>
      <w:r>
        <w:t>S.,Wang</w:t>
      </w:r>
      <w:proofErr w:type="spellEnd"/>
      <w:r>
        <w:t xml:space="preserve">, K,P., </w:t>
      </w:r>
      <w:proofErr w:type="spellStart"/>
      <w:r>
        <w:t>Iosad</w:t>
      </w:r>
      <w:proofErr w:type="spellEnd"/>
      <w:r>
        <w:t xml:space="preserve">, A., Scales, J. (2024) </w:t>
      </w:r>
      <w:r w:rsidRPr="00C84663">
        <w:rPr>
          <w:i/>
          <w:iCs/>
        </w:rPr>
        <w:t xml:space="preserve">Economic prosperity: The impact of AI on the Labour Market. </w:t>
      </w:r>
      <w:r>
        <w:t xml:space="preserve">Available at: </w:t>
      </w:r>
      <w:hyperlink r:id="rId75" w:history="1">
        <w:r w:rsidRPr="00860D47">
          <w:rPr>
            <w:rStyle w:val="Hyperlink"/>
          </w:rPr>
          <w:t>https://institute.global/insights/economic-prosperity/the-impact-of-ai-on-the-labour-market</w:t>
        </w:r>
      </w:hyperlink>
      <w:r>
        <w:t xml:space="preserve">  (Accessed: 25 October 2025). </w:t>
      </w:r>
    </w:p>
    <w:p w14:paraId="7A324529" w14:textId="73DACAC7" w:rsidR="0044037B" w:rsidRPr="001D48FC" w:rsidRDefault="0044037B" w:rsidP="00C84663">
      <w:r>
        <w:t xml:space="preserve">Mansaray, H.E. (2019) ‘The Consequence of Human Resource Planning on Organizational Performance: An Ephemeral Review’, </w:t>
      </w:r>
      <w:r>
        <w:rPr>
          <w:i/>
          <w:iCs/>
        </w:rPr>
        <w:t>Britain International Journal of Humanities and Social Sciences Jour</w:t>
      </w:r>
      <w:r w:rsidR="001D48FC">
        <w:rPr>
          <w:i/>
          <w:iCs/>
        </w:rPr>
        <w:t xml:space="preserve">nal, </w:t>
      </w:r>
      <w:r w:rsidR="001D48FC">
        <w:t xml:space="preserve">1(2), pp.50-61. Available at: </w:t>
      </w:r>
      <w:hyperlink r:id="rId76" w:history="1">
        <w:r w:rsidR="006F41B5" w:rsidRPr="00D60552">
          <w:rPr>
            <w:rStyle w:val="Hyperlink"/>
          </w:rPr>
          <w:t>http://doi.org/10.33258/biohs.v1i2.35</w:t>
        </w:r>
      </w:hyperlink>
      <w:r w:rsidR="006F41B5">
        <w:t xml:space="preserve"> (Accessed: 21 November 2025). </w:t>
      </w:r>
    </w:p>
    <w:p w14:paraId="79FB1399" w14:textId="77777777" w:rsidR="0003175C" w:rsidRPr="00E51C8E" w:rsidRDefault="0003175C" w:rsidP="00C84663">
      <w:r>
        <w:t xml:space="preserve">Markson, T. (2025) </w:t>
      </w:r>
      <w:r>
        <w:rPr>
          <w:i/>
          <w:iCs/>
        </w:rPr>
        <w:t xml:space="preserve">DWP announces 60% in-office rule across all grades from September. </w:t>
      </w:r>
      <w:r>
        <w:t xml:space="preserve">Available at: </w:t>
      </w:r>
      <w:hyperlink r:id="rId77" w:history="1">
        <w:r w:rsidRPr="00FC6FE4">
          <w:rPr>
            <w:rStyle w:val="Hyperlink"/>
          </w:rPr>
          <w:t>https://www.civilserviceworld.com/professions/article/dwp-demands-60-inoffice-mandate-across-all-grades-from-september</w:t>
        </w:r>
      </w:hyperlink>
      <w:r>
        <w:t xml:space="preserve"> (Accessed: 5 November 2025). </w:t>
      </w:r>
    </w:p>
    <w:p w14:paraId="302BCF3E" w14:textId="77777777" w:rsidR="0003175C" w:rsidRDefault="0003175C" w:rsidP="00C84663">
      <w:r>
        <w:lastRenderedPageBreak/>
        <w:t xml:space="preserve">McAllister, L., and Williams, R. (2024) </w:t>
      </w:r>
      <w:r w:rsidRPr="00C84663">
        <w:rPr>
          <w:i/>
          <w:iCs/>
        </w:rPr>
        <w:t xml:space="preserve">Independent Commission on the Constitutional Future of Wales. </w:t>
      </w:r>
      <w:r>
        <w:t xml:space="preserve">Available at: </w:t>
      </w:r>
      <w:hyperlink r:id="rId78" w:history="1">
        <w:r w:rsidRPr="00860D47">
          <w:rPr>
            <w:rStyle w:val="Hyperlink"/>
          </w:rPr>
          <w:t>https://www.gov.wales/sites/default/files/publications/2024-07/independent-commission-on-the-constitutional-future-of-wales-final-report.pdf</w:t>
        </w:r>
      </w:hyperlink>
      <w:r>
        <w:t xml:space="preserve">  (Accessed: 25 October 2025). </w:t>
      </w:r>
    </w:p>
    <w:p w14:paraId="1BBA3E57" w14:textId="6B62C2FD" w:rsidR="0003175C" w:rsidRDefault="0003175C" w:rsidP="00C84663">
      <w:r>
        <w:t xml:space="preserve">McCracken, M., McIvor, R., Treacy, R., and Wall, T. (2017) </w:t>
      </w:r>
      <w:r w:rsidRPr="00B63622">
        <w:rPr>
          <w:i/>
          <w:iCs/>
        </w:rPr>
        <w:t>Human capital theory: assessing the evidence for the value and importance of people to organisational success.</w:t>
      </w:r>
      <w:r w:rsidR="00936C7F">
        <w:t xml:space="preserve"> </w:t>
      </w:r>
      <w:r>
        <w:t xml:space="preserve">Available at: </w:t>
      </w:r>
      <w:hyperlink r:id="rId79" w:history="1">
        <w:r w:rsidRPr="00FC6FE4">
          <w:rPr>
            <w:rStyle w:val="Hyperlink"/>
          </w:rPr>
          <w:t>https://www.cipd.org/globalassets/media/knowledge/knowledge-hub/reports/human-capital-theory-assessing-the-evidence_tcm18-22292.pdf</w:t>
        </w:r>
      </w:hyperlink>
      <w:r>
        <w:t xml:space="preserve"> (Accessed: 5 November 2025). </w:t>
      </w:r>
    </w:p>
    <w:p w14:paraId="52F647A7" w14:textId="77777777" w:rsidR="0003175C" w:rsidRDefault="0003175C" w:rsidP="00C84663">
      <w:proofErr w:type="spellStart"/>
      <w:r>
        <w:t>Mulgan</w:t>
      </w:r>
      <w:proofErr w:type="spellEnd"/>
      <w:r>
        <w:t xml:space="preserve">, G., Latendresse-Drapeau, M., and </w:t>
      </w:r>
      <w:proofErr w:type="spellStart"/>
      <w:r>
        <w:t>Sedwill</w:t>
      </w:r>
      <w:proofErr w:type="spellEnd"/>
      <w:r>
        <w:t xml:space="preserve">, M. (2024) </w:t>
      </w:r>
      <w:r w:rsidRPr="00B63622">
        <w:rPr>
          <w:i/>
          <w:iCs/>
        </w:rPr>
        <w:t xml:space="preserve">Global Insights: The state of learning in government. </w:t>
      </w:r>
      <w:r>
        <w:t xml:space="preserve">Available at: </w:t>
      </w:r>
      <w:hyperlink r:id="rId80" w:history="1">
        <w:r w:rsidRPr="00B4475A">
          <w:rPr>
            <w:rStyle w:val="Hyperlink"/>
          </w:rPr>
          <w:t>https://25488428.fs1.hubspotusercontent-eu1.net/hubfs/25488428/The%20state%20of%20learning%20in%20government.%20Apolitical%2C%20September%202024pdf.pdf</w:t>
        </w:r>
      </w:hyperlink>
      <w:r>
        <w:t xml:space="preserve"> (Accessed: 1 November 2025). </w:t>
      </w:r>
    </w:p>
    <w:p w14:paraId="4D27A669" w14:textId="115965EF" w:rsidR="0003175C" w:rsidRDefault="0003175C" w:rsidP="00C84663">
      <w:r w:rsidRPr="00CB14E6">
        <w:t>Natural Resources Wales (NRW)</w:t>
      </w:r>
      <w:r w:rsidR="00B3708B">
        <w:t xml:space="preserve">. </w:t>
      </w:r>
      <w:r w:rsidRPr="00CB14E6">
        <w:t>(2025</w:t>
      </w:r>
      <w:r>
        <w:t>a</w:t>
      </w:r>
      <w:r w:rsidRPr="00CB14E6">
        <w:t xml:space="preserve">) </w:t>
      </w:r>
      <w:r w:rsidRPr="004D07AE">
        <w:rPr>
          <w:i/>
          <w:iCs/>
        </w:rPr>
        <w:t>Internal workforce metrics and diversity report 2024–25</w:t>
      </w:r>
      <w:r w:rsidRPr="00CB14E6">
        <w:t>. Cardiff: Natural Resources Wales</w:t>
      </w:r>
      <w:r w:rsidR="00D36FD7">
        <w:t xml:space="preserve">. Unpublished. </w:t>
      </w:r>
    </w:p>
    <w:p w14:paraId="4DC0110B" w14:textId="2DA843B0" w:rsidR="00302706" w:rsidRDefault="00302706" w:rsidP="00C84663">
      <w:r>
        <w:t>Natural Resources Wales (NRW)</w:t>
      </w:r>
      <w:r w:rsidR="00B3708B">
        <w:t>.</w:t>
      </w:r>
      <w:r>
        <w:t xml:space="preserve"> (2025b)</w:t>
      </w:r>
      <w:r w:rsidR="00CF6397">
        <w:t xml:space="preserve"> </w:t>
      </w:r>
      <w:r w:rsidR="00CF6397" w:rsidRPr="004D07AE">
        <w:rPr>
          <w:i/>
          <w:iCs/>
        </w:rPr>
        <w:t>Learning and Development strategy 2023 – 2027.</w:t>
      </w:r>
      <w:r w:rsidR="00CF6397">
        <w:t xml:space="preserve"> Cardiff: Natural Resources Wales</w:t>
      </w:r>
      <w:r w:rsidR="004108A3">
        <w:t>.</w:t>
      </w:r>
      <w:r w:rsidR="00CF6397">
        <w:t xml:space="preserve"> </w:t>
      </w:r>
      <w:r w:rsidR="00D36FD7">
        <w:t>Unpublished.</w:t>
      </w:r>
    </w:p>
    <w:p w14:paraId="466C0C8C" w14:textId="27CD9509" w:rsidR="00442C61" w:rsidRDefault="00442C61" w:rsidP="00C84663">
      <w:r>
        <w:t>Natural Resources Wales (NRW)</w:t>
      </w:r>
      <w:r w:rsidR="00B3708B">
        <w:t xml:space="preserve">. </w:t>
      </w:r>
      <w:r>
        <w:t xml:space="preserve">(2025c) </w:t>
      </w:r>
      <w:r w:rsidRPr="006471F4">
        <w:rPr>
          <w:i/>
          <w:iCs/>
        </w:rPr>
        <w:t>Recruitment Data Report</w:t>
      </w:r>
      <w:r w:rsidR="00CB4488" w:rsidRPr="006471F4">
        <w:rPr>
          <w:i/>
          <w:iCs/>
        </w:rPr>
        <w:t>: October 2025.</w:t>
      </w:r>
      <w:r w:rsidR="00CB4488">
        <w:t xml:space="preserve"> Cardiff: Natural Resources Wales</w:t>
      </w:r>
      <w:r w:rsidR="004108A3">
        <w:t xml:space="preserve">. </w:t>
      </w:r>
      <w:r w:rsidR="00D36FD7">
        <w:t>Unpublished.</w:t>
      </w:r>
    </w:p>
    <w:p w14:paraId="29F9B466" w14:textId="487100F5" w:rsidR="00E05845" w:rsidRDefault="00E05845" w:rsidP="00C84663">
      <w:r>
        <w:t>Natural Resources Wales (NRW</w:t>
      </w:r>
      <w:proofErr w:type="gramStart"/>
      <w:r>
        <w:t>)</w:t>
      </w:r>
      <w:r w:rsidR="00B3708B">
        <w:t>.</w:t>
      </w:r>
      <w:r>
        <w:t>(</w:t>
      </w:r>
      <w:proofErr w:type="gramEnd"/>
      <w:r>
        <w:t xml:space="preserve">2024) </w:t>
      </w:r>
      <w:r w:rsidR="000A29E1" w:rsidRPr="006471F4">
        <w:rPr>
          <w:i/>
          <w:iCs/>
        </w:rPr>
        <w:t>Hybrid and agile working</w:t>
      </w:r>
      <w:r w:rsidR="000A29E1">
        <w:t>. Cardiff: Natural Resources Wales</w:t>
      </w:r>
      <w:r w:rsidR="004108A3">
        <w:t xml:space="preserve">. </w:t>
      </w:r>
      <w:r w:rsidR="00D36FD7">
        <w:t>Unpublished.</w:t>
      </w:r>
    </w:p>
    <w:p w14:paraId="09FDCA5A" w14:textId="75216B64" w:rsidR="005725D6" w:rsidRPr="00CB14E6" w:rsidRDefault="005725D6" w:rsidP="00C84663">
      <w:r>
        <w:t>Natural Resources Wales (NRW</w:t>
      </w:r>
      <w:proofErr w:type="gramStart"/>
      <w:r>
        <w:t>)</w:t>
      </w:r>
      <w:r w:rsidR="00B3708B">
        <w:t>.</w:t>
      </w:r>
      <w:r>
        <w:t>(</w:t>
      </w:r>
      <w:proofErr w:type="gramEnd"/>
      <w:r>
        <w:t xml:space="preserve">2023) </w:t>
      </w:r>
      <w:r w:rsidRPr="006471F4">
        <w:rPr>
          <w:i/>
          <w:iCs/>
        </w:rPr>
        <w:t xml:space="preserve">Ein </w:t>
      </w:r>
      <w:proofErr w:type="spellStart"/>
      <w:r w:rsidRPr="006471F4">
        <w:rPr>
          <w:i/>
          <w:iCs/>
        </w:rPr>
        <w:t>Llais</w:t>
      </w:r>
      <w:proofErr w:type="spellEnd"/>
      <w:r w:rsidRPr="006471F4">
        <w:rPr>
          <w:i/>
          <w:iCs/>
        </w:rPr>
        <w:t xml:space="preserve"> Survey results.</w:t>
      </w:r>
      <w:r>
        <w:t xml:space="preserve"> Cardiff: Natural Resources Wales</w:t>
      </w:r>
      <w:r w:rsidR="004108A3">
        <w:t>. Unpublished.</w:t>
      </w:r>
      <w:r>
        <w:t xml:space="preserve"> </w:t>
      </w:r>
    </w:p>
    <w:p w14:paraId="0527F4B2" w14:textId="46DF5234" w:rsidR="0003175C" w:rsidRPr="00CB14E6" w:rsidRDefault="0003175C" w:rsidP="00C84663">
      <w:r w:rsidRPr="00CB14E6">
        <w:t>OECD</w:t>
      </w:r>
      <w:r w:rsidR="00B3708B">
        <w:t>.</w:t>
      </w:r>
      <w:r w:rsidRPr="00CB14E6">
        <w:t xml:space="preserve"> (2023) </w:t>
      </w:r>
      <w:r w:rsidRPr="006471F4">
        <w:rPr>
          <w:i/>
          <w:iCs/>
        </w:rPr>
        <w:t>Employment outlook 2023: Artificial intelligence and the labour market.</w:t>
      </w:r>
      <w:r w:rsidRPr="00CB14E6">
        <w:t xml:space="preserve"> Available at: </w:t>
      </w:r>
      <w:hyperlink r:id="rId81" w:history="1">
        <w:r w:rsidRPr="00C84663">
          <w:rPr>
            <w:rStyle w:val="Hyperlink"/>
            <w:rFonts w:cs="Arial"/>
            <w:szCs w:val="24"/>
          </w:rPr>
          <w:t>https://www.oecd.org/employment-outlook/</w:t>
        </w:r>
      </w:hyperlink>
      <w:r>
        <w:t xml:space="preserve"> </w:t>
      </w:r>
      <w:r w:rsidRPr="00CB14E6">
        <w:t xml:space="preserve"> (Accessed: 25 October 2025).</w:t>
      </w:r>
    </w:p>
    <w:p w14:paraId="68E30F60" w14:textId="00617D1F" w:rsidR="0003175C" w:rsidRPr="00CB14E6" w:rsidRDefault="0003175C" w:rsidP="00C84663">
      <w:r w:rsidRPr="00CB14E6">
        <w:t>Office for Budget Responsibility</w:t>
      </w:r>
      <w:r w:rsidR="00117481">
        <w:t xml:space="preserve"> (OBR)</w:t>
      </w:r>
      <w:r w:rsidR="00B3708B">
        <w:t>.</w:t>
      </w:r>
      <w:r w:rsidRPr="00CB14E6">
        <w:t xml:space="preserve"> (2025) </w:t>
      </w:r>
      <w:r w:rsidRPr="006471F4">
        <w:rPr>
          <w:i/>
          <w:iCs/>
        </w:rPr>
        <w:t>Economic and fiscal outlook: March 2025.</w:t>
      </w:r>
      <w:r w:rsidRPr="00CB14E6">
        <w:t xml:space="preserve"> Available at: </w:t>
      </w:r>
      <w:hyperlink r:id="rId82" w:history="1">
        <w:r w:rsidRPr="00C84663">
          <w:rPr>
            <w:rStyle w:val="Hyperlink"/>
            <w:rFonts w:cs="Arial"/>
            <w:szCs w:val="24"/>
          </w:rPr>
          <w:t>https://obr.uk/efo/economic-and-fiscal-outlook-march-2025/</w:t>
        </w:r>
      </w:hyperlink>
      <w:r>
        <w:t xml:space="preserve">  </w:t>
      </w:r>
      <w:r w:rsidRPr="00CB14E6">
        <w:t>(Accessed: 25 October 2025).</w:t>
      </w:r>
    </w:p>
    <w:p w14:paraId="69D1D759" w14:textId="3709B4C7" w:rsidR="0003175C" w:rsidRDefault="0003175C" w:rsidP="00C84663">
      <w:r w:rsidRPr="00CB14E6">
        <w:t>Office for National Statistics (ONS)</w:t>
      </w:r>
      <w:r w:rsidR="00B3708B">
        <w:t>.</w:t>
      </w:r>
      <w:r w:rsidRPr="00CB14E6">
        <w:t xml:space="preserve"> (2025</w:t>
      </w:r>
      <w:r w:rsidRPr="006471F4">
        <w:rPr>
          <w:i/>
          <w:iCs/>
        </w:rPr>
        <w:t>) Labour market overview, UK: January 2025.</w:t>
      </w:r>
      <w:r w:rsidRPr="00CB14E6">
        <w:t xml:space="preserve"> Available at: </w:t>
      </w:r>
      <w:hyperlink r:id="rId83" w:history="1">
        <w:r w:rsidRPr="00C84663">
          <w:rPr>
            <w:rStyle w:val="Hyperlink"/>
            <w:rFonts w:cs="Arial"/>
            <w:szCs w:val="24"/>
          </w:rPr>
          <w:t>https://www.ons.gov.uk/employmentandlabourmarket/peopleinwork/employmentandemployeetypes/bulletins/uklabourmarket/january2025</w:t>
        </w:r>
      </w:hyperlink>
      <w:r>
        <w:t xml:space="preserve"> </w:t>
      </w:r>
      <w:r w:rsidRPr="00CB14E6">
        <w:t xml:space="preserve"> (Accessed: 25 October 2025).</w:t>
      </w:r>
    </w:p>
    <w:p w14:paraId="323F6CBD" w14:textId="77777777" w:rsidR="0003175C" w:rsidRDefault="0003175C" w:rsidP="00C84663">
      <w:r>
        <w:t xml:space="preserve">Orlando, C., Winton, A., Alexander, K. (2023) </w:t>
      </w:r>
      <w:r w:rsidRPr="00051DE3">
        <w:rPr>
          <w:i/>
          <w:iCs/>
        </w:rPr>
        <w:t>Bridging the Gap: Making Young People a Vital Part of Every Workforce</w:t>
      </w:r>
      <w:r>
        <w:t xml:space="preserve">. Available at:   </w:t>
      </w:r>
      <w:hyperlink r:id="rId84" w:history="1">
        <w:r w:rsidRPr="00FC6FE4">
          <w:rPr>
            <w:rStyle w:val="Hyperlink"/>
          </w:rPr>
          <w:t>https://www.employment-studies.co.uk/system/files/resources/files/Bridging%20the%20gap.pdf</w:t>
        </w:r>
      </w:hyperlink>
      <w:r>
        <w:t xml:space="preserve"> (Accessed: 5 November 2025). </w:t>
      </w:r>
    </w:p>
    <w:p w14:paraId="463B6EB8" w14:textId="0A68F7B6" w:rsidR="0003175C" w:rsidRDefault="0003175C" w:rsidP="00C84663">
      <w:r w:rsidRPr="002C4E48">
        <w:lastRenderedPageBreak/>
        <w:t xml:space="preserve">Overton, L. (2023) </w:t>
      </w:r>
      <w:r w:rsidRPr="00051DE3">
        <w:rPr>
          <w:i/>
          <w:iCs/>
        </w:rPr>
        <w:t>Learning at work 2023 survey report.</w:t>
      </w:r>
      <w:r w:rsidRPr="002C4E48">
        <w:t xml:space="preserve"> </w:t>
      </w:r>
      <w:r>
        <w:t xml:space="preserve">Available at: </w:t>
      </w:r>
      <w:hyperlink r:id="rId85" w:history="1">
        <w:r w:rsidRPr="00B4475A">
          <w:rPr>
            <w:rStyle w:val="Hyperlink"/>
          </w:rPr>
          <w:t>https://www.cipd.org/globalassets/media/knowledge/knowledge-hub/reports/2023-pdfs/2023-learning-at-work-survey-report-8378.pdf</w:t>
        </w:r>
      </w:hyperlink>
      <w:r>
        <w:t xml:space="preserve"> (Accessed: 1 November 2025). </w:t>
      </w:r>
    </w:p>
    <w:p w14:paraId="4AE10D69" w14:textId="36CC48B1" w:rsidR="0069242E" w:rsidRPr="00CB14E6" w:rsidRDefault="0069242E" w:rsidP="00C84663">
      <w:r w:rsidRPr="0038134F">
        <w:rPr>
          <w:rFonts w:cs="Arial"/>
          <w:szCs w:val="24"/>
        </w:rPr>
        <w:t>Perera, R. (2017)</w:t>
      </w:r>
      <w:r>
        <w:rPr>
          <w:rFonts w:cs="Arial"/>
          <w:szCs w:val="24"/>
        </w:rPr>
        <w:t xml:space="preserve"> </w:t>
      </w:r>
      <w:r w:rsidRPr="00F06C41">
        <w:rPr>
          <w:rFonts w:cs="Arial"/>
          <w:i/>
          <w:iCs/>
          <w:szCs w:val="24"/>
        </w:rPr>
        <w:t>The PESTLE Analysis</w:t>
      </w:r>
      <w:r w:rsidRPr="0038134F">
        <w:rPr>
          <w:rFonts w:cs="Arial"/>
          <w:szCs w:val="24"/>
        </w:rPr>
        <w:t>. Research Gate.</w:t>
      </w:r>
    </w:p>
    <w:p w14:paraId="71135D6F" w14:textId="77777777" w:rsidR="0003175C" w:rsidRDefault="0003175C" w:rsidP="00C84663">
      <w:r>
        <w:t xml:space="preserve">Phillips, D. (2025) </w:t>
      </w:r>
      <w:r w:rsidRPr="00C84663">
        <w:rPr>
          <w:i/>
          <w:iCs/>
        </w:rPr>
        <w:t xml:space="preserve">Welsh draft budget approach increased the risk of unaffordable election pledges. </w:t>
      </w:r>
      <w:r>
        <w:t xml:space="preserve">Available at: </w:t>
      </w:r>
      <w:hyperlink r:id="rId86" w:history="1">
        <w:r w:rsidRPr="00860D47">
          <w:rPr>
            <w:rStyle w:val="Hyperlink"/>
          </w:rPr>
          <w:t>https://ifs.org.uk/articles/welsh-draft-budget-approach-increased-risk-unaffordable-election-pledges</w:t>
        </w:r>
      </w:hyperlink>
      <w:r>
        <w:t xml:space="preserve"> (Accessed: 25 October 2025)</w:t>
      </w:r>
    </w:p>
    <w:p w14:paraId="7C8C1121" w14:textId="5E70010E" w:rsidR="003672B3" w:rsidRPr="00F2483C" w:rsidRDefault="003672B3" w:rsidP="00C84663">
      <w:r>
        <w:t>Polzer, J.T. (2022)</w:t>
      </w:r>
      <w:r w:rsidR="00801C1D">
        <w:t xml:space="preserve"> ‘The rise of people analytics and the future of organizational research’, </w:t>
      </w:r>
      <w:r w:rsidR="00801C1D">
        <w:rPr>
          <w:i/>
          <w:iCs/>
        </w:rPr>
        <w:t>Research in Organizational Behaviour,</w:t>
      </w:r>
      <w:r w:rsidR="00F2483C">
        <w:rPr>
          <w:i/>
          <w:iCs/>
        </w:rPr>
        <w:t xml:space="preserve"> </w:t>
      </w:r>
      <w:r w:rsidR="00F2483C">
        <w:t>42</w:t>
      </w:r>
      <w:r w:rsidR="004A3F5A">
        <w:t xml:space="preserve">. Available at: </w:t>
      </w:r>
      <w:hyperlink r:id="rId87" w:history="1">
        <w:r w:rsidR="00035067" w:rsidRPr="00530E59">
          <w:rPr>
            <w:rStyle w:val="Hyperlink"/>
          </w:rPr>
          <w:t>https://www.sciencedirect.com/science/article/pii/S0191308523000011?via%3Dihub</w:t>
        </w:r>
      </w:hyperlink>
      <w:r w:rsidR="00035067">
        <w:t xml:space="preserve"> (Accessed: 1 November 2025). </w:t>
      </w:r>
    </w:p>
    <w:p w14:paraId="0EF46E4D" w14:textId="77777777" w:rsidR="0003175C" w:rsidRPr="00CB14E6" w:rsidRDefault="0003175C" w:rsidP="00C84663">
      <w:r w:rsidRPr="00CB14E6">
        <w:t xml:space="preserve">Purcell, J. and Hutchinson, S. (2007) ‘Front-line managers as agents in the HRM–performance causal chain: Theory, analysis and evidence’, </w:t>
      </w:r>
      <w:r w:rsidRPr="00C6738B">
        <w:rPr>
          <w:i/>
          <w:iCs/>
        </w:rPr>
        <w:t>Human Resource Management Journal</w:t>
      </w:r>
      <w:r w:rsidRPr="00CB14E6">
        <w:t xml:space="preserve">, 17(1), pp. 3–20. Available at: </w:t>
      </w:r>
      <w:hyperlink r:id="rId88" w:history="1">
        <w:r w:rsidRPr="00C84663">
          <w:rPr>
            <w:rStyle w:val="Hyperlink"/>
            <w:rFonts w:cs="Arial"/>
            <w:szCs w:val="24"/>
          </w:rPr>
          <w:t>https://doi.org/10.1111/j.1748-8583.2007.00022.x</w:t>
        </w:r>
      </w:hyperlink>
      <w:r>
        <w:t xml:space="preserve"> </w:t>
      </w:r>
      <w:r w:rsidRPr="00CB14E6">
        <w:t xml:space="preserve"> (Accessed: 25 October 2025).</w:t>
      </w:r>
    </w:p>
    <w:p w14:paraId="523846EE" w14:textId="77777777" w:rsidR="0003175C" w:rsidRDefault="0003175C" w:rsidP="00C84663">
      <w:r>
        <w:t xml:space="preserve">Rigotti, C., </w:t>
      </w:r>
      <w:proofErr w:type="spellStart"/>
      <w:r>
        <w:t>Fosh</w:t>
      </w:r>
      <w:proofErr w:type="spellEnd"/>
      <w:r>
        <w:t xml:space="preserve">-Villaronga, E. (2024) ‘Fairness, AI &amp; recruitment’, </w:t>
      </w:r>
      <w:r w:rsidRPr="00C84663">
        <w:rPr>
          <w:i/>
          <w:iCs/>
        </w:rPr>
        <w:t xml:space="preserve">Computer Law &amp; Security Review, </w:t>
      </w:r>
      <w:r>
        <w:t xml:space="preserve">53. Available at:  </w:t>
      </w:r>
      <w:hyperlink r:id="rId89" w:history="1">
        <w:r w:rsidRPr="00B4475A">
          <w:rPr>
            <w:rStyle w:val="Hyperlink"/>
          </w:rPr>
          <w:t>https://www.sciencedirect.com/science/article/pii/S0267364924000335</w:t>
        </w:r>
      </w:hyperlink>
      <w:r>
        <w:t xml:space="preserve"> (Accessed: 25 October 2025). </w:t>
      </w:r>
    </w:p>
    <w:p w14:paraId="5405F2D3" w14:textId="77777777" w:rsidR="0003175C" w:rsidRDefault="0003175C" w:rsidP="00C84663">
      <w:r w:rsidRPr="00A62256">
        <w:t xml:space="preserve">Rousseau, D. M. (1989). </w:t>
      </w:r>
      <w:r>
        <w:t>‘</w:t>
      </w:r>
      <w:r w:rsidRPr="00A62256">
        <w:t>Psychological and implied contracts in organizations</w:t>
      </w:r>
      <w:r>
        <w:t>’,</w:t>
      </w:r>
      <w:r w:rsidRPr="00A62256">
        <w:t> </w:t>
      </w:r>
      <w:r w:rsidRPr="00C84663">
        <w:rPr>
          <w:i/>
          <w:iCs/>
        </w:rPr>
        <w:t>Employee Responsibilities and Rights Journal, 2</w:t>
      </w:r>
      <w:r w:rsidRPr="00A62256">
        <w:t xml:space="preserve">(2), </w:t>
      </w:r>
      <w:r>
        <w:t>pp.</w:t>
      </w:r>
      <w:r w:rsidRPr="00A62256">
        <w:t>121–139.</w:t>
      </w:r>
      <w:r>
        <w:t xml:space="preserve"> Available at: </w:t>
      </w:r>
      <w:hyperlink r:id="rId90" w:history="1">
        <w:r w:rsidRPr="00B4475A">
          <w:rPr>
            <w:rStyle w:val="Hyperlink"/>
          </w:rPr>
          <w:t>https://doi.org/10.1007/BF01384942</w:t>
        </w:r>
      </w:hyperlink>
      <w:r>
        <w:t>. (Accessed: 1</w:t>
      </w:r>
      <w:r w:rsidRPr="00C84663">
        <w:rPr>
          <w:vertAlign w:val="superscript"/>
        </w:rPr>
        <w:t xml:space="preserve"> </w:t>
      </w:r>
      <w:r>
        <w:t xml:space="preserve">November 2025). </w:t>
      </w:r>
    </w:p>
    <w:p w14:paraId="23127CB7" w14:textId="763EC634" w:rsidR="00393397" w:rsidRPr="001B7F2D" w:rsidRDefault="00393397" w:rsidP="00C84663">
      <w:r>
        <w:t xml:space="preserve">Soleimani, M., </w:t>
      </w:r>
      <w:proofErr w:type="spellStart"/>
      <w:r>
        <w:t>Interzari</w:t>
      </w:r>
      <w:proofErr w:type="spellEnd"/>
      <w:r>
        <w:t xml:space="preserve">, A., Arrowsmith, J., Pauleen, D., and Taskin, N. (2024) ‘Reducing AI bias in recruitment and selection: an integrative grounded approach’. </w:t>
      </w:r>
      <w:r w:rsidR="001B7F2D">
        <w:rPr>
          <w:i/>
          <w:iCs/>
        </w:rPr>
        <w:t xml:space="preserve">The International Journal of Human Resource Management, </w:t>
      </w:r>
      <w:r w:rsidR="001B7F2D">
        <w:t xml:space="preserve">36(1), pp.2480-2515. Available at: </w:t>
      </w:r>
      <w:hyperlink r:id="rId91" w:history="1">
        <w:r w:rsidR="00B93C19" w:rsidRPr="00CC3307">
          <w:rPr>
            <w:rStyle w:val="Hyperlink"/>
          </w:rPr>
          <w:t>https://doi.org/10.1080/09585192.2025.2480617</w:t>
        </w:r>
      </w:hyperlink>
      <w:r w:rsidR="00B93C19">
        <w:t xml:space="preserve"> (Accessed: 5 November 2025). </w:t>
      </w:r>
    </w:p>
    <w:p w14:paraId="034164BE" w14:textId="77777777" w:rsidR="0003175C" w:rsidRDefault="0003175C" w:rsidP="00C84663">
      <w:r w:rsidRPr="00CB14E6">
        <w:t xml:space="preserve">Schuler, R. S. and Jackson, S. E. (2014) Strategic human resource management. 2nd </w:t>
      </w:r>
      <w:proofErr w:type="spellStart"/>
      <w:r w:rsidRPr="00CB14E6">
        <w:t>edn</w:t>
      </w:r>
      <w:proofErr w:type="spellEnd"/>
      <w:r w:rsidRPr="00CB14E6">
        <w:t>. Oxford: Wiley-Blackwell.</w:t>
      </w:r>
    </w:p>
    <w:p w14:paraId="7EC28990" w14:textId="77777777" w:rsidR="0003175C" w:rsidRDefault="0003175C" w:rsidP="00C84663">
      <w:r>
        <w:t xml:space="preserve">Secker, A. (2020) </w:t>
      </w:r>
      <w:r w:rsidRPr="00C84663">
        <w:rPr>
          <w:i/>
          <w:iCs/>
        </w:rPr>
        <w:t xml:space="preserve">The legal risks of succession planning. </w:t>
      </w:r>
      <w:r>
        <w:t xml:space="preserve">Available at: </w:t>
      </w:r>
      <w:hyperlink r:id="rId92" w:history="1">
        <w:r w:rsidRPr="00B4475A">
          <w:rPr>
            <w:rStyle w:val="Hyperlink"/>
          </w:rPr>
          <w:t>https://www.peoplemanagement.co.uk/article/1745471/legal-risks-of-succession-planning</w:t>
        </w:r>
      </w:hyperlink>
      <w:r>
        <w:t xml:space="preserve"> (Accessed: 1 November 2025). </w:t>
      </w:r>
    </w:p>
    <w:p w14:paraId="08245088" w14:textId="77777777" w:rsidR="0003175C" w:rsidRPr="007F03E0" w:rsidRDefault="0003175C" w:rsidP="00C84663">
      <w:r>
        <w:t xml:space="preserve">Senedd Cymru. (2025) </w:t>
      </w:r>
      <w:r w:rsidRPr="00C84663">
        <w:rPr>
          <w:i/>
          <w:iCs/>
        </w:rPr>
        <w:t xml:space="preserve">Plenary: Statement by the Cabinet Secretary for Finance and Welsh Language: The Approach to the 2026-27 Budget. </w:t>
      </w:r>
      <w:r>
        <w:t xml:space="preserve">Available at: </w:t>
      </w:r>
      <w:hyperlink r:id="rId93" w:history="1">
        <w:r w:rsidRPr="00B4475A">
          <w:rPr>
            <w:rStyle w:val="Hyperlink"/>
          </w:rPr>
          <w:t>https://www.senedd.tv/Meeting/Archive/e3e7b2d9-2b33-4e64-a396-e4dadf9211fb?startPos=7783&amp;autostart=True#</w:t>
        </w:r>
      </w:hyperlink>
      <w:r>
        <w:t xml:space="preserve">  (Accessed: 1 November 2025). </w:t>
      </w:r>
    </w:p>
    <w:p w14:paraId="74321525" w14:textId="201E7052" w:rsidR="0003175C" w:rsidRPr="00F74FF7" w:rsidRDefault="00C26407" w:rsidP="00C84663">
      <w:r>
        <w:rPr>
          <w:i/>
          <w:iCs/>
        </w:rPr>
        <w:t xml:space="preserve">Senedd Cymru </w:t>
      </w:r>
      <w:r w:rsidR="008318B9">
        <w:rPr>
          <w:i/>
          <w:iCs/>
        </w:rPr>
        <w:t>(Members and Elections) Act 2024</w:t>
      </w:r>
      <w:r w:rsidR="00491FB7">
        <w:rPr>
          <w:i/>
          <w:iCs/>
        </w:rPr>
        <w:t xml:space="preserve"> (Wales) </w:t>
      </w:r>
      <w:r w:rsidR="00491FB7">
        <w:t>(w.4)</w:t>
      </w:r>
      <w:r w:rsidR="0003175C" w:rsidRPr="00C84663">
        <w:rPr>
          <w:i/>
          <w:iCs/>
        </w:rPr>
        <w:t xml:space="preserve">. </w:t>
      </w:r>
      <w:r w:rsidR="0003175C">
        <w:t xml:space="preserve">Available at: </w:t>
      </w:r>
      <w:hyperlink r:id="rId94" w:history="1">
        <w:r w:rsidR="005F47FE" w:rsidRPr="001C688A">
          <w:rPr>
            <w:rStyle w:val="Hyperlink"/>
          </w:rPr>
          <w:t>https://www.legislation.gov.uk/asc/2024/4/section/5</w:t>
        </w:r>
      </w:hyperlink>
      <w:r w:rsidR="005F47FE">
        <w:t xml:space="preserve"> </w:t>
      </w:r>
      <w:r w:rsidR="0003175C">
        <w:t xml:space="preserve">(Accessed: 1 November 2025). </w:t>
      </w:r>
    </w:p>
    <w:p w14:paraId="40621EEF" w14:textId="77777777" w:rsidR="0003175C" w:rsidRPr="00CB14E6" w:rsidRDefault="0003175C" w:rsidP="00C84663">
      <w:r w:rsidRPr="00CB14E6">
        <w:t xml:space="preserve">Shore, L. M., Randel, A. E., Chung, B. G., Dean, M. A., Ehrhart, K. H. and Singh, G. (2018) ‘Inclusion and diversity in work groups: A review and model for future </w:t>
      </w:r>
      <w:r w:rsidRPr="00CB14E6">
        <w:lastRenderedPageBreak/>
        <w:t xml:space="preserve">research’, </w:t>
      </w:r>
      <w:r w:rsidRPr="00B63622">
        <w:rPr>
          <w:i/>
          <w:iCs/>
        </w:rPr>
        <w:t>Journal of Management</w:t>
      </w:r>
      <w:r w:rsidRPr="00CB14E6">
        <w:t xml:space="preserve">, 44(1), pp. 118–142. Available at: </w:t>
      </w:r>
      <w:hyperlink r:id="rId95" w:history="1">
        <w:r w:rsidRPr="00C84663">
          <w:rPr>
            <w:rStyle w:val="Hyperlink"/>
            <w:rFonts w:cs="Arial"/>
            <w:szCs w:val="24"/>
          </w:rPr>
          <w:t>https://doi.org/10.1177/0149206317733515</w:t>
        </w:r>
      </w:hyperlink>
      <w:r>
        <w:t xml:space="preserve"> </w:t>
      </w:r>
      <w:r w:rsidRPr="00CB14E6">
        <w:t xml:space="preserve"> (Accessed: 25 October 2025).</w:t>
      </w:r>
    </w:p>
    <w:p w14:paraId="0F497F48" w14:textId="77777777" w:rsidR="0003175C" w:rsidRDefault="0003175C" w:rsidP="00C84663">
      <w:r>
        <w:t xml:space="preserve">Shuttleworth, K. (2021) </w:t>
      </w:r>
      <w:r w:rsidRPr="00C84663">
        <w:rPr>
          <w:i/>
          <w:iCs/>
        </w:rPr>
        <w:t xml:space="preserve">Welsh elections 2026: Senedd Cymru (Welsh parliament). </w:t>
      </w:r>
      <w:r>
        <w:t xml:space="preserve">Available at: </w:t>
      </w:r>
      <w:hyperlink r:id="rId96" w:history="1">
        <w:r w:rsidRPr="00860D47">
          <w:rPr>
            <w:rStyle w:val="Hyperlink"/>
          </w:rPr>
          <w:t>https://www.instituteforgovernment.org.uk/explainer/senedd-cymru-welsh-parliament</w:t>
        </w:r>
      </w:hyperlink>
      <w:r>
        <w:t xml:space="preserve"> (Accessed: 25 October 2025).</w:t>
      </w:r>
    </w:p>
    <w:p w14:paraId="11A4B970" w14:textId="77777777" w:rsidR="0003175C" w:rsidRPr="00407C75" w:rsidRDefault="0003175C" w:rsidP="00C84663">
      <w:r>
        <w:t xml:space="preserve">Tambay, G. (2024) </w:t>
      </w:r>
      <w:r>
        <w:rPr>
          <w:i/>
          <w:iCs/>
        </w:rPr>
        <w:t xml:space="preserve">Why L&amp;D is critical to driving employee retention in 2024. </w:t>
      </w:r>
      <w:r>
        <w:t xml:space="preserve">Available at: </w:t>
      </w:r>
      <w:hyperlink r:id="rId97" w:history="1">
        <w:r w:rsidRPr="00FC6FE4">
          <w:rPr>
            <w:rStyle w:val="Hyperlink"/>
          </w:rPr>
          <w:t>https://www.peoplemanagement.co.uk/article/1856529/why-l-d-critical-driving-employee-retention-2024</w:t>
        </w:r>
      </w:hyperlink>
      <w:r>
        <w:t xml:space="preserve"> (Accessed: 5 November 2025). </w:t>
      </w:r>
    </w:p>
    <w:p w14:paraId="776AADB7" w14:textId="77777777" w:rsidR="0003175C" w:rsidRDefault="0003175C" w:rsidP="00C84663">
      <w:r>
        <w:t>Taylor, S. (2025) Resourcing and Talent Management: The Theory and practice of recruiting and developing a workforce. 8edn, Kogan Page: London.</w:t>
      </w:r>
    </w:p>
    <w:p w14:paraId="52972FE1" w14:textId="77777777" w:rsidR="0003175C" w:rsidRDefault="0003175C" w:rsidP="00C84663">
      <w:r>
        <w:t xml:space="preserve">Taylor, S., and Perkins, G. (2021) Work and employment in a changing business environment. 1edn, Kogan Page: London.  </w:t>
      </w:r>
    </w:p>
    <w:p w14:paraId="0D14A1E2" w14:textId="094EE90D" w:rsidR="0003175C" w:rsidRDefault="0003175C" w:rsidP="00C84663">
      <w:r>
        <w:t>Welsh Government</w:t>
      </w:r>
      <w:r w:rsidR="00AB6436">
        <w:t>.</w:t>
      </w:r>
      <w:r>
        <w:t xml:space="preserve"> (2025) </w:t>
      </w:r>
      <w:r w:rsidRPr="00C84663">
        <w:rPr>
          <w:i/>
          <w:iCs/>
        </w:rPr>
        <w:t xml:space="preserve">£27bn Draft Budget “just the start” – Finance Secretary. </w:t>
      </w:r>
      <w:r>
        <w:t xml:space="preserve">Available at: </w:t>
      </w:r>
      <w:hyperlink r:id="rId98" w:history="1">
        <w:r w:rsidRPr="00B4475A">
          <w:rPr>
            <w:rStyle w:val="Hyperlink"/>
          </w:rPr>
          <w:t>https://media.service.gov.wales/news/gbp-27bn-draft-budget-just-the-start-finance-secretary</w:t>
        </w:r>
      </w:hyperlink>
      <w:r>
        <w:t xml:space="preserve"> (Accessed: 25 October 2025).</w:t>
      </w:r>
    </w:p>
    <w:p w14:paraId="6B931817" w14:textId="3ECE3EE0" w:rsidR="0003175C" w:rsidRDefault="0003175C" w:rsidP="00C84663">
      <w:r w:rsidRPr="003F6787">
        <w:t>Welsh Government</w:t>
      </w:r>
      <w:r w:rsidR="00AB6436">
        <w:t>.</w:t>
      </w:r>
      <w:r w:rsidRPr="003F6787">
        <w:t xml:space="preserve"> (2025) </w:t>
      </w:r>
      <w:r w:rsidRPr="00C84663">
        <w:rPr>
          <w:i/>
          <w:iCs/>
        </w:rPr>
        <w:t xml:space="preserve">Climate Change, Environment, and Infrastructure Committee: Welsh Government Draft Budget Scrutiny 2025 -26. </w:t>
      </w:r>
      <w:r w:rsidRPr="003F6787">
        <w:t xml:space="preserve">Available at: </w:t>
      </w:r>
      <w:r w:rsidRPr="00C84663">
        <w:rPr>
          <w:i/>
          <w:iCs/>
        </w:rPr>
        <w:br/>
      </w:r>
      <w:hyperlink r:id="rId99" w:history="1">
        <w:r w:rsidRPr="00860D47">
          <w:rPr>
            <w:rStyle w:val="Hyperlink"/>
          </w:rPr>
          <w:t>https://www.gov.wales/sites/default/files/publications/2025-01/evidence-by-the-deputy-first-minister-and-cabinet-secretary-for-climate-change-and-rural-affairs.pdf</w:t>
        </w:r>
      </w:hyperlink>
      <w:r>
        <w:t xml:space="preserve"> (Accessed: 25 November 2025). </w:t>
      </w:r>
    </w:p>
    <w:p w14:paraId="05102504" w14:textId="77777777" w:rsidR="0003175C" w:rsidRPr="009D37CA" w:rsidRDefault="0003175C" w:rsidP="00C84663">
      <w:r>
        <w:t xml:space="preserve">Will, P., Dario, K., Lordan, G. (2023) ‘People versus machines: Introducing the HIRE framework’. </w:t>
      </w:r>
      <w:r>
        <w:rPr>
          <w:i/>
          <w:iCs/>
        </w:rPr>
        <w:t xml:space="preserve">Artificial Intelligence Review, </w:t>
      </w:r>
      <w:r>
        <w:t xml:space="preserve">56, pp. 1071-1100. Available at: </w:t>
      </w:r>
      <w:hyperlink r:id="rId100" w:anchor="Sec19" w:history="1">
        <w:r w:rsidRPr="00FC6FE4">
          <w:rPr>
            <w:rStyle w:val="Hyperlink"/>
          </w:rPr>
          <w:t>https://link.springer.com/article/10.1007/s10462-022-10193-6#Sec19</w:t>
        </w:r>
      </w:hyperlink>
      <w:r>
        <w:t xml:space="preserve"> (Accessed: 5 November 2025). </w:t>
      </w:r>
    </w:p>
    <w:p w14:paraId="02F517BF" w14:textId="4FBB3719" w:rsidR="00F177E7" w:rsidRPr="00E12B73" w:rsidRDefault="0003175C" w:rsidP="00E12B73">
      <w:r>
        <w:t xml:space="preserve">World Economic Forum. (2025) </w:t>
      </w:r>
      <w:r w:rsidRPr="00C84663">
        <w:rPr>
          <w:i/>
          <w:iCs/>
        </w:rPr>
        <w:t xml:space="preserve">Future of jobs report 2025. </w:t>
      </w:r>
      <w:r>
        <w:t xml:space="preserve">Geneva: World Economic Forum. Available at: </w:t>
      </w:r>
      <w:hyperlink r:id="rId101" w:history="1">
        <w:r w:rsidRPr="00B4475A">
          <w:rPr>
            <w:rStyle w:val="Hyperlink"/>
          </w:rPr>
          <w:t>https://reports.weforum.org/docs/WEF_Future_of_Jobs_Report_2025.pdf</w:t>
        </w:r>
      </w:hyperlink>
      <w:r>
        <w:t xml:space="preserve"> (Accessed: 1 November 2025). </w:t>
      </w:r>
    </w:p>
    <w:sectPr w:rsidR="00F177E7" w:rsidRPr="00E12B73" w:rsidSect="00022D7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6FAFE" w14:textId="77777777" w:rsidR="002F34D9" w:rsidRDefault="002F34D9" w:rsidP="003A154C">
      <w:pPr>
        <w:spacing w:after="0" w:line="240" w:lineRule="auto"/>
      </w:pPr>
      <w:r>
        <w:separator/>
      </w:r>
    </w:p>
  </w:endnote>
  <w:endnote w:type="continuationSeparator" w:id="0">
    <w:p w14:paraId="0B5A572C" w14:textId="77777777" w:rsidR="002F34D9" w:rsidRDefault="002F34D9" w:rsidP="003A1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4"/>
      </w:rPr>
      <w:id w:val="1234743283"/>
      <w:docPartObj>
        <w:docPartGallery w:val="Page Numbers (Bottom of Page)"/>
        <w:docPartUnique/>
      </w:docPartObj>
    </w:sdtPr>
    <w:sdtContent>
      <w:p w14:paraId="0A80A2F4" w14:textId="7110990E" w:rsidR="003A154C" w:rsidRPr="00AF6FE6" w:rsidRDefault="003A154C" w:rsidP="00AF6FE6">
        <w:pPr>
          <w:pStyle w:val="Footer"/>
          <w:jc w:val="right"/>
          <w:rPr>
            <w:szCs w:val="24"/>
          </w:rPr>
        </w:pPr>
        <w:r w:rsidRPr="00AF6FE6">
          <w:rPr>
            <w:szCs w:val="24"/>
          </w:rPr>
          <w:fldChar w:fldCharType="begin"/>
        </w:r>
        <w:r w:rsidRPr="00AF6FE6">
          <w:rPr>
            <w:szCs w:val="24"/>
          </w:rPr>
          <w:instrText>PAGE   \* MERGEFORMAT</w:instrText>
        </w:r>
        <w:r w:rsidRPr="00AF6FE6">
          <w:rPr>
            <w:szCs w:val="24"/>
          </w:rPr>
          <w:fldChar w:fldCharType="separate"/>
        </w:r>
        <w:r w:rsidRPr="00AF6FE6">
          <w:rPr>
            <w:szCs w:val="24"/>
          </w:rPr>
          <w:t>2</w:t>
        </w:r>
        <w:r w:rsidRPr="00AF6FE6">
          <w:rPr>
            <w:szCs w:val="24"/>
          </w:rPr>
          <w:fldChar w:fldCharType="end"/>
        </w:r>
      </w:p>
    </w:sdtContent>
  </w:sdt>
  <w:p w14:paraId="301BBF14" w14:textId="77777777" w:rsidR="003A154C" w:rsidRDefault="003A1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EF641" w14:textId="77777777" w:rsidR="002F34D9" w:rsidRDefault="002F34D9" w:rsidP="003A154C">
      <w:pPr>
        <w:spacing w:after="0" w:line="240" w:lineRule="auto"/>
      </w:pPr>
      <w:r>
        <w:separator/>
      </w:r>
    </w:p>
  </w:footnote>
  <w:footnote w:type="continuationSeparator" w:id="0">
    <w:p w14:paraId="4C50F99D" w14:textId="77777777" w:rsidR="002F34D9" w:rsidRDefault="002F34D9" w:rsidP="003A1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4B6A"/>
    <w:multiLevelType w:val="hybridMultilevel"/>
    <w:tmpl w:val="B3B82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4187B"/>
    <w:multiLevelType w:val="hybridMultilevel"/>
    <w:tmpl w:val="417EE2E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86B24"/>
    <w:multiLevelType w:val="hybridMultilevel"/>
    <w:tmpl w:val="314C8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95A7E"/>
    <w:multiLevelType w:val="hybridMultilevel"/>
    <w:tmpl w:val="50B21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45CBA"/>
    <w:multiLevelType w:val="hybridMultilevel"/>
    <w:tmpl w:val="CB8EB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721885"/>
    <w:multiLevelType w:val="hybridMultilevel"/>
    <w:tmpl w:val="9BEC1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372B7"/>
    <w:multiLevelType w:val="hybridMultilevel"/>
    <w:tmpl w:val="192C1F2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1866"/>
    <w:multiLevelType w:val="hybridMultilevel"/>
    <w:tmpl w:val="471A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242C07"/>
    <w:multiLevelType w:val="hybridMultilevel"/>
    <w:tmpl w:val="9A74F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14705"/>
    <w:multiLevelType w:val="hybridMultilevel"/>
    <w:tmpl w:val="C8E22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962010"/>
    <w:multiLevelType w:val="hybridMultilevel"/>
    <w:tmpl w:val="708C2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112B82"/>
    <w:multiLevelType w:val="hybridMultilevel"/>
    <w:tmpl w:val="B8D43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061AD2"/>
    <w:multiLevelType w:val="hybridMultilevel"/>
    <w:tmpl w:val="45B8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0B0EFD"/>
    <w:multiLevelType w:val="hybridMultilevel"/>
    <w:tmpl w:val="73C4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36B39"/>
    <w:multiLevelType w:val="hybridMultilevel"/>
    <w:tmpl w:val="7F9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585038">
    <w:abstractNumId w:val="4"/>
  </w:num>
  <w:num w:numId="2" w16cid:durableId="969017249">
    <w:abstractNumId w:val="9"/>
  </w:num>
  <w:num w:numId="3" w16cid:durableId="718357920">
    <w:abstractNumId w:val="11"/>
  </w:num>
  <w:num w:numId="4" w16cid:durableId="695153874">
    <w:abstractNumId w:val="1"/>
  </w:num>
  <w:num w:numId="5" w16cid:durableId="188224043">
    <w:abstractNumId w:val="5"/>
  </w:num>
  <w:num w:numId="6" w16cid:durableId="910046596">
    <w:abstractNumId w:val="7"/>
  </w:num>
  <w:num w:numId="7" w16cid:durableId="1327712437">
    <w:abstractNumId w:val="14"/>
  </w:num>
  <w:num w:numId="8" w16cid:durableId="1159613804">
    <w:abstractNumId w:val="12"/>
  </w:num>
  <w:num w:numId="9" w16cid:durableId="590357872">
    <w:abstractNumId w:val="13"/>
  </w:num>
  <w:num w:numId="10" w16cid:durableId="604657105">
    <w:abstractNumId w:val="10"/>
  </w:num>
  <w:num w:numId="11" w16cid:durableId="772750082">
    <w:abstractNumId w:val="0"/>
  </w:num>
  <w:num w:numId="12" w16cid:durableId="720247576">
    <w:abstractNumId w:val="2"/>
  </w:num>
  <w:num w:numId="13" w16cid:durableId="1481262693">
    <w:abstractNumId w:val="8"/>
  </w:num>
  <w:num w:numId="14" w16cid:durableId="1465466050">
    <w:abstractNumId w:val="3"/>
  </w:num>
  <w:num w:numId="15" w16cid:durableId="8929354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A4"/>
    <w:rsid w:val="000000B4"/>
    <w:rsid w:val="0000117D"/>
    <w:rsid w:val="00001969"/>
    <w:rsid w:val="00002582"/>
    <w:rsid w:val="0000300E"/>
    <w:rsid w:val="00005026"/>
    <w:rsid w:val="000054D8"/>
    <w:rsid w:val="0000770F"/>
    <w:rsid w:val="00007E9C"/>
    <w:rsid w:val="000111F9"/>
    <w:rsid w:val="00011F42"/>
    <w:rsid w:val="000122D2"/>
    <w:rsid w:val="000136DE"/>
    <w:rsid w:val="00014401"/>
    <w:rsid w:val="000164EF"/>
    <w:rsid w:val="00016FB0"/>
    <w:rsid w:val="00017129"/>
    <w:rsid w:val="000172E9"/>
    <w:rsid w:val="00021BD1"/>
    <w:rsid w:val="00022D71"/>
    <w:rsid w:val="00026414"/>
    <w:rsid w:val="000274BB"/>
    <w:rsid w:val="00027DD9"/>
    <w:rsid w:val="00030032"/>
    <w:rsid w:val="0003113C"/>
    <w:rsid w:val="0003114A"/>
    <w:rsid w:val="0003175C"/>
    <w:rsid w:val="00032213"/>
    <w:rsid w:val="000337F9"/>
    <w:rsid w:val="00034A67"/>
    <w:rsid w:val="00035067"/>
    <w:rsid w:val="000353D0"/>
    <w:rsid w:val="00036F38"/>
    <w:rsid w:val="00037521"/>
    <w:rsid w:val="0003763F"/>
    <w:rsid w:val="000376BA"/>
    <w:rsid w:val="000378AC"/>
    <w:rsid w:val="000402CE"/>
    <w:rsid w:val="00042E6B"/>
    <w:rsid w:val="00051D06"/>
    <w:rsid w:val="00051DE3"/>
    <w:rsid w:val="00053668"/>
    <w:rsid w:val="000541AD"/>
    <w:rsid w:val="00054618"/>
    <w:rsid w:val="00057930"/>
    <w:rsid w:val="00060C27"/>
    <w:rsid w:val="00061BE1"/>
    <w:rsid w:val="00063DD8"/>
    <w:rsid w:val="000647FC"/>
    <w:rsid w:val="00064B3E"/>
    <w:rsid w:val="00064B66"/>
    <w:rsid w:val="00064F7F"/>
    <w:rsid w:val="0006581F"/>
    <w:rsid w:val="0006620D"/>
    <w:rsid w:val="00067E3C"/>
    <w:rsid w:val="00070964"/>
    <w:rsid w:val="00071043"/>
    <w:rsid w:val="0007253D"/>
    <w:rsid w:val="00072BA5"/>
    <w:rsid w:val="000730A2"/>
    <w:rsid w:val="00074AA9"/>
    <w:rsid w:val="00074D22"/>
    <w:rsid w:val="00074F14"/>
    <w:rsid w:val="00076667"/>
    <w:rsid w:val="00080428"/>
    <w:rsid w:val="00081286"/>
    <w:rsid w:val="000815D2"/>
    <w:rsid w:val="000823C7"/>
    <w:rsid w:val="00082A5B"/>
    <w:rsid w:val="0008348A"/>
    <w:rsid w:val="00084D71"/>
    <w:rsid w:val="000869BB"/>
    <w:rsid w:val="00087DA1"/>
    <w:rsid w:val="000913EB"/>
    <w:rsid w:val="00092D56"/>
    <w:rsid w:val="000932F1"/>
    <w:rsid w:val="00093F84"/>
    <w:rsid w:val="00094A61"/>
    <w:rsid w:val="00094E4B"/>
    <w:rsid w:val="0009556C"/>
    <w:rsid w:val="00096C5D"/>
    <w:rsid w:val="00097C69"/>
    <w:rsid w:val="000A13A9"/>
    <w:rsid w:val="000A29E1"/>
    <w:rsid w:val="000A2AEC"/>
    <w:rsid w:val="000A316B"/>
    <w:rsid w:val="000A337C"/>
    <w:rsid w:val="000A34DF"/>
    <w:rsid w:val="000A3A46"/>
    <w:rsid w:val="000A3AA1"/>
    <w:rsid w:val="000A5051"/>
    <w:rsid w:val="000A6B20"/>
    <w:rsid w:val="000A6DB1"/>
    <w:rsid w:val="000A6EF6"/>
    <w:rsid w:val="000A72AA"/>
    <w:rsid w:val="000A7CD4"/>
    <w:rsid w:val="000B2390"/>
    <w:rsid w:val="000B24D6"/>
    <w:rsid w:val="000B4727"/>
    <w:rsid w:val="000B4B46"/>
    <w:rsid w:val="000B56AC"/>
    <w:rsid w:val="000B5A31"/>
    <w:rsid w:val="000B5CB0"/>
    <w:rsid w:val="000B672B"/>
    <w:rsid w:val="000B7E93"/>
    <w:rsid w:val="000C050D"/>
    <w:rsid w:val="000C09CE"/>
    <w:rsid w:val="000C41BB"/>
    <w:rsid w:val="000C4476"/>
    <w:rsid w:val="000C467C"/>
    <w:rsid w:val="000C479A"/>
    <w:rsid w:val="000C5F6C"/>
    <w:rsid w:val="000C6952"/>
    <w:rsid w:val="000C6F6F"/>
    <w:rsid w:val="000D276D"/>
    <w:rsid w:val="000D32CB"/>
    <w:rsid w:val="000D5371"/>
    <w:rsid w:val="000D7594"/>
    <w:rsid w:val="000D7E35"/>
    <w:rsid w:val="000E34B6"/>
    <w:rsid w:val="000E3B07"/>
    <w:rsid w:val="000E3FC9"/>
    <w:rsid w:val="000E4545"/>
    <w:rsid w:val="000E7482"/>
    <w:rsid w:val="000E79DA"/>
    <w:rsid w:val="000F0317"/>
    <w:rsid w:val="000F083C"/>
    <w:rsid w:val="000F1835"/>
    <w:rsid w:val="000F1926"/>
    <w:rsid w:val="000F30F7"/>
    <w:rsid w:val="000F3BF3"/>
    <w:rsid w:val="000F41C8"/>
    <w:rsid w:val="000F5060"/>
    <w:rsid w:val="000F617D"/>
    <w:rsid w:val="00100160"/>
    <w:rsid w:val="001009BF"/>
    <w:rsid w:val="0010132D"/>
    <w:rsid w:val="00101372"/>
    <w:rsid w:val="001015A3"/>
    <w:rsid w:val="00103AD6"/>
    <w:rsid w:val="00103C98"/>
    <w:rsid w:val="001053B6"/>
    <w:rsid w:val="00106309"/>
    <w:rsid w:val="0010701A"/>
    <w:rsid w:val="001075B4"/>
    <w:rsid w:val="001077F1"/>
    <w:rsid w:val="00107FD4"/>
    <w:rsid w:val="0011043B"/>
    <w:rsid w:val="001104F7"/>
    <w:rsid w:val="0011094C"/>
    <w:rsid w:val="001118EE"/>
    <w:rsid w:val="00112045"/>
    <w:rsid w:val="00113AF6"/>
    <w:rsid w:val="00113E85"/>
    <w:rsid w:val="00114320"/>
    <w:rsid w:val="00114A59"/>
    <w:rsid w:val="00114D5C"/>
    <w:rsid w:val="00115244"/>
    <w:rsid w:val="00115603"/>
    <w:rsid w:val="001165CD"/>
    <w:rsid w:val="00116BFE"/>
    <w:rsid w:val="00117481"/>
    <w:rsid w:val="001179C2"/>
    <w:rsid w:val="001223E5"/>
    <w:rsid w:val="00122A68"/>
    <w:rsid w:val="00123A8F"/>
    <w:rsid w:val="00124064"/>
    <w:rsid w:val="001247D8"/>
    <w:rsid w:val="00124C72"/>
    <w:rsid w:val="00127116"/>
    <w:rsid w:val="001271BA"/>
    <w:rsid w:val="00127569"/>
    <w:rsid w:val="001314D3"/>
    <w:rsid w:val="00131D22"/>
    <w:rsid w:val="00134B79"/>
    <w:rsid w:val="00135998"/>
    <w:rsid w:val="00136473"/>
    <w:rsid w:val="00137CE9"/>
    <w:rsid w:val="00140010"/>
    <w:rsid w:val="00140A3D"/>
    <w:rsid w:val="00142B4E"/>
    <w:rsid w:val="0014357E"/>
    <w:rsid w:val="001437C2"/>
    <w:rsid w:val="00144014"/>
    <w:rsid w:val="00144A1E"/>
    <w:rsid w:val="00144CA6"/>
    <w:rsid w:val="00144D0B"/>
    <w:rsid w:val="001467E6"/>
    <w:rsid w:val="00146A94"/>
    <w:rsid w:val="00146AD3"/>
    <w:rsid w:val="001500E0"/>
    <w:rsid w:val="001511C3"/>
    <w:rsid w:val="001517F5"/>
    <w:rsid w:val="00151F08"/>
    <w:rsid w:val="001531E0"/>
    <w:rsid w:val="00153412"/>
    <w:rsid w:val="00153AE7"/>
    <w:rsid w:val="00154C60"/>
    <w:rsid w:val="00154FC5"/>
    <w:rsid w:val="00156CA8"/>
    <w:rsid w:val="00156CD9"/>
    <w:rsid w:val="0015713B"/>
    <w:rsid w:val="001604F6"/>
    <w:rsid w:val="00160789"/>
    <w:rsid w:val="001611A6"/>
    <w:rsid w:val="001614CF"/>
    <w:rsid w:val="00162437"/>
    <w:rsid w:val="0016248D"/>
    <w:rsid w:val="001628F3"/>
    <w:rsid w:val="00162D36"/>
    <w:rsid w:val="0016524F"/>
    <w:rsid w:val="001659F1"/>
    <w:rsid w:val="00165F9D"/>
    <w:rsid w:val="001701BD"/>
    <w:rsid w:val="00170936"/>
    <w:rsid w:val="00171289"/>
    <w:rsid w:val="00173952"/>
    <w:rsid w:val="0017575C"/>
    <w:rsid w:val="00176301"/>
    <w:rsid w:val="00176428"/>
    <w:rsid w:val="00180CB2"/>
    <w:rsid w:val="00180F35"/>
    <w:rsid w:val="0018102F"/>
    <w:rsid w:val="00184615"/>
    <w:rsid w:val="001902FB"/>
    <w:rsid w:val="001905E6"/>
    <w:rsid w:val="00191988"/>
    <w:rsid w:val="00191F80"/>
    <w:rsid w:val="00192EE1"/>
    <w:rsid w:val="00193AB2"/>
    <w:rsid w:val="001949E4"/>
    <w:rsid w:val="00194D9A"/>
    <w:rsid w:val="001951BF"/>
    <w:rsid w:val="00197C56"/>
    <w:rsid w:val="001A0F24"/>
    <w:rsid w:val="001A3248"/>
    <w:rsid w:val="001A41FE"/>
    <w:rsid w:val="001A42C1"/>
    <w:rsid w:val="001A45B8"/>
    <w:rsid w:val="001A4DDA"/>
    <w:rsid w:val="001A5383"/>
    <w:rsid w:val="001B00DC"/>
    <w:rsid w:val="001B0CD3"/>
    <w:rsid w:val="001B0E7D"/>
    <w:rsid w:val="001B1CBB"/>
    <w:rsid w:val="001B3A43"/>
    <w:rsid w:val="001B4104"/>
    <w:rsid w:val="001B76ED"/>
    <w:rsid w:val="001B7816"/>
    <w:rsid w:val="001B7C85"/>
    <w:rsid w:val="001B7D58"/>
    <w:rsid w:val="001B7F2D"/>
    <w:rsid w:val="001C22BB"/>
    <w:rsid w:val="001C29F2"/>
    <w:rsid w:val="001C333D"/>
    <w:rsid w:val="001C3DCA"/>
    <w:rsid w:val="001C6797"/>
    <w:rsid w:val="001C6C62"/>
    <w:rsid w:val="001C7100"/>
    <w:rsid w:val="001D0D37"/>
    <w:rsid w:val="001D10EA"/>
    <w:rsid w:val="001D1DA7"/>
    <w:rsid w:val="001D2F10"/>
    <w:rsid w:val="001D3AC0"/>
    <w:rsid w:val="001D48FC"/>
    <w:rsid w:val="001D4B96"/>
    <w:rsid w:val="001D5874"/>
    <w:rsid w:val="001D5EEE"/>
    <w:rsid w:val="001D608A"/>
    <w:rsid w:val="001D741A"/>
    <w:rsid w:val="001E06CE"/>
    <w:rsid w:val="001E28EC"/>
    <w:rsid w:val="001E444E"/>
    <w:rsid w:val="001E4630"/>
    <w:rsid w:val="001E473A"/>
    <w:rsid w:val="001E7DD2"/>
    <w:rsid w:val="001F0C37"/>
    <w:rsid w:val="001F163E"/>
    <w:rsid w:val="001F192B"/>
    <w:rsid w:val="001F2E4F"/>
    <w:rsid w:val="001F41A4"/>
    <w:rsid w:val="001F6376"/>
    <w:rsid w:val="001F66A7"/>
    <w:rsid w:val="001F7F43"/>
    <w:rsid w:val="0020165F"/>
    <w:rsid w:val="00203997"/>
    <w:rsid w:val="00204B59"/>
    <w:rsid w:val="00205269"/>
    <w:rsid w:val="00205FE5"/>
    <w:rsid w:val="002078C1"/>
    <w:rsid w:val="00210BF0"/>
    <w:rsid w:val="00210F68"/>
    <w:rsid w:val="002119D5"/>
    <w:rsid w:val="00211A1E"/>
    <w:rsid w:val="0021358A"/>
    <w:rsid w:val="00213F14"/>
    <w:rsid w:val="00214F72"/>
    <w:rsid w:val="0021531F"/>
    <w:rsid w:val="00221204"/>
    <w:rsid w:val="0022231F"/>
    <w:rsid w:val="002234E2"/>
    <w:rsid w:val="002249B0"/>
    <w:rsid w:val="00225832"/>
    <w:rsid w:val="00226306"/>
    <w:rsid w:val="0022657D"/>
    <w:rsid w:val="00227156"/>
    <w:rsid w:val="00230715"/>
    <w:rsid w:val="002353AF"/>
    <w:rsid w:val="002355E3"/>
    <w:rsid w:val="00242A3D"/>
    <w:rsid w:val="00242FD5"/>
    <w:rsid w:val="00242FF4"/>
    <w:rsid w:val="002452A6"/>
    <w:rsid w:val="00246603"/>
    <w:rsid w:val="0025024F"/>
    <w:rsid w:val="00256204"/>
    <w:rsid w:val="002562F5"/>
    <w:rsid w:val="002609A8"/>
    <w:rsid w:val="00261A99"/>
    <w:rsid w:val="00261C40"/>
    <w:rsid w:val="00262448"/>
    <w:rsid w:val="00262AE6"/>
    <w:rsid w:val="00262D1B"/>
    <w:rsid w:val="00263025"/>
    <w:rsid w:val="002637EB"/>
    <w:rsid w:val="00263970"/>
    <w:rsid w:val="00265542"/>
    <w:rsid w:val="002657C4"/>
    <w:rsid w:val="00265D93"/>
    <w:rsid w:val="00265FE7"/>
    <w:rsid w:val="0026723E"/>
    <w:rsid w:val="00267597"/>
    <w:rsid w:val="00267C43"/>
    <w:rsid w:val="002709D7"/>
    <w:rsid w:val="0027131B"/>
    <w:rsid w:val="00271675"/>
    <w:rsid w:val="00274462"/>
    <w:rsid w:val="00280AD6"/>
    <w:rsid w:val="00281473"/>
    <w:rsid w:val="002816DB"/>
    <w:rsid w:val="0028324B"/>
    <w:rsid w:val="00284063"/>
    <w:rsid w:val="00284269"/>
    <w:rsid w:val="00284EDD"/>
    <w:rsid w:val="00285949"/>
    <w:rsid w:val="00290329"/>
    <w:rsid w:val="00290EB6"/>
    <w:rsid w:val="002910A7"/>
    <w:rsid w:val="002935FD"/>
    <w:rsid w:val="00294062"/>
    <w:rsid w:val="002972DA"/>
    <w:rsid w:val="00297CD2"/>
    <w:rsid w:val="002A2FA2"/>
    <w:rsid w:val="002A3A81"/>
    <w:rsid w:val="002A4171"/>
    <w:rsid w:val="002A6365"/>
    <w:rsid w:val="002A6CCD"/>
    <w:rsid w:val="002B0508"/>
    <w:rsid w:val="002B068B"/>
    <w:rsid w:val="002B07EC"/>
    <w:rsid w:val="002B0B2E"/>
    <w:rsid w:val="002B438A"/>
    <w:rsid w:val="002B556E"/>
    <w:rsid w:val="002B62DF"/>
    <w:rsid w:val="002B78B7"/>
    <w:rsid w:val="002C065C"/>
    <w:rsid w:val="002C1027"/>
    <w:rsid w:val="002C4E48"/>
    <w:rsid w:val="002C607D"/>
    <w:rsid w:val="002C7046"/>
    <w:rsid w:val="002D0B25"/>
    <w:rsid w:val="002D3A30"/>
    <w:rsid w:val="002D4A57"/>
    <w:rsid w:val="002E1982"/>
    <w:rsid w:val="002E1E23"/>
    <w:rsid w:val="002E324F"/>
    <w:rsid w:val="002E438E"/>
    <w:rsid w:val="002E5E37"/>
    <w:rsid w:val="002E6F0F"/>
    <w:rsid w:val="002F2B46"/>
    <w:rsid w:val="002F2D19"/>
    <w:rsid w:val="002F34D9"/>
    <w:rsid w:val="002F44AC"/>
    <w:rsid w:val="002F457E"/>
    <w:rsid w:val="002F6315"/>
    <w:rsid w:val="002F643A"/>
    <w:rsid w:val="003003AA"/>
    <w:rsid w:val="00300BCE"/>
    <w:rsid w:val="003024FF"/>
    <w:rsid w:val="00302706"/>
    <w:rsid w:val="00302CDE"/>
    <w:rsid w:val="00304364"/>
    <w:rsid w:val="00305524"/>
    <w:rsid w:val="00306025"/>
    <w:rsid w:val="00306482"/>
    <w:rsid w:val="00306B1C"/>
    <w:rsid w:val="0030702F"/>
    <w:rsid w:val="00307B0D"/>
    <w:rsid w:val="0031060C"/>
    <w:rsid w:val="003106D1"/>
    <w:rsid w:val="00310B54"/>
    <w:rsid w:val="003111B9"/>
    <w:rsid w:val="00311998"/>
    <w:rsid w:val="00312837"/>
    <w:rsid w:val="00313D23"/>
    <w:rsid w:val="00313DF7"/>
    <w:rsid w:val="0031406F"/>
    <w:rsid w:val="00315B66"/>
    <w:rsid w:val="00316798"/>
    <w:rsid w:val="00317451"/>
    <w:rsid w:val="003246A4"/>
    <w:rsid w:val="003246E6"/>
    <w:rsid w:val="00325E72"/>
    <w:rsid w:val="00326A17"/>
    <w:rsid w:val="00326B6A"/>
    <w:rsid w:val="00326EA5"/>
    <w:rsid w:val="00327A01"/>
    <w:rsid w:val="0033029A"/>
    <w:rsid w:val="00331F0F"/>
    <w:rsid w:val="00335D5B"/>
    <w:rsid w:val="003363AB"/>
    <w:rsid w:val="00337681"/>
    <w:rsid w:val="00337DFF"/>
    <w:rsid w:val="00343C21"/>
    <w:rsid w:val="003443E1"/>
    <w:rsid w:val="00344D5A"/>
    <w:rsid w:val="00345C0D"/>
    <w:rsid w:val="00345E17"/>
    <w:rsid w:val="00346DCD"/>
    <w:rsid w:val="00350EFA"/>
    <w:rsid w:val="0035100B"/>
    <w:rsid w:val="00351089"/>
    <w:rsid w:val="003537BA"/>
    <w:rsid w:val="0035454D"/>
    <w:rsid w:val="003547A4"/>
    <w:rsid w:val="00355AEE"/>
    <w:rsid w:val="00355B90"/>
    <w:rsid w:val="00356FB9"/>
    <w:rsid w:val="00360ED4"/>
    <w:rsid w:val="003615BC"/>
    <w:rsid w:val="00361963"/>
    <w:rsid w:val="00361EC1"/>
    <w:rsid w:val="003622DE"/>
    <w:rsid w:val="0036408D"/>
    <w:rsid w:val="003641AF"/>
    <w:rsid w:val="00365AFC"/>
    <w:rsid w:val="00366CBF"/>
    <w:rsid w:val="0036705D"/>
    <w:rsid w:val="003672B3"/>
    <w:rsid w:val="003717F2"/>
    <w:rsid w:val="00371A6F"/>
    <w:rsid w:val="003723B4"/>
    <w:rsid w:val="003726F6"/>
    <w:rsid w:val="00373C7A"/>
    <w:rsid w:val="00374806"/>
    <w:rsid w:val="00374C79"/>
    <w:rsid w:val="00376D98"/>
    <w:rsid w:val="00376FC9"/>
    <w:rsid w:val="00380258"/>
    <w:rsid w:val="00382260"/>
    <w:rsid w:val="003840D6"/>
    <w:rsid w:val="003852BC"/>
    <w:rsid w:val="00385418"/>
    <w:rsid w:val="003867F9"/>
    <w:rsid w:val="0038726C"/>
    <w:rsid w:val="0038771D"/>
    <w:rsid w:val="003901C3"/>
    <w:rsid w:val="00391004"/>
    <w:rsid w:val="003910F6"/>
    <w:rsid w:val="00393397"/>
    <w:rsid w:val="00394DF1"/>
    <w:rsid w:val="00397051"/>
    <w:rsid w:val="003A144F"/>
    <w:rsid w:val="003A154C"/>
    <w:rsid w:val="003A29DB"/>
    <w:rsid w:val="003A414E"/>
    <w:rsid w:val="003A4C51"/>
    <w:rsid w:val="003A5859"/>
    <w:rsid w:val="003A697B"/>
    <w:rsid w:val="003A6F43"/>
    <w:rsid w:val="003A7FAB"/>
    <w:rsid w:val="003B3308"/>
    <w:rsid w:val="003B419E"/>
    <w:rsid w:val="003B440B"/>
    <w:rsid w:val="003B4452"/>
    <w:rsid w:val="003B7A52"/>
    <w:rsid w:val="003B7CAC"/>
    <w:rsid w:val="003B7EA3"/>
    <w:rsid w:val="003C09F1"/>
    <w:rsid w:val="003C1844"/>
    <w:rsid w:val="003C2611"/>
    <w:rsid w:val="003C387C"/>
    <w:rsid w:val="003C3B14"/>
    <w:rsid w:val="003C472D"/>
    <w:rsid w:val="003C50D9"/>
    <w:rsid w:val="003C5245"/>
    <w:rsid w:val="003C6718"/>
    <w:rsid w:val="003D1AD6"/>
    <w:rsid w:val="003D269C"/>
    <w:rsid w:val="003D2BAD"/>
    <w:rsid w:val="003D2DFA"/>
    <w:rsid w:val="003D3A8A"/>
    <w:rsid w:val="003D3FA2"/>
    <w:rsid w:val="003D4065"/>
    <w:rsid w:val="003D4931"/>
    <w:rsid w:val="003D604A"/>
    <w:rsid w:val="003D6F7D"/>
    <w:rsid w:val="003E29AA"/>
    <w:rsid w:val="003E43A1"/>
    <w:rsid w:val="003E695C"/>
    <w:rsid w:val="003E7C3B"/>
    <w:rsid w:val="003F053C"/>
    <w:rsid w:val="003F0828"/>
    <w:rsid w:val="003F0A52"/>
    <w:rsid w:val="003F2361"/>
    <w:rsid w:val="003F23A1"/>
    <w:rsid w:val="003F3C0D"/>
    <w:rsid w:val="003F56B7"/>
    <w:rsid w:val="003F597D"/>
    <w:rsid w:val="003F5E56"/>
    <w:rsid w:val="003F6787"/>
    <w:rsid w:val="003F6E05"/>
    <w:rsid w:val="0040008A"/>
    <w:rsid w:val="00400732"/>
    <w:rsid w:val="00400A15"/>
    <w:rsid w:val="00400F49"/>
    <w:rsid w:val="00403C28"/>
    <w:rsid w:val="0040591F"/>
    <w:rsid w:val="00407192"/>
    <w:rsid w:val="00407347"/>
    <w:rsid w:val="00407BDC"/>
    <w:rsid w:val="00407C75"/>
    <w:rsid w:val="00407E32"/>
    <w:rsid w:val="004108A3"/>
    <w:rsid w:val="00410FE9"/>
    <w:rsid w:val="004125FF"/>
    <w:rsid w:val="004132BE"/>
    <w:rsid w:val="00413BF9"/>
    <w:rsid w:val="00414133"/>
    <w:rsid w:val="0041599B"/>
    <w:rsid w:val="00415D73"/>
    <w:rsid w:val="004161BB"/>
    <w:rsid w:val="0041647D"/>
    <w:rsid w:val="004173B9"/>
    <w:rsid w:val="00417D3B"/>
    <w:rsid w:val="00420B84"/>
    <w:rsid w:val="004218C5"/>
    <w:rsid w:val="00421BC1"/>
    <w:rsid w:val="00422CDB"/>
    <w:rsid w:val="00423C0C"/>
    <w:rsid w:val="0042509D"/>
    <w:rsid w:val="004251CA"/>
    <w:rsid w:val="0042712B"/>
    <w:rsid w:val="004273B1"/>
    <w:rsid w:val="00430215"/>
    <w:rsid w:val="00430E42"/>
    <w:rsid w:val="00431BD1"/>
    <w:rsid w:val="004324F8"/>
    <w:rsid w:val="00433515"/>
    <w:rsid w:val="004371B0"/>
    <w:rsid w:val="00437346"/>
    <w:rsid w:val="00437815"/>
    <w:rsid w:val="0044037B"/>
    <w:rsid w:val="00440591"/>
    <w:rsid w:val="00440898"/>
    <w:rsid w:val="004413B3"/>
    <w:rsid w:val="00442C61"/>
    <w:rsid w:val="00443B40"/>
    <w:rsid w:val="004479C9"/>
    <w:rsid w:val="00447F69"/>
    <w:rsid w:val="004509AF"/>
    <w:rsid w:val="00450A4F"/>
    <w:rsid w:val="00450FC2"/>
    <w:rsid w:val="004512D0"/>
    <w:rsid w:val="004517A9"/>
    <w:rsid w:val="004521DE"/>
    <w:rsid w:val="00453B40"/>
    <w:rsid w:val="004559EE"/>
    <w:rsid w:val="004566FA"/>
    <w:rsid w:val="00460E00"/>
    <w:rsid w:val="00462523"/>
    <w:rsid w:val="004638A7"/>
    <w:rsid w:val="00466D05"/>
    <w:rsid w:val="004701FD"/>
    <w:rsid w:val="00470302"/>
    <w:rsid w:val="00471B3E"/>
    <w:rsid w:val="0047212C"/>
    <w:rsid w:val="004726F4"/>
    <w:rsid w:val="00472DF8"/>
    <w:rsid w:val="00473869"/>
    <w:rsid w:val="0047434B"/>
    <w:rsid w:val="004746E0"/>
    <w:rsid w:val="004762E9"/>
    <w:rsid w:val="00477508"/>
    <w:rsid w:val="00477579"/>
    <w:rsid w:val="00480745"/>
    <w:rsid w:val="0048079C"/>
    <w:rsid w:val="004816C2"/>
    <w:rsid w:val="00481972"/>
    <w:rsid w:val="004825AC"/>
    <w:rsid w:val="00482CE0"/>
    <w:rsid w:val="00482DEB"/>
    <w:rsid w:val="0048315C"/>
    <w:rsid w:val="00483A2A"/>
    <w:rsid w:val="0048639A"/>
    <w:rsid w:val="0048785B"/>
    <w:rsid w:val="00487CAC"/>
    <w:rsid w:val="00487DFB"/>
    <w:rsid w:val="004900D7"/>
    <w:rsid w:val="00490C93"/>
    <w:rsid w:val="00490FC1"/>
    <w:rsid w:val="0049133E"/>
    <w:rsid w:val="004914F8"/>
    <w:rsid w:val="00491588"/>
    <w:rsid w:val="00491FB7"/>
    <w:rsid w:val="0049233A"/>
    <w:rsid w:val="00492828"/>
    <w:rsid w:val="00494726"/>
    <w:rsid w:val="004A0418"/>
    <w:rsid w:val="004A1B66"/>
    <w:rsid w:val="004A1BB1"/>
    <w:rsid w:val="004A2F1E"/>
    <w:rsid w:val="004A302D"/>
    <w:rsid w:val="004A393C"/>
    <w:rsid w:val="004A3F5A"/>
    <w:rsid w:val="004A4760"/>
    <w:rsid w:val="004A4C54"/>
    <w:rsid w:val="004A6F77"/>
    <w:rsid w:val="004A7240"/>
    <w:rsid w:val="004A7DFC"/>
    <w:rsid w:val="004B03BB"/>
    <w:rsid w:val="004B1492"/>
    <w:rsid w:val="004B2842"/>
    <w:rsid w:val="004B2CD1"/>
    <w:rsid w:val="004B3135"/>
    <w:rsid w:val="004B445E"/>
    <w:rsid w:val="004B4568"/>
    <w:rsid w:val="004B4833"/>
    <w:rsid w:val="004B64BD"/>
    <w:rsid w:val="004B689B"/>
    <w:rsid w:val="004B72BE"/>
    <w:rsid w:val="004B7493"/>
    <w:rsid w:val="004C029D"/>
    <w:rsid w:val="004C0309"/>
    <w:rsid w:val="004C052A"/>
    <w:rsid w:val="004C1726"/>
    <w:rsid w:val="004C227A"/>
    <w:rsid w:val="004C25CC"/>
    <w:rsid w:val="004C27BB"/>
    <w:rsid w:val="004C34B5"/>
    <w:rsid w:val="004C398A"/>
    <w:rsid w:val="004C3C11"/>
    <w:rsid w:val="004C6958"/>
    <w:rsid w:val="004D07AE"/>
    <w:rsid w:val="004D0E42"/>
    <w:rsid w:val="004D23A6"/>
    <w:rsid w:val="004D3450"/>
    <w:rsid w:val="004D4B1B"/>
    <w:rsid w:val="004D5363"/>
    <w:rsid w:val="004D5EC8"/>
    <w:rsid w:val="004D7169"/>
    <w:rsid w:val="004D7D0D"/>
    <w:rsid w:val="004E006F"/>
    <w:rsid w:val="004E0AF2"/>
    <w:rsid w:val="004E164B"/>
    <w:rsid w:val="004E2DE1"/>
    <w:rsid w:val="004E3C6F"/>
    <w:rsid w:val="004E4406"/>
    <w:rsid w:val="004E5ACE"/>
    <w:rsid w:val="004E5C60"/>
    <w:rsid w:val="004E5E1A"/>
    <w:rsid w:val="004E6149"/>
    <w:rsid w:val="004E6324"/>
    <w:rsid w:val="004E6AF9"/>
    <w:rsid w:val="004E76B3"/>
    <w:rsid w:val="004E7EBA"/>
    <w:rsid w:val="004E7EEF"/>
    <w:rsid w:val="004F0BE3"/>
    <w:rsid w:val="004F1671"/>
    <w:rsid w:val="004F33EB"/>
    <w:rsid w:val="004F4B67"/>
    <w:rsid w:val="004F5001"/>
    <w:rsid w:val="004F58BA"/>
    <w:rsid w:val="004F5AB5"/>
    <w:rsid w:val="004F6143"/>
    <w:rsid w:val="00501E8C"/>
    <w:rsid w:val="00501F4D"/>
    <w:rsid w:val="00503187"/>
    <w:rsid w:val="00503924"/>
    <w:rsid w:val="00503CBE"/>
    <w:rsid w:val="00504606"/>
    <w:rsid w:val="00504A58"/>
    <w:rsid w:val="0050697E"/>
    <w:rsid w:val="00506A77"/>
    <w:rsid w:val="00506C08"/>
    <w:rsid w:val="00506C68"/>
    <w:rsid w:val="00507F19"/>
    <w:rsid w:val="00512C69"/>
    <w:rsid w:val="0051595B"/>
    <w:rsid w:val="00517DA5"/>
    <w:rsid w:val="00517E71"/>
    <w:rsid w:val="00520AE3"/>
    <w:rsid w:val="00520CA6"/>
    <w:rsid w:val="00523E99"/>
    <w:rsid w:val="005247CD"/>
    <w:rsid w:val="00524F08"/>
    <w:rsid w:val="00531AD6"/>
    <w:rsid w:val="0053324A"/>
    <w:rsid w:val="00536536"/>
    <w:rsid w:val="00537EA6"/>
    <w:rsid w:val="0054088E"/>
    <w:rsid w:val="005419EC"/>
    <w:rsid w:val="005422D9"/>
    <w:rsid w:val="005444B8"/>
    <w:rsid w:val="005452E1"/>
    <w:rsid w:val="00546569"/>
    <w:rsid w:val="00546A43"/>
    <w:rsid w:val="00547448"/>
    <w:rsid w:val="0055035C"/>
    <w:rsid w:val="0055162A"/>
    <w:rsid w:val="00553A3B"/>
    <w:rsid w:val="005543A3"/>
    <w:rsid w:val="00555088"/>
    <w:rsid w:val="00555986"/>
    <w:rsid w:val="00555FB8"/>
    <w:rsid w:val="00556132"/>
    <w:rsid w:val="005569CD"/>
    <w:rsid w:val="005603A6"/>
    <w:rsid w:val="0056061A"/>
    <w:rsid w:val="00561BD9"/>
    <w:rsid w:val="00563B0F"/>
    <w:rsid w:val="00563E70"/>
    <w:rsid w:val="00565ABD"/>
    <w:rsid w:val="00567439"/>
    <w:rsid w:val="005679EC"/>
    <w:rsid w:val="00567AF5"/>
    <w:rsid w:val="00567C21"/>
    <w:rsid w:val="00571695"/>
    <w:rsid w:val="005725D6"/>
    <w:rsid w:val="005730B4"/>
    <w:rsid w:val="005733CB"/>
    <w:rsid w:val="00575129"/>
    <w:rsid w:val="0057678F"/>
    <w:rsid w:val="00576DC0"/>
    <w:rsid w:val="00576E1F"/>
    <w:rsid w:val="005773FC"/>
    <w:rsid w:val="005776D6"/>
    <w:rsid w:val="0058111F"/>
    <w:rsid w:val="005813AE"/>
    <w:rsid w:val="0058189E"/>
    <w:rsid w:val="00581980"/>
    <w:rsid w:val="005842A1"/>
    <w:rsid w:val="005846CC"/>
    <w:rsid w:val="005871A2"/>
    <w:rsid w:val="0058776D"/>
    <w:rsid w:val="00592448"/>
    <w:rsid w:val="00595B84"/>
    <w:rsid w:val="005961C6"/>
    <w:rsid w:val="00596D13"/>
    <w:rsid w:val="00596D7E"/>
    <w:rsid w:val="005972C4"/>
    <w:rsid w:val="0059797B"/>
    <w:rsid w:val="005A1EC8"/>
    <w:rsid w:val="005A3594"/>
    <w:rsid w:val="005A3C10"/>
    <w:rsid w:val="005A53D9"/>
    <w:rsid w:val="005A5FEC"/>
    <w:rsid w:val="005A609F"/>
    <w:rsid w:val="005A6200"/>
    <w:rsid w:val="005A688E"/>
    <w:rsid w:val="005A7F2E"/>
    <w:rsid w:val="005B011D"/>
    <w:rsid w:val="005B06D2"/>
    <w:rsid w:val="005B1115"/>
    <w:rsid w:val="005B14CC"/>
    <w:rsid w:val="005B46B3"/>
    <w:rsid w:val="005B46BC"/>
    <w:rsid w:val="005B4D8B"/>
    <w:rsid w:val="005B7040"/>
    <w:rsid w:val="005B7941"/>
    <w:rsid w:val="005C28F1"/>
    <w:rsid w:val="005C3CA2"/>
    <w:rsid w:val="005C4A2D"/>
    <w:rsid w:val="005C4E57"/>
    <w:rsid w:val="005C56C2"/>
    <w:rsid w:val="005C57F6"/>
    <w:rsid w:val="005C608F"/>
    <w:rsid w:val="005C614A"/>
    <w:rsid w:val="005C68B1"/>
    <w:rsid w:val="005C6EB1"/>
    <w:rsid w:val="005C6EF3"/>
    <w:rsid w:val="005D03E7"/>
    <w:rsid w:val="005D05D7"/>
    <w:rsid w:val="005D089C"/>
    <w:rsid w:val="005D1BB5"/>
    <w:rsid w:val="005D2F5C"/>
    <w:rsid w:val="005D45AA"/>
    <w:rsid w:val="005D72A6"/>
    <w:rsid w:val="005D72BF"/>
    <w:rsid w:val="005D782A"/>
    <w:rsid w:val="005E1A9D"/>
    <w:rsid w:val="005E1F99"/>
    <w:rsid w:val="005E30A1"/>
    <w:rsid w:val="005E3A98"/>
    <w:rsid w:val="005E44E4"/>
    <w:rsid w:val="005E467E"/>
    <w:rsid w:val="005E4C52"/>
    <w:rsid w:val="005E5B46"/>
    <w:rsid w:val="005E62C1"/>
    <w:rsid w:val="005E7FDC"/>
    <w:rsid w:val="005F0377"/>
    <w:rsid w:val="005F250F"/>
    <w:rsid w:val="005F3BED"/>
    <w:rsid w:val="005F42FA"/>
    <w:rsid w:val="005F47FE"/>
    <w:rsid w:val="005F5FE6"/>
    <w:rsid w:val="005F615B"/>
    <w:rsid w:val="00601928"/>
    <w:rsid w:val="00602717"/>
    <w:rsid w:val="00602973"/>
    <w:rsid w:val="00603D18"/>
    <w:rsid w:val="00603E0E"/>
    <w:rsid w:val="00603EBB"/>
    <w:rsid w:val="00604A9E"/>
    <w:rsid w:val="0060570A"/>
    <w:rsid w:val="006062E4"/>
    <w:rsid w:val="006065EC"/>
    <w:rsid w:val="00606900"/>
    <w:rsid w:val="0060703A"/>
    <w:rsid w:val="0061052C"/>
    <w:rsid w:val="006110D2"/>
    <w:rsid w:val="00611819"/>
    <w:rsid w:val="006122E2"/>
    <w:rsid w:val="006122E4"/>
    <w:rsid w:val="0061358A"/>
    <w:rsid w:val="00614468"/>
    <w:rsid w:val="00614734"/>
    <w:rsid w:val="00616733"/>
    <w:rsid w:val="00617430"/>
    <w:rsid w:val="0061763A"/>
    <w:rsid w:val="006176B2"/>
    <w:rsid w:val="006206F2"/>
    <w:rsid w:val="0062123D"/>
    <w:rsid w:val="00622679"/>
    <w:rsid w:val="00622716"/>
    <w:rsid w:val="0062296E"/>
    <w:rsid w:val="006245D4"/>
    <w:rsid w:val="006253AD"/>
    <w:rsid w:val="00625AC2"/>
    <w:rsid w:val="0062605D"/>
    <w:rsid w:val="00626082"/>
    <w:rsid w:val="00626C8B"/>
    <w:rsid w:val="006278F0"/>
    <w:rsid w:val="00632DBA"/>
    <w:rsid w:val="00633457"/>
    <w:rsid w:val="00633C3D"/>
    <w:rsid w:val="00633EBD"/>
    <w:rsid w:val="0063500E"/>
    <w:rsid w:val="00636E99"/>
    <w:rsid w:val="00642136"/>
    <w:rsid w:val="00642964"/>
    <w:rsid w:val="00642FF8"/>
    <w:rsid w:val="0064341D"/>
    <w:rsid w:val="00643C0E"/>
    <w:rsid w:val="006441DB"/>
    <w:rsid w:val="00644206"/>
    <w:rsid w:val="006456D7"/>
    <w:rsid w:val="00646ADE"/>
    <w:rsid w:val="006471F4"/>
    <w:rsid w:val="00647A88"/>
    <w:rsid w:val="00652E37"/>
    <w:rsid w:val="00652F2D"/>
    <w:rsid w:val="00654C4C"/>
    <w:rsid w:val="00655067"/>
    <w:rsid w:val="00655287"/>
    <w:rsid w:val="00656D9A"/>
    <w:rsid w:val="00657D19"/>
    <w:rsid w:val="00660169"/>
    <w:rsid w:val="00661599"/>
    <w:rsid w:val="0066402C"/>
    <w:rsid w:val="006641FC"/>
    <w:rsid w:val="00664F85"/>
    <w:rsid w:val="00665150"/>
    <w:rsid w:val="006656A1"/>
    <w:rsid w:val="006666D9"/>
    <w:rsid w:val="006711AF"/>
    <w:rsid w:val="0067254D"/>
    <w:rsid w:val="006755B3"/>
    <w:rsid w:val="00675C9A"/>
    <w:rsid w:val="0067695B"/>
    <w:rsid w:val="00676B1E"/>
    <w:rsid w:val="00677F7E"/>
    <w:rsid w:val="006826ED"/>
    <w:rsid w:val="00682E26"/>
    <w:rsid w:val="006831BF"/>
    <w:rsid w:val="00684751"/>
    <w:rsid w:val="00686274"/>
    <w:rsid w:val="00687A87"/>
    <w:rsid w:val="0069031C"/>
    <w:rsid w:val="00691F15"/>
    <w:rsid w:val="0069242E"/>
    <w:rsid w:val="00692476"/>
    <w:rsid w:val="00694493"/>
    <w:rsid w:val="00694749"/>
    <w:rsid w:val="006A07B6"/>
    <w:rsid w:val="006A14F0"/>
    <w:rsid w:val="006A2324"/>
    <w:rsid w:val="006A28F7"/>
    <w:rsid w:val="006A32BD"/>
    <w:rsid w:val="006A38BB"/>
    <w:rsid w:val="006A3BEF"/>
    <w:rsid w:val="006A7706"/>
    <w:rsid w:val="006B018D"/>
    <w:rsid w:val="006B0538"/>
    <w:rsid w:val="006B1210"/>
    <w:rsid w:val="006B1850"/>
    <w:rsid w:val="006B1DB8"/>
    <w:rsid w:val="006B2FC6"/>
    <w:rsid w:val="006B3050"/>
    <w:rsid w:val="006B34CF"/>
    <w:rsid w:val="006B3EF8"/>
    <w:rsid w:val="006B55DA"/>
    <w:rsid w:val="006B6340"/>
    <w:rsid w:val="006B7D42"/>
    <w:rsid w:val="006C3A5A"/>
    <w:rsid w:val="006C48C6"/>
    <w:rsid w:val="006C5849"/>
    <w:rsid w:val="006C64E2"/>
    <w:rsid w:val="006C7727"/>
    <w:rsid w:val="006C7B74"/>
    <w:rsid w:val="006D0051"/>
    <w:rsid w:val="006D1050"/>
    <w:rsid w:val="006D1F7C"/>
    <w:rsid w:val="006D33A8"/>
    <w:rsid w:val="006D3F21"/>
    <w:rsid w:val="006D42E7"/>
    <w:rsid w:val="006D4669"/>
    <w:rsid w:val="006D4F7D"/>
    <w:rsid w:val="006D5177"/>
    <w:rsid w:val="006D65D5"/>
    <w:rsid w:val="006D7691"/>
    <w:rsid w:val="006E049C"/>
    <w:rsid w:val="006E3F2D"/>
    <w:rsid w:val="006E4C3E"/>
    <w:rsid w:val="006E719C"/>
    <w:rsid w:val="006F0357"/>
    <w:rsid w:val="006F160F"/>
    <w:rsid w:val="006F290C"/>
    <w:rsid w:val="006F334F"/>
    <w:rsid w:val="006F41B5"/>
    <w:rsid w:val="006F469B"/>
    <w:rsid w:val="006F4733"/>
    <w:rsid w:val="006F5918"/>
    <w:rsid w:val="006F5DD6"/>
    <w:rsid w:val="00700205"/>
    <w:rsid w:val="00700A5A"/>
    <w:rsid w:val="00700DDE"/>
    <w:rsid w:val="00701652"/>
    <w:rsid w:val="00701C19"/>
    <w:rsid w:val="00702A37"/>
    <w:rsid w:val="00702D0D"/>
    <w:rsid w:val="007032D9"/>
    <w:rsid w:val="00703C4D"/>
    <w:rsid w:val="007048B9"/>
    <w:rsid w:val="00704F52"/>
    <w:rsid w:val="00705FA3"/>
    <w:rsid w:val="00710238"/>
    <w:rsid w:val="00712748"/>
    <w:rsid w:val="00713EC8"/>
    <w:rsid w:val="00714949"/>
    <w:rsid w:val="007160FA"/>
    <w:rsid w:val="00717E5D"/>
    <w:rsid w:val="0072080F"/>
    <w:rsid w:val="007232D5"/>
    <w:rsid w:val="00723E25"/>
    <w:rsid w:val="00724A9B"/>
    <w:rsid w:val="00725758"/>
    <w:rsid w:val="0072724C"/>
    <w:rsid w:val="007300E5"/>
    <w:rsid w:val="007306EA"/>
    <w:rsid w:val="00732288"/>
    <w:rsid w:val="00732ED3"/>
    <w:rsid w:val="0073304D"/>
    <w:rsid w:val="007338E8"/>
    <w:rsid w:val="00734029"/>
    <w:rsid w:val="007340E0"/>
    <w:rsid w:val="00734DCB"/>
    <w:rsid w:val="00736177"/>
    <w:rsid w:val="00736660"/>
    <w:rsid w:val="00736ADF"/>
    <w:rsid w:val="00740621"/>
    <w:rsid w:val="00740C43"/>
    <w:rsid w:val="007426FC"/>
    <w:rsid w:val="0074383A"/>
    <w:rsid w:val="00743E6F"/>
    <w:rsid w:val="007458FD"/>
    <w:rsid w:val="00751334"/>
    <w:rsid w:val="00751BE1"/>
    <w:rsid w:val="00752228"/>
    <w:rsid w:val="007522F5"/>
    <w:rsid w:val="00752C1A"/>
    <w:rsid w:val="00752EBF"/>
    <w:rsid w:val="00753146"/>
    <w:rsid w:val="00753475"/>
    <w:rsid w:val="007537FB"/>
    <w:rsid w:val="00754434"/>
    <w:rsid w:val="00755977"/>
    <w:rsid w:val="00755A92"/>
    <w:rsid w:val="00757265"/>
    <w:rsid w:val="007577EA"/>
    <w:rsid w:val="0075789B"/>
    <w:rsid w:val="00760FCA"/>
    <w:rsid w:val="00761645"/>
    <w:rsid w:val="00761C10"/>
    <w:rsid w:val="007622DB"/>
    <w:rsid w:val="00762E18"/>
    <w:rsid w:val="007634DF"/>
    <w:rsid w:val="00764420"/>
    <w:rsid w:val="00764901"/>
    <w:rsid w:val="0076491D"/>
    <w:rsid w:val="00764C14"/>
    <w:rsid w:val="007664C1"/>
    <w:rsid w:val="00766709"/>
    <w:rsid w:val="00767759"/>
    <w:rsid w:val="00771240"/>
    <w:rsid w:val="0077156E"/>
    <w:rsid w:val="007724F2"/>
    <w:rsid w:val="0077297E"/>
    <w:rsid w:val="007744C3"/>
    <w:rsid w:val="0077451B"/>
    <w:rsid w:val="00775607"/>
    <w:rsid w:val="00776630"/>
    <w:rsid w:val="007771C2"/>
    <w:rsid w:val="0077726A"/>
    <w:rsid w:val="00777D1E"/>
    <w:rsid w:val="00782A13"/>
    <w:rsid w:val="00784533"/>
    <w:rsid w:val="00784A18"/>
    <w:rsid w:val="0078606C"/>
    <w:rsid w:val="00786152"/>
    <w:rsid w:val="00794351"/>
    <w:rsid w:val="0079490F"/>
    <w:rsid w:val="00795D31"/>
    <w:rsid w:val="00795E7B"/>
    <w:rsid w:val="00796CDE"/>
    <w:rsid w:val="00796D21"/>
    <w:rsid w:val="007A18CB"/>
    <w:rsid w:val="007A25AD"/>
    <w:rsid w:val="007A2789"/>
    <w:rsid w:val="007A3429"/>
    <w:rsid w:val="007A5F3D"/>
    <w:rsid w:val="007A70C3"/>
    <w:rsid w:val="007A7766"/>
    <w:rsid w:val="007A7B7A"/>
    <w:rsid w:val="007B006F"/>
    <w:rsid w:val="007B175F"/>
    <w:rsid w:val="007B3CD4"/>
    <w:rsid w:val="007B56DE"/>
    <w:rsid w:val="007B76AB"/>
    <w:rsid w:val="007B7854"/>
    <w:rsid w:val="007C0B9B"/>
    <w:rsid w:val="007C2FF4"/>
    <w:rsid w:val="007C33C2"/>
    <w:rsid w:val="007C3563"/>
    <w:rsid w:val="007C4178"/>
    <w:rsid w:val="007C48E3"/>
    <w:rsid w:val="007C4A67"/>
    <w:rsid w:val="007C4FBD"/>
    <w:rsid w:val="007C5810"/>
    <w:rsid w:val="007C6F2C"/>
    <w:rsid w:val="007D09B8"/>
    <w:rsid w:val="007D232C"/>
    <w:rsid w:val="007D27EB"/>
    <w:rsid w:val="007D3D7F"/>
    <w:rsid w:val="007D512F"/>
    <w:rsid w:val="007D623A"/>
    <w:rsid w:val="007D78C1"/>
    <w:rsid w:val="007E0EEB"/>
    <w:rsid w:val="007E1F92"/>
    <w:rsid w:val="007E5420"/>
    <w:rsid w:val="007E5F69"/>
    <w:rsid w:val="007E6C9D"/>
    <w:rsid w:val="007F03E0"/>
    <w:rsid w:val="007F0CA1"/>
    <w:rsid w:val="007F1C3C"/>
    <w:rsid w:val="007F2422"/>
    <w:rsid w:val="007F2624"/>
    <w:rsid w:val="007F3F6A"/>
    <w:rsid w:val="007F6D63"/>
    <w:rsid w:val="007F7489"/>
    <w:rsid w:val="007F76DD"/>
    <w:rsid w:val="007F7797"/>
    <w:rsid w:val="007F7B7A"/>
    <w:rsid w:val="008014E2"/>
    <w:rsid w:val="00801BDE"/>
    <w:rsid w:val="00801C1D"/>
    <w:rsid w:val="008028C0"/>
    <w:rsid w:val="0080392D"/>
    <w:rsid w:val="0080584B"/>
    <w:rsid w:val="00805A96"/>
    <w:rsid w:val="0080683B"/>
    <w:rsid w:val="00807E22"/>
    <w:rsid w:val="00811D61"/>
    <w:rsid w:val="00811DB7"/>
    <w:rsid w:val="0081214F"/>
    <w:rsid w:val="00812924"/>
    <w:rsid w:val="008129D5"/>
    <w:rsid w:val="008142BA"/>
    <w:rsid w:val="00816ACC"/>
    <w:rsid w:val="008219E7"/>
    <w:rsid w:val="00821A4D"/>
    <w:rsid w:val="008223FD"/>
    <w:rsid w:val="008225B8"/>
    <w:rsid w:val="00822961"/>
    <w:rsid w:val="00824272"/>
    <w:rsid w:val="00824B6E"/>
    <w:rsid w:val="008260C0"/>
    <w:rsid w:val="00826B25"/>
    <w:rsid w:val="008318B9"/>
    <w:rsid w:val="008319FC"/>
    <w:rsid w:val="00831D9B"/>
    <w:rsid w:val="00833CDC"/>
    <w:rsid w:val="008340E1"/>
    <w:rsid w:val="008342AE"/>
    <w:rsid w:val="00834300"/>
    <w:rsid w:val="0083505E"/>
    <w:rsid w:val="00836E67"/>
    <w:rsid w:val="0083710B"/>
    <w:rsid w:val="008372F5"/>
    <w:rsid w:val="00837C0C"/>
    <w:rsid w:val="0084067B"/>
    <w:rsid w:val="00841D3F"/>
    <w:rsid w:val="00841D89"/>
    <w:rsid w:val="00842097"/>
    <w:rsid w:val="00845781"/>
    <w:rsid w:val="008458F7"/>
    <w:rsid w:val="00845B5A"/>
    <w:rsid w:val="00851ECD"/>
    <w:rsid w:val="008527C7"/>
    <w:rsid w:val="00855D72"/>
    <w:rsid w:val="008564F6"/>
    <w:rsid w:val="008576A4"/>
    <w:rsid w:val="00861A8A"/>
    <w:rsid w:val="00861E0C"/>
    <w:rsid w:val="0086215A"/>
    <w:rsid w:val="00862CD3"/>
    <w:rsid w:val="008638CB"/>
    <w:rsid w:val="00863AFD"/>
    <w:rsid w:val="00863EFE"/>
    <w:rsid w:val="00864C81"/>
    <w:rsid w:val="00866EC3"/>
    <w:rsid w:val="00867315"/>
    <w:rsid w:val="0086795C"/>
    <w:rsid w:val="00867BD3"/>
    <w:rsid w:val="00871541"/>
    <w:rsid w:val="00871693"/>
    <w:rsid w:val="00874C82"/>
    <w:rsid w:val="00874C8D"/>
    <w:rsid w:val="008752E5"/>
    <w:rsid w:val="00875F36"/>
    <w:rsid w:val="00877AF8"/>
    <w:rsid w:val="00883315"/>
    <w:rsid w:val="00883344"/>
    <w:rsid w:val="0088457C"/>
    <w:rsid w:val="00884C30"/>
    <w:rsid w:val="00885E35"/>
    <w:rsid w:val="0088602C"/>
    <w:rsid w:val="008877E4"/>
    <w:rsid w:val="00890B49"/>
    <w:rsid w:val="008913A5"/>
    <w:rsid w:val="0089212B"/>
    <w:rsid w:val="008929A8"/>
    <w:rsid w:val="00893083"/>
    <w:rsid w:val="00893137"/>
    <w:rsid w:val="00893467"/>
    <w:rsid w:val="00893D6A"/>
    <w:rsid w:val="008969A1"/>
    <w:rsid w:val="00896E27"/>
    <w:rsid w:val="008970B6"/>
    <w:rsid w:val="008972C5"/>
    <w:rsid w:val="008A0C06"/>
    <w:rsid w:val="008A2990"/>
    <w:rsid w:val="008A430F"/>
    <w:rsid w:val="008A4697"/>
    <w:rsid w:val="008A62AE"/>
    <w:rsid w:val="008B0702"/>
    <w:rsid w:val="008B10BB"/>
    <w:rsid w:val="008B270C"/>
    <w:rsid w:val="008B2DB7"/>
    <w:rsid w:val="008B5115"/>
    <w:rsid w:val="008B6EF8"/>
    <w:rsid w:val="008B74FA"/>
    <w:rsid w:val="008C018D"/>
    <w:rsid w:val="008C0DE2"/>
    <w:rsid w:val="008C0F65"/>
    <w:rsid w:val="008C1816"/>
    <w:rsid w:val="008C4726"/>
    <w:rsid w:val="008C4858"/>
    <w:rsid w:val="008C4AD0"/>
    <w:rsid w:val="008C50F7"/>
    <w:rsid w:val="008C558A"/>
    <w:rsid w:val="008C5756"/>
    <w:rsid w:val="008C60BE"/>
    <w:rsid w:val="008C639C"/>
    <w:rsid w:val="008C6BC3"/>
    <w:rsid w:val="008D0079"/>
    <w:rsid w:val="008D1077"/>
    <w:rsid w:val="008D2108"/>
    <w:rsid w:val="008D3927"/>
    <w:rsid w:val="008D799A"/>
    <w:rsid w:val="008E29FF"/>
    <w:rsid w:val="008E5411"/>
    <w:rsid w:val="008E5BD5"/>
    <w:rsid w:val="008E615F"/>
    <w:rsid w:val="008E6E6F"/>
    <w:rsid w:val="008E7156"/>
    <w:rsid w:val="008F089C"/>
    <w:rsid w:val="008F1009"/>
    <w:rsid w:val="008F12B7"/>
    <w:rsid w:val="008F23BE"/>
    <w:rsid w:val="008F2E78"/>
    <w:rsid w:val="008F3C92"/>
    <w:rsid w:val="008F5F0B"/>
    <w:rsid w:val="008F6913"/>
    <w:rsid w:val="008F6C97"/>
    <w:rsid w:val="008F6DB0"/>
    <w:rsid w:val="008F73EA"/>
    <w:rsid w:val="009000D7"/>
    <w:rsid w:val="00900617"/>
    <w:rsid w:val="00900856"/>
    <w:rsid w:val="00901EFB"/>
    <w:rsid w:val="009022A5"/>
    <w:rsid w:val="00902BF6"/>
    <w:rsid w:val="00902CAF"/>
    <w:rsid w:val="00902FBB"/>
    <w:rsid w:val="0090389B"/>
    <w:rsid w:val="009058E1"/>
    <w:rsid w:val="00907094"/>
    <w:rsid w:val="009071E8"/>
    <w:rsid w:val="00911AC3"/>
    <w:rsid w:val="0091459C"/>
    <w:rsid w:val="00914C67"/>
    <w:rsid w:val="009153E2"/>
    <w:rsid w:val="009164E6"/>
    <w:rsid w:val="009169C6"/>
    <w:rsid w:val="009206DA"/>
    <w:rsid w:val="00920EE5"/>
    <w:rsid w:val="00921B5C"/>
    <w:rsid w:val="00922043"/>
    <w:rsid w:val="00922401"/>
    <w:rsid w:val="00922AB7"/>
    <w:rsid w:val="0092328C"/>
    <w:rsid w:val="0092771C"/>
    <w:rsid w:val="00927A77"/>
    <w:rsid w:val="00927D54"/>
    <w:rsid w:val="00930554"/>
    <w:rsid w:val="00930CB4"/>
    <w:rsid w:val="009330AA"/>
    <w:rsid w:val="00934A84"/>
    <w:rsid w:val="00935479"/>
    <w:rsid w:val="009367C9"/>
    <w:rsid w:val="00936C7F"/>
    <w:rsid w:val="00940F90"/>
    <w:rsid w:val="00941748"/>
    <w:rsid w:val="00942A8F"/>
    <w:rsid w:val="00942FAB"/>
    <w:rsid w:val="0094352D"/>
    <w:rsid w:val="00944485"/>
    <w:rsid w:val="009455C8"/>
    <w:rsid w:val="0094567B"/>
    <w:rsid w:val="009461AC"/>
    <w:rsid w:val="0094714F"/>
    <w:rsid w:val="009516C7"/>
    <w:rsid w:val="0095234A"/>
    <w:rsid w:val="009530FD"/>
    <w:rsid w:val="00954821"/>
    <w:rsid w:val="00954FC7"/>
    <w:rsid w:val="00957A44"/>
    <w:rsid w:val="009603CB"/>
    <w:rsid w:val="00960817"/>
    <w:rsid w:val="00961C5F"/>
    <w:rsid w:val="009620FB"/>
    <w:rsid w:val="00962394"/>
    <w:rsid w:val="0096355C"/>
    <w:rsid w:val="009642D4"/>
    <w:rsid w:val="009659CF"/>
    <w:rsid w:val="00965B22"/>
    <w:rsid w:val="00965BC8"/>
    <w:rsid w:val="00965DEE"/>
    <w:rsid w:val="00967592"/>
    <w:rsid w:val="009679FE"/>
    <w:rsid w:val="00971116"/>
    <w:rsid w:val="00972383"/>
    <w:rsid w:val="00972A85"/>
    <w:rsid w:val="00973208"/>
    <w:rsid w:val="0097709B"/>
    <w:rsid w:val="00977200"/>
    <w:rsid w:val="00977907"/>
    <w:rsid w:val="00977CA2"/>
    <w:rsid w:val="00981178"/>
    <w:rsid w:val="009813E4"/>
    <w:rsid w:val="00982784"/>
    <w:rsid w:val="00982DAE"/>
    <w:rsid w:val="00983C1C"/>
    <w:rsid w:val="00983D31"/>
    <w:rsid w:val="00983ED9"/>
    <w:rsid w:val="009843A5"/>
    <w:rsid w:val="00985185"/>
    <w:rsid w:val="00986547"/>
    <w:rsid w:val="00986B1A"/>
    <w:rsid w:val="00987175"/>
    <w:rsid w:val="00991F3F"/>
    <w:rsid w:val="00992CCF"/>
    <w:rsid w:val="009955CA"/>
    <w:rsid w:val="00996068"/>
    <w:rsid w:val="00996B32"/>
    <w:rsid w:val="009979E1"/>
    <w:rsid w:val="009A3925"/>
    <w:rsid w:val="009A4CE0"/>
    <w:rsid w:val="009A53D9"/>
    <w:rsid w:val="009A5B75"/>
    <w:rsid w:val="009A610A"/>
    <w:rsid w:val="009B076C"/>
    <w:rsid w:val="009B2725"/>
    <w:rsid w:val="009B2A83"/>
    <w:rsid w:val="009B2D75"/>
    <w:rsid w:val="009B4C1F"/>
    <w:rsid w:val="009B7CE6"/>
    <w:rsid w:val="009B7F81"/>
    <w:rsid w:val="009C2651"/>
    <w:rsid w:val="009C30EA"/>
    <w:rsid w:val="009C64A1"/>
    <w:rsid w:val="009C7AFD"/>
    <w:rsid w:val="009D1334"/>
    <w:rsid w:val="009D33B4"/>
    <w:rsid w:val="009D37CA"/>
    <w:rsid w:val="009D4669"/>
    <w:rsid w:val="009D507C"/>
    <w:rsid w:val="009D595D"/>
    <w:rsid w:val="009D7774"/>
    <w:rsid w:val="009E0C77"/>
    <w:rsid w:val="009E0E82"/>
    <w:rsid w:val="009E1A69"/>
    <w:rsid w:val="009E1DE3"/>
    <w:rsid w:val="009E2B79"/>
    <w:rsid w:val="009E3037"/>
    <w:rsid w:val="009E3099"/>
    <w:rsid w:val="009E3723"/>
    <w:rsid w:val="009E3859"/>
    <w:rsid w:val="009E3A91"/>
    <w:rsid w:val="009E4885"/>
    <w:rsid w:val="009E4994"/>
    <w:rsid w:val="009E4E83"/>
    <w:rsid w:val="009E697B"/>
    <w:rsid w:val="009E7178"/>
    <w:rsid w:val="009F06FD"/>
    <w:rsid w:val="009F502E"/>
    <w:rsid w:val="009F5E5C"/>
    <w:rsid w:val="009F646D"/>
    <w:rsid w:val="009F6696"/>
    <w:rsid w:val="009F7231"/>
    <w:rsid w:val="00A002E6"/>
    <w:rsid w:val="00A015D4"/>
    <w:rsid w:val="00A03ACA"/>
    <w:rsid w:val="00A03E7D"/>
    <w:rsid w:val="00A04670"/>
    <w:rsid w:val="00A06241"/>
    <w:rsid w:val="00A0712E"/>
    <w:rsid w:val="00A073FF"/>
    <w:rsid w:val="00A1123A"/>
    <w:rsid w:val="00A120B0"/>
    <w:rsid w:val="00A12127"/>
    <w:rsid w:val="00A12BFE"/>
    <w:rsid w:val="00A13184"/>
    <w:rsid w:val="00A131CC"/>
    <w:rsid w:val="00A178F6"/>
    <w:rsid w:val="00A17C64"/>
    <w:rsid w:val="00A20357"/>
    <w:rsid w:val="00A21469"/>
    <w:rsid w:val="00A21C62"/>
    <w:rsid w:val="00A22E5C"/>
    <w:rsid w:val="00A251DF"/>
    <w:rsid w:val="00A255AA"/>
    <w:rsid w:val="00A262D3"/>
    <w:rsid w:val="00A27476"/>
    <w:rsid w:val="00A27E72"/>
    <w:rsid w:val="00A31060"/>
    <w:rsid w:val="00A31BF5"/>
    <w:rsid w:val="00A31E6B"/>
    <w:rsid w:val="00A324AC"/>
    <w:rsid w:val="00A348E7"/>
    <w:rsid w:val="00A34AD9"/>
    <w:rsid w:val="00A35F85"/>
    <w:rsid w:val="00A374EE"/>
    <w:rsid w:val="00A37D75"/>
    <w:rsid w:val="00A37F29"/>
    <w:rsid w:val="00A40686"/>
    <w:rsid w:val="00A42026"/>
    <w:rsid w:val="00A42098"/>
    <w:rsid w:val="00A4244A"/>
    <w:rsid w:val="00A424D8"/>
    <w:rsid w:val="00A4340D"/>
    <w:rsid w:val="00A439F1"/>
    <w:rsid w:val="00A43E71"/>
    <w:rsid w:val="00A44BEE"/>
    <w:rsid w:val="00A45509"/>
    <w:rsid w:val="00A45756"/>
    <w:rsid w:val="00A4690F"/>
    <w:rsid w:val="00A52F05"/>
    <w:rsid w:val="00A55303"/>
    <w:rsid w:val="00A555C9"/>
    <w:rsid w:val="00A55CA5"/>
    <w:rsid w:val="00A569D0"/>
    <w:rsid w:val="00A575C5"/>
    <w:rsid w:val="00A57E54"/>
    <w:rsid w:val="00A60BF1"/>
    <w:rsid w:val="00A6134A"/>
    <w:rsid w:val="00A62256"/>
    <w:rsid w:val="00A65F48"/>
    <w:rsid w:val="00A677D0"/>
    <w:rsid w:val="00A67DD4"/>
    <w:rsid w:val="00A67EF3"/>
    <w:rsid w:val="00A70375"/>
    <w:rsid w:val="00A71047"/>
    <w:rsid w:val="00A71379"/>
    <w:rsid w:val="00A715B8"/>
    <w:rsid w:val="00A7228F"/>
    <w:rsid w:val="00A72399"/>
    <w:rsid w:val="00A727BC"/>
    <w:rsid w:val="00A76615"/>
    <w:rsid w:val="00A76747"/>
    <w:rsid w:val="00A76FB8"/>
    <w:rsid w:val="00A77E2A"/>
    <w:rsid w:val="00A81979"/>
    <w:rsid w:val="00A81994"/>
    <w:rsid w:val="00A81B52"/>
    <w:rsid w:val="00A82310"/>
    <w:rsid w:val="00A84FC7"/>
    <w:rsid w:val="00A85B0F"/>
    <w:rsid w:val="00A86C5E"/>
    <w:rsid w:val="00A87C0B"/>
    <w:rsid w:val="00A9069F"/>
    <w:rsid w:val="00A92AD1"/>
    <w:rsid w:val="00A931A2"/>
    <w:rsid w:val="00A947CC"/>
    <w:rsid w:val="00A9539E"/>
    <w:rsid w:val="00A95695"/>
    <w:rsid w:val="00A977E9"/>
    <w:rsid w:val="00A97F01"/>
    <w:rsid w:val="00AA00A4"/>
    <w:rsid w:val="00AA24A1"/>
    <w:rsid w:val="00AA2E56"/>
    <w:rsid w:val="00AA537B"/>
    <w:rsid w:val="00AA78D8"/>
    <w:rsid w:val="00AA7B34"/>
    <w:rsid w:val="00AB0097"/>
    <w:rsid w:val="00AB2545"/>
    <w:rsid w:val="00AB3AA7"/>
    <w:rsid w:val="00AB47AE"/>
    <w:rsid w:val="00AB4974"/>
    <w:rsid w:val="00AB6436"/>
    <w:rsid w:val="00AB7BC9"/>
    <w:rsid w:val="00AC0F03"/>
    <w:rsid w:val="00AC1526"/>
    <w:rsid w:val="00AC1B43"/>
    <w:rsid w:val="00AC22D3"/>
    <w:rsid w:val="00AC36E6"/>
    <w:rsid w:val="00AC447E"/>
    <w:rsid w:val="00AC51DD"/>
    <w:rsid w:val="00AC53ED"/>
    <w:rsid w:val="00AC5AA2"/>
    <w:rsid w:val="00AC756F"/>
    <w:rsid w:val="00AD04A7"/>
    <w:rsid w:val="00AD0EF6"/>
    <w:rsid w:val="00AD1AFA"/>
    <w:rsid w:val="00AD292C"/>
    <w:rsid w:val="00AD3AA8"/>
    <w:rsid w:val="00AD59F4"/>
    <w:rsid w:val="00AD6050"/>
    <w:rsid w:val="00AD7C87"/>
    <w:rsid w:val="00AE0469"/>
    <w:rsid w:val="00AE0FDC"/>
    <w:rsid w:val="00AE2565"/>
    <w:rsid w:val="00AE41BB"/>
    <w:rsid w:val="00AE5282"/>
    <w:rsid w:val="00AE7743"/>
    <w:rsid w:val="00AF0DF5"/>
    <w:rsid w:val="00AF10D2"/>
    <w:rsid w:val="00AF24DC"/>
    <w:rsid w:val="00AF2736"/>
    <w:rsid w:val="00AF2DB0"/>
    <w:rsid w:val="00AF6FE6"/>
    <w:rsid w:val="00AF7021"/>
    <w:rsid w:val="00AF73E0"/>
    <w:rsid w:val="00AF7AB5"/>
    <w:rsid w:val="00B0073E"/>
    <w:rsid w:val="00B00AD6"/>
    <w:rsid w:val="00B00C42"/>
    <w:rsid w:val="00B010E6"/>
    <w:rsid w:val="00B01241"/>
    <w:rsid w:val="00B0485E"/>
    <w:rsid w:val="00B04DA5"/>
    <w:rsid w:val="00B051AF"/>
    <w:rsid w:val="00B0548E"/>
    <w:rsid w:val="00B07649"/>
    <w:rsid w:val="00B07E94"/>
    <w:rsid w:val="00B07EB9"/>
    <w:rsid w:val="00B10FC6"/>
    <w:rsid w:val="00B1192C"/>
    <w:rsid w:val="00B1257E"/>
    <w:rsid w:val="00B1392E"/>
    <w:rsid w:val="00B16986"/>
    <w:rsid w:val="00B16D26"/>
    <w:rsid w:val="00B21003"/>
    <w:rsid w:val="00B21532"/>
    <w:rsid w:val="00B22642"/>
    <w:rsid w:val="00B25058"/>
    <w:rsid w:val="00B2546A"/>
    <w:rsid w:val="00B301AE"/>
    <w:rsid w:val="00B333AC"/>
    <w:rsid w:val="00B336AC"/>
    <w:rsid w:val="00B3380A"/>
    <w:rsid w:val="00B338D5"/>
    <w:rsid w:val="00B36097"/>
    <w:rsid w:val="00B3670B"/>
    <w:rsid w:val="00B36AE3"/>
    <w:rsid w:val="00B36C26"/>
    <w:rsid w:val="00B3708B"/>
    <w:rsid w:val="00B3770F"/>
    <w:rsid w:val="00B4029E"/>
    <w:rsid w:val="00B4120C"/>
    <w:rsid w:val="00B4294B"/>
    <w:rsid w:val="00B42A13"/>
    <w:rsid w:val="00B43AEA"/>
    <w:rsid w:val="00B43CAC"/>
    <w:rsid w:val="00B43E29"/>
    <w:rsid w:val="00B43F65"/>
    <w:rsid w:val="00B473BC"/>
    <w:rsid w:val="00B50C93"/>
    <w:rsid w:val="00B52894"/>
    <w:rsid w:val="00B54070"/>
    <w:rsid w:val="00B5639A"/>
    <w:rsid w:val="00B56D43"/>
    <w:rsid w:val="00B63622"/>
    <w:rsid w:val="00B63702"/>
    <w:rsid w:val="00B63A14"/>
    <w:rsid w:val="00B6504D"/>
    <w:rsid w:val="00B65941"/>
    <w:rsid w:val="00B65BD8"/>
    <w:rsid w:val="00B65BE9"/>
    <w:rsid w:val="00B66BD5"/>
    <w:rsid w:val="00B67D40"/>
    <w:rsid w:val="00B7177C"/>
    <w:rsid w:val="00B73147"/>
    <w:rsid w:val="00B7391E"/>
    <w:rsid w:val="00B73BFE"/>
    <w:rsid w:val="00B74DC3"/>
    <w:rsid w:val="00B75ECF"/>
    <w:rsid w:val="00B76499"/>
    <w:rsid w:val="00B76A33"/>
    <w:rsid w:val="00B807E0"/>
    <w:rsid w:val="00B81AEC"/>
    <w:rsid w:val="00B8455C"/>
    <w:rsid w:val="00B8650B"/>
    <w:rsid w:val="00B86740"/>
    <w:rsid w:val="00B86B26"/>
    <w:rsid w:val="00B87782"/>
    <w:rsid w:val="00B87CDD"/>
    <w:rsid w:val="00B931CE"/>
    <w:rsid w:val="00B93C19"/>
    <w:rsid w:val="00BA0022"/>
    <w:rsid w:val="00BA1A26"/>
    <w:rsid w:val="00BA1FDD"/>
    <w:rsid w:val="00BA2689"/>
    <w:rsid w:val="00BA28D3"/>
    <w:rsid w:val="00BA5783"/>
    <w:rsid w:val="00BA6A4D"/>
    <w:rsid w:val="00BA6A50"/>
    <w:rsid w:val="00BA6BD9"/>
    <w:rsid w:val="00BA6CB2"/>
    <w:rsid w:val="00BB0090"/>
    <w:rsid w:val="00BB07E4"/>
    <w:rsid w:val="00BB14B9"/>
    <w:rsid w:val="00BB191D"/>
    <w:rsid w:val="00BB48BF"/>
    <w:rsid w:val="00BB4E41"/>
    <w:rsid w:val="00BC02B4"/>
    <w:rsid w:val="00BC0719"/>
    <w:rsid w:val="00BC167A"/>
    <w:rsid w:val="00BC36EB"/>
    <w:rsid w:val="00BC7979"/>
    <w:rsid w:val="00BD0D0A"/>
    <w:rsid w:val="00BD0D5F"/>
    <w:rsid w:val="00BD30E9"/>
    <w:rsid w:val="00BD41F1"/>
    <w:rsid w:val="00BE0592"/>
    <w:rsid w:val="00BE0838"/>
    <w:rsid w:val="00BE274B"/>
    <w:rsid w:val="00BE3AB6"/>
    <w:rsid w:val="00BE496C"/>
    <w:rsid w:val="00BE5478"/>
    <w:rsid w:val="00BE581F"/>
    <w:rsid w:val="00BE645E"/>
    <w:rsid w:val="00BE6622"/>
    <w:rsid w:val="00BE6DBB"/>
    <w:rsid w:val="00BE737B"/>
    <w:rsid w:val="00BF128B"/>
    <w:rsid w:val="00BF2D11"/>
    <w:rsid w:val="00BF2F94"/>
    <w:rsid w:val="00BF4013"/>
    <w:rsid w:val="00BF4727"/>
    <w:rsid w:val="00BF51A9"/>
    <w:rsid w:val="00BF60A9"/>
    <w:rsid w:val="00BF61B6"/>
    <w:rsid w:val="00BF7708"/>
    <w:rsid w:val="00C0163A"/>
    <w:rsid w:val="00C01985"/>
    <w:rsid w:val="00C02D59"/>
    <w:rsid w:val="00C04152"/>
    <w:rsid w:val="00C0421A"/>
    <w:rsid w:val="00C04B97"/>
    <w:rsid w:val="00C07FB3"/>
    <w:rsid w:val="00C1079D"/>
    <w:rsid w:val="00C10C0F"/>
    <w:rsid w:val="00C11208"/>
    <w:rsid w:val="00C1154C"/>
    <w:rsid w:val="00C12430"/>
    <w:rsid w:val="00C16304"/>
    <w:rsid w:val="00C207A6"/>
    <w:rsid w:val="00C21425"/>
    <w:rsid w:val="00C2146C"/>
    <w:rsid w:val="00C21816"/>
    <w:rsid w:val="00C21AA2"/>
    <w:rsid w:val="00C21AF5"/>
    <w:rsid w:val="00C22F52"/>
    <w:rsid w:val="00C24A00"/>
    <w:rsid w:val="00C24CEB"/>
    <w:rsid w:val="00C25428"/>
    <w:rsid w:val="00C256D6"/>
    <w:rsid w:val="00C26407"/>
    <w:rsid w:val="00C27288"/>
    <w:rsid w:val="00C27A60"/>
    <w:rsid w:val="00C30A8B"/>
    <w:rsid w:val="00C315D5"/>
    <w:rsid w:val="00C31616"/>
    <w:rsid w:val="00C320EA"/>
    <w:rsid w:val="00C34642"/>
    <w:rsid w:val="00C359BB"/>
    <w:rsid w:val="00C35B33"/>
    <w:rsid w:val="00C365E9"/>
    <w:rsid w:val="00C36627"/>
    <w:rsid w:val="00C40ABA"/>
    <w:rsid w:val="00C42179"/>
    <w:rsid w:val="00C43C60"/>
    <w:rsid w:val="00C446A4"/>
    <w:rsid w:val="00C45B43"/>
    <w:rsid w:val="00C45C58"/>
    <w:rsid w:val="00C45DC6"/>
    <w:rsid w:val="00C47598"/>
    <w:rsid w:val="00C47BCB"/>
    <w:rsid w:val="00C5087F"/>
    <w:rsid w:val="00C511C3"/>
    <w:rsid w:val="00C52510"/>
    <w:rsid w:val="00C52D21"/>
    <w:rsid w:val="00C535EF"/>
    <w:rsid w:val="00C5545B"/>
    <w:rsid w:val="00C61E96"/>
    <w:rsid w:val="00C63784"/>
    <w:rsid w:val="00C63D59"/>
    <w:rsid w:val="00C65210"/>
    <w:rsid w:val="00C6609B"/>
    <w:rsid w:val="00C6630D"/>
    <w:rsid w:val="00C67073"/>
    <w:rsid w:val="00C6738B"/>
    <w:rsid w:val="00C67A1E"/>
    <w:rsid w:val="00C70C98"/>
    <w:rsid w:val="00C71939"/>
    <w:rsid w:val="00C71A06"/>
    <w:rsid w:val="00C71E40"/>
    <w:rsid w:val="00C721FC"/>
    <w:rsid w:val="00C73915"/>
    <w:rsid w:val="00C743A3"/>
    <w:rsid w:val="00C75E1B"/>
    <w:rsid w:val="00C7614F"/>
    <w:rsid w:val="00C769D2"/>
    <w:rsid w:val="00C81D19"/>
    <w:rsid w:val="00C83DB8"/>
    <w:rsid w:val="00C8400A"/>
    <w:rsid w:val="00C842DD"/>
    <w:rsid w:val="00C84663"/>
    <w:rsid w:val="00C84AFF"/>
    <w:rsid w:val="00C8510F"/>
    <w:rsid w:val="00C8590B"/>
    <w:rsid w:val="00C861FF"/>
    <w:rsid w:val="00C87932"/>
    <w:rsid w:val="00C93586"/>
    <w:rsid w:val="00C93607"/>
    <w:rsid w:val="00C9408E"/>
    <w:rsid w:val="00C9531A"/>
    <w:rsid w:val="00C95788"/>
    <w:rsid w:val="00C9642E"/>
    <w:rsid w:val="00C967AB"/>
    <w:rsid w:val="00CA2090"/>
    <w:rsid w:val="00CA2C35"/>
    <w:rsid w:val="00CA3406"/>
    <w:rsid w:val="00CA3FB5"/>
    <w:rsid w:val="00CA6BD2"/>
    <w:rsid w:val="00CA7517"/>
    <w:rsid w:val="00CB0512"/>
    <w:rsid w:val="00CB14E6"/>
    <w:rsid w:val="00CB1F60"/>
    <w:rsid w:val="00CB271E"/>
    <w:rsid w:val="00CB305A"/>
    <w:rsid w:val="00CB3379"/>
    <w:rsid w:val="00CB4349"/>
    <w:rsid w:val="00CB4488"/>
    <w:rsid w:val="00CB5E0E"/>
    <w:rsid w:val="00CB5E3D"/>
    <w:rsid w:val="00CB748A"/>
    <w:rsid w:val="00CC38D7"/>
    <w:rsid w:val="00CC3A29"/>
    <w:rsid w:val="00CC4087"/>
    <w:rsid w:val="00CC7E58"/>
    <w:rsid w:val="00CD0AA2"/>
    <w:rsid w:val="00CD0BC2"/>
    <w:rsid w:val="00CD1B7B"/>
    <w:rsid w:val="00CD1C20"/>
    <w:rsid w:val="00CD67E4"/>
    <w:rsid w:val="00CD7326"/>
    <w:rsid w:val="00CD7F53"/>
    <w:rsid w:val="00CE01F8"/>
    <w:rsid w:val="00CE2945"/>
    <w:rsid w:val="00CE2E50"/>
    <w:rsid w:val="00CE4947"/>
    <w:rsid w:val="00CE5174"/>
    <w:rsid w:val="00CE5DEC"/>
    <w:rsid w:val="00CE5EF2"/>
    <w:rsid w:val="00CF1D57"/>
    <w:rsid w:val="00CF265B"/>
    <w:rsid w:val="00CF2F16"/>
    <w:rsid w:val="00CF3151"/>
    <w:rsid w:val="00CF3783"/>
    <w:rsid w:val="00CF4041"/>
    <w:rsid w:val="00CF5389"/>
    <w:rsid w:val="00CF5D1D"/>
    <w:rsid w:val="00CF6397"/>
    <w:rsid w:val="00CF69FD"/>
    <w:rsid w:val="00CF7B66"/>
    <w:rsid w:val="00D02AA7"/>
    <w:rsid w:val="00D02D4E"/>
    <w:rsid w:val="00D0442F"/>
    <w:rsid w:val="00D0487D"/>
    <w:rsid w:val="00D056DE"/>
    <w:rsid w:val="00D05F94"/>
    <w:rsid w:val="00D05FF9"/>
    <w:rsid w:val="00D067C2"/>
    <w:rsid w:val="00D10E77"/>
    <w:rsid w:val="00D10F6A"/>
    <w:rsid w:val="00D11AD7"/>
    <w:rsid w:val="00D12292"/>
    <w:rsid w:val="00D13083"/>
    <w:rsid w:val="00D13B41"/>
    <w:rsid w:val="00D14FF8"/>
    <w:rsid w:val="00D15E7A"/>
    <w:rsid w:val="00D16B38"/>
    <w:rsid w:val="00D16F5F"/>
    <w:rsid w:val="00D17189"/>
    <w:rsid w:val="00D1723D"/>
    <w:rsid w:val="00D20122"/>
    <w:rsid w:val="00D20485"/>
    <w:rsid w:val="00D20570"/>
    <w:rsid w:val="00D23132"/>
    <w:rsid w:val="00D23EE3"/>
    <w:rsid w:val="00D240F0"/>
    <w:rsid w:val="00D27CC6"/>
    <w:rsid w:val="00D27ECE"/>
    <w:rsid w:val="00D30C74"/>
    <w:rsid w:val="00D31223"/>
    <w:rsid w:val="00D32BA5"/>
    <w:rsid w:val="00D32E88"/>
    <w:rsid w:val="00D33B71"/>
    <w:rsid w:val="00D340CC"/>
    <w:rsid w:val="00D34DD8"/>
    <w:rsid w:val="00D35517"/>
    <w:rsid w:val="00D36FD7"/>
    <w:rsid w:val="00D37897"/>
    <w:rsid w:val="00D37B45"/>
    <w:rsid w:val="00D40E12"/>
    <w:rsid w:val="00D42274"/>
    <w:rsid w:val="00D43412"/>
    <w:rsid w:val="00D43B04"/>
    <w:rsid w:val="00D45D1E"/>
    <w:rsid w:val="00D4640A"/>
    <w:rsid w:val="00D4695D"/>
    <w:rsid w:val="00D46DF2"/>
    <w:rsid w:val="00D500AA"/>
    <w:rsid w:val="00D50B0E"/>
    <w:rsid w:val="00D52D9A"/>
    <w:rsid w:val="00D53742"/>
    <w:rsid w:val="00D53C97"/>
    <w:rsid w:val="00D54186"/>
    <w:rsid w:val="00D548C0"/>
    <w:rsid w:val="00D5638B"/>
    <w:rsid w:val="00D56C77"/>
    <w:rsid w:val="00D57D01"/>
    <w:rsid w:val="00D6079A"/>
    <w:rsid w:val="00D60E32"/>
    <w:rsid w:val="00D613C7"/>
    <w:rsid w:val="00D63881"/>
    <w:rsid w:val="00D63F76"/>
    <w:rsid w:val="00D64431"/>
    <w:rsid w:val="00D64DA6"/>
    <w:rsid w:val="00D654EA"/>
    <w:rsid w:val="00D66A74"/>
    <w:rsid w:val="00D67685"/>
    <w:rsid w:val="00D70B5F"/>
    <w:rsid w:val="00D7145A"/>
    <w:rsid w:val="00D74379"/>
    <w:rsid w:val="00D75BCE"/>
    <w:rsid w:val="00D75C05"/>
    <w:rsid w:val="00D76EDD"/>
    <w:rsid w:val="00D7739B"/>
    <w:rsid w:val="00D777A1"/>
    <w:rsid w:val="00D8124D"/>
    <w:rsid w:val="00D815A9"/>
    <w:rsid w:val="00D837B9"/>
    <w:rsid w:val="00D839CF"/>
    <w:rsid w:val="00D83A13"/>
    <w:rsid w:val="00D83E4E"/>
    <w:rsid w:val="00D83E58"/>
    <w:rsid w:val="00D85062"/>
    <w:rsid w:val="00D859E1"/>
    <w:rsid w:val="00D86DC4"/>
    <w:rsid w:val="00D872A5"/>
    <w:rsid w:val="00D87E5B"/>
    <w:rsid w:val="00D900F2"/>
    <w:rsid w:val="00D90497"/>
    <w:rsid w:val="00D91284"/>
    <w:rsid w:val="00D9192C"/>
    <w:rsid w:val="00D926CE"/>
    <w:rsid w:val="00D93C86"/>
    <w:rsid w:val="00D945B5"/>
    <w:rsid w:val="00D954A4"/>
    <w:rsid w:val="00D95906"/>
    <w:rsid w:val="00D97029"/>
    <w:rsid w:val="00D97455"/>
    <w:rsid w:val="00D97513"/>
    <w:rsid w:val="00D9779C"/>
    <w:rsid w:val="00D97BBF"/>
    <w:rsid w:val="00D97E00"/>
    <w:rsid w:val="00D97E23"/>
    <w:rsid w:val="00DA104D"/>
    <w:rsid w:val="00DA2288"/>
    <w:rsid w:val="00DA22C9"/>
    <w:rsid w:val="00DA3645"/>
    <w:rsid w:val="00DA4223"/>
    <w:rsid w:val="00DA51BE"/>
    <w:rsid w:val="00DA565D"/>
    <w:rsid w:val="00DB043D"/>
    <w:rsid w:val="00DB1E3F"/>
    <w:rsid w:val="00DB305F"/>
    <w:rsid w:val="00DB356A"/>
    <w:rsid w:val="00DB36C2"/>
    <w:rsid w:val="00DB5189"/>
    <w:rsid w:val="00DB557E"/>
    <w:rsid w:val="00DB59E0"/>
    <w:rsid w:val="00DB6B22"/>
    <w:rsid w:val="00DB6FB4"/>
    <w:rsid w:val="00DC1B0C"/>
    <w:rsid w:val="00DC2288"/>
    <w:rsid w:val="00DC3BDE"/>
    <w:rsid w:val="00DC3D64"/>
    <w:rsid w:val="00DC45B7"/>
    <w:rsid w:val="00DC66F9"/>
    <w:rsid w:val="00DC72ED"/>
    <w:rsid w:val="00DD091B"/>
    <w:rsid w:val="00DD1461"/>
    <w:rsid w:val="00DD24C8"/>
    <w:rsid w:val="00DD3493"/>
    <w:rsid w:val="00DD378D"/>
    <w:rsid w:val="00DD6497"/>
    <w:rsid w:val="00DD6794"/>
    <w:rsid w:val="00DD6ACC"/>
    <w:rsid w:val="00DE1255"/>
    <w:rsid w:val="00DE1EA5"/>
    <w:rsid w:val="00DE1F5B"/>
    <w:rsid w:val="00DE2C71"/>
    <w:rsid w:val="00DE2FF1"/>
    <w:rsid w:val="00DE328B"/>
    <w:rsid w:val="00DE4543"/>
    <w:rsid w:val="00DE4ED6"/>
    <w:rsid w:val="00DE53FA"/>
    <w:rsid w:val="00DE57BD"/>
    <w:rsid w:val="00DE7966"/>
    <w:rsid w:val="00DF0199"/>
    <w:rsid w:val="00DF10BB"/>
    <w:rsid w:val="00DF2FB1"/>
    <w:rsid w:val="00DF3A86"/>
    <w:rsid w:val="00DF4FFA"/>
    <w:rsid w:val="00DF50C2"/>
    <w:rsid w:val="00DF5491"/>
    <w:rsid w:val="00DF6539"/>
    <w:rsid w:val="00E0011D"/>
    <w:rsid w:val="00E0096B"/>
    <w:rsid w:val="00E00ECB"/>
    <w:rsid w:val="00E03504"/>
    <w:rsid w:val="00E052F6"/>
    <w:rsid w:val="00E05845"/>
    <w:rsid w:val="00E05C6B"/>
    <w:rsid w:val="00E05EC0"/>
    <w:rsid w:val="00E06194"/>
    <w:rsid w:val="00E0710B"/>
    <w:rsid w:val="00E1053D"/>
    <w:rsid w:val="00E105F1"/>
    <w:rsid w:val="00E1193B"/>
    <w:rsid w:val="00E120FC"/>
    <w:rsid w:val="00E12B73"/>
    <w:rsid w:val="00E15E94"/>
    <w:rsid w:val="00E169FE"/>
    <w:rsid w:val="00E17838"/>
    <w:rsid w:val="00E21C55"/>
    <w:rsid w:val="00E21E1D"/>
    <w:rsid w:val="00E232B5"/>
    <w:rsid w:val="00E23533"/>
    <w:rsid w:val="00E272B6"/>
    <w:rsid w:val="00E27518"/>
    <w:rsid w:val="00E30015"/>
    <w:rsid w:val="00E30857"/>
    <w:rsid w:val="00E30CAE"/>
    <w:rsid w:val="00E31C57"/>
    <w:rsid w:val="00E325BB"/>
    <w:rsid w:val="00E329DB"/>
    <w:rsid w:val="00E32D3E"/>
    <w:rsid w:val="00E335BD"/>
    <w:rsid w:val="00E35510"/>
    <w:rsid w:val="00E3654E"/>
    <w:rsid w:val="00E37088"/>
    <w:rsid w:val="00E41733"/>
    <w:rsid w:val="00E422BD"/>
    <w:rsid w:val="00E459AC"/>
    <w:rsid w:val="00E45A9E"/>
    <w:rsid w:val="00E470FB"/>
    <w:rsid w:val="00E4738F"/>
    <w:rsid w:val="00E47866"/>
    <w:rsid w:val="00E51566"/>
    <w:rsid w:val="00E51C8E"/>
    <w:rsid w:val="00E51D3F"/>
    <w:rsid w:val="00E54144"/>
    <w:rsid w:val="00E55B17"/>
    <w:rsid w:val="00E56EE2"/>
    <w:rsid w:val="00E60979"/>
    <w:rsid w:val="00E61250"/>
    <w:rsid w:val="00E6245B"/>
    <w:rsid w:val="00E62A00"/>
    <w:rsid w:val="00E63420"/>
    <w:rsid w:val="00E64A12"/>
    <w:rsid w:val="00E71772"/>
    <w:rsid w:val="00E7185E"/>
    <w:rsid w:val="00E71A45"/>
    <w:rsid w:val="00E725D9"/>
    <w:rsid w:val="00E729BA"/>
    <w:rsid w:val="00E73F3A"/>
    <w:rsid w:val="00E75D1A"/>
    <w:rsid w:val="00E7614F"/>
    <w:rsid w:val="00E76665"/>
    <w:rsid w:val="00E768D8"/>
    <w:rsid w:val="00E8005C"/>
    <w:rsid w:val="00E82D52"/>
    <w:rsid w:val="00E8474A"/>
    <w:rsid w:val="00E872F2"/>
    <w:rsid w:val="00E877BC"/>
    <w:rsid w:val="00E916F3"/>
    <w:rsid w:val="00E91DE7"/>
    <w:rsid w:val="00E92F72"/>
    <w:rsid w:val="00E93EB6"/>
    <w:rsid w:val="00E94C90"/>
    <w:rsid w:val="00E968A4"/>
    <w:rsid w:val="00E96F02"/>
    <w:rsid w:val="00EA0ACA"/>
    <w:rsid w:val="00EA0D4C"/>
    <w:rsid w:val="00EA1AF9"/>
    <w:rsid w:val="00EA3C11"/>
    <w:rsid w:val="00EA503A"/>
    <w:rsid w:val="00EA5C7F"/>
    <w:rsid w:val="00EA793A"/>
    <w:rsid w:val="00EA79A0"/>
    <w:rsid w:val="00EB0090"/>
    <w:rsid w:val="00EB0355"/>
    <w:rsid w:val="00EB0C0D"/>
    <w:rsid w:val="00EB0D1B"/>
    <w:rsid w:val="00EB0D28"/>
    <w:rsid w:val="00EB2D8B"/>
    <w:rsid w:val="00EB33A2"/>
    <w:rsid w:val="00EB69DD"/>
    <w:rsid w:val="00EB772A"/>
    <w:rsid w:val="00EC0987"/>
    <w:rsid w:val="00EC0B99"/>
    <w:rsid w:val="00EC2CF6"/>
    <w:rsid w:val="00EC6F7F"/>
    <w:rsid w:val="00EC7EA4"/>
    <w:rsid w:val="00ED05BB"/>
    <w:rsid w:val="00ED16B9"/>
    <w:rsid w:val="00ED2058"/>
    <w:rsid w:val="00ED2269"/>
    <w:rsid w:val="00ED2319"/>
    <w:rsid w:val="00ED275F"/>
    <w:rsid w:val="00ED2E5A"/>
    <w:rsid w:val="00ED38E1"/>
    <w:rsid w:val="00ED5DB7"/>
    <w:rsid w:val="00ED619A"/>
    <w:rsid w:val="00ED658B"/>
    <w:rsid w:val="00ED7F9A"/>
    <w:rsid w:val="00EE10CB"/>
    <w:rsid w:val="00EE1E40"/>
    <w:rsid w:val="00EE395E"/>
    <w:rsid w:val="00EE3A29"/>
    <w:rsid w:val="00EE4E59"/>
    <w:rsid w:val="00EE6238"/>
    <w:rsid w:val="00EE72D0"/>
    <w:rsid w:val="00EF112F"/>
    <w:rsid w:val="00EF1B57"/>
    <w:rsid w:val="00EF2CCC"/>
    <w:rsid w:val="00EF2D72"/>
    <w:rsid w:val="00EF2E1B"/>
    <w:rsid w:val="00EF343A"/>
    <w:rsid w:val="00EF3B8B"/>
    <w:rsid w:val="00EF3EE7"/>
    <w:rsid w:val="00EF4F20"/>
    <w:rsid w:val="00EF5D99"/>
    <w:rsid w:val="00EF71CA"/>
    <w:rsid w:val="00EF77A2"/>
    <w:rsid w:val="00F0181D"/>
    <w:rsid w:val="00F02FF1"/>
    <w:rsid w:val="00F06072"/>
    <w:rsid w:val="00F07477"/>
    <w:rsid w:val="00F105AB"/>
    <w:rsid w:val="00F114F3"/>
    <w:rsid w:val="00F11A9F"/>
    <w:rsid w:val="00F11FE8"/>
    <w:rsid w:val="00F13195"/>
    <w:rsid w:val="00F1405C"/>
    <w:rsid w:val="00F14614"/>
    <w:rsid w:val="00F15AD2"/>
    <w:rsid w:val="00F15C34"/>
    <w:rsid w:val="00F1695F"/>
    <w:rsid w:val="00F16AB3"/>
    <w:rsid w:val="00F177E7"/>
    <w:rsid w:val="00F178EE"/>
    <w:rsid w:val="00F17E5C"/>
    <w:rsid w:val="00F205FC"/>
    <w:rsid w:val="00F21BD0"/>
    <w:rsid w:val="00F240CE"/>
    <w:rsid w:val="00F2449C"/>
    <w:rsid w:val="00F2476F"/>
    <w:rsid w:val="00F2483C"/>
    <w:rsid w:val="00F25DBD"/>
    <w:rsid w:val="00F27EB4"/>
    <w:rsid w:val="00F3185A"/>
    <w:rsid w:val="00F321A1"/>
    <w:rsid w:val="00F3260E"/>
    <w:rsid w:val="00F3411F"/>
    <w:rsid w:val="00F34B9F"/>
    <w:rsid w:val="00F35590"/>
    <w:rsid w:val="00F363FA"/>
    <w:rsid w:val="00F36D83"/>
    <w:rsid w:val="00F37126"/>
    <w:rsid w:val="00F422EA"/>
    <w:rsid w:val="00F43567"/>
    <w:rsid w:val="00F44AFE"/>
    <w:rsid w:val="00F44C02"/>
    <w:rsid w:val="00F4661A"/>
    <w:rsid w:val="00F46CB1"/>
    <w:rsid w:val="00F47D35"/>
    <w:rsid w:val="00F5064C"/>
    <w:rsid w:val="00F50AD3"/>
    <w:rsid w:val="00F52F6C"/>
    <w:rsid w:val="00F542FD"/>
    <w:rsid w:val="00F553AB"/>
    <w:rsid w:val="00F5543D"/>
    <w:rsid w:val="00F56026"/>
    <w:rsid w:val="00F56388"/>
    <w:rsid w:val="00F6160A"/>
    <w:rsid w:val="00F61A27"/>
    <w:rsid w:val="00F64F52"/>
    <w:rsid w:val="00F65BD9"/>
    <w:rsid w:val="00F666CE"/>
    <w:rsid w:val="00F67FE2"/>
    <w:rsid w:val="00F7028C"/>
    <w:rsid w:val="00F71BD5"/>
    <w:rsid w:val="00F73844"/>
    <w:rsid w:val="00F73B15"/>
    <w:rsid w:val="00F74FF7"/>
    <w:rsid w:val="00F7565F"/>
    <w:rsid w:val="00F75F34"/>
    <w:rsid w:val="00F778A8"/>
    <w:rsid w:val="00F77ADE"/>
    <w:rsid w:val="00F82647"/>
    <w:rsid w:val="00F8417A"/>
    <w:rsid w:val="00F858C3"/>
    <w:rsid w:val="00F9019B"/>
    <w:rsid w:val="00F91AAB"/>
    <w:rsid w:val="00F92B3C"/>
    <w:rsid w:val="00F9660A"/>
    <w:rsid w:val="00F97DC9"/>
    <w:rsid w:val="00FA04A8"/>
    <w:rsid w:val="00FA076C"/>
    <w:rsid w:val="00FA236E"/>
    <w:rsid w:val="00FA3A01"/>
    <w:rsid w:val="00FA4043"/>
    <w:rsid w:val="00FA5C46"/>
    <w:rsid w:val="00FA6592"/>
    <w:rsid w:val="00FA693A"/>
    <w:rsid w:val="00FA72A9"/>
    <w:rsid w:val="00FB047A"/>
    <w:rsid w:val="00FB09B1"/>
    <w:rsid w:val="00FB10B9"/>
    <w:rsid w:val="00FB2608"/>
    <w:rsid w:val="00FB285D"/>
    <w:rsid w:val="00FB2D16"/>
    <w:rsid w:val="00FB31C2"/>
    <w:rsid w:val="00FB5578"/>
    <w:rsid w:val="00FB6BD3"/>
    <w:rsid w:val="00FC082F"/>
    <w:rsid w:val="00FC0B09"/>
    <w:rsid w:val="00FC145A"/>
    <w:rsid w:val="00FC1678"/>
    <w:rsid w:val="00FC2DB2"/>
    <w:rsid w:val="00FC3051"/>
    <w:rsid w:val="00FC4201"/>
    <w:rsid w:val="00FC5DE6"/>
    <w:rsid w:val="00FC77BA"/>
    <w:rsid w:val="00FD09BF"/>
    <w:rsid w:val="00FD237C"/>
    <w:rsid w:val="00FD2718"/>
    <w:rsid w:val="00FD2B4E"/>
    <w:rsid w:val="00FD3985"/>
    <w:rsid w:val="00FD405D"/>
    <w:rsid w:val="00FD53D4"/>
    <w:rsid w:val="00FD5D75"/>
    <w:rsid w:val="00FD6177"/>
    <w:rsid w:val="00FD7611"/>
    <w:rsid w:val="00FD7C77"/>
    <w:rsid w:val="00FD7E26"/>
    <w:rsid w:val="00FE08DB"/>
    <w:rsid w:val="00FE0D5A"/>
    <w:rsid w:val="00FE1B73"/>
    <w:rsid w:val="00FE1DBE"/>
    <w:rsid w:val="00FE2231"/>
    <w:rsid w:val="00FE291D"/>
    <w:rsid w:val="00FE2BAA"/>
    <w:rsid w:val="00FE3106"/>
    <w:rsid w:val="00FE3D4B"/>
    <w:rsid w:val="00FE4EA2"/>
    <w:rsid w:val="00FE5851"/>
    <w:rsid w:val="00FE58EB"/>
    <w:rsid w:val="00FE742D"/>
    <w:rsid w:val="00FE7866"/>
    <w:rsid w:val="00FF1529"/>
    <w:rsid w:val="00FF2896"/>
    <w:rsid w:val="00FF36F1"/>
    <w:rsid w:val="00FF47FF"/>
    <w:rsid w:val="00FF4C48"/>
    <w:rsid w:val="00FF5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283F"/>
  <w15:chartTrackingRefBased/>
  <w15:docId w15:val="{F470C370-5CAE-49C8-BEDC-B32EC8EB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AD6"/>
    <w:rPr>
      <w:rFonts w:ascii="Arial" w:hAnsi="Arial"/>
      <w:sz w:val="24"/>
    </w:rPr>
  </w:style>
  <w:style w:type="paragraph" w:styleId="Heading1">
    <w:name w:val="heading 1"/>
    <w:basedOn w:val="Normal"/>
    <w:next w:val="Normal"/>
    <w:link w:val="Heading1Char"/>
    <w:uiPriority w:val="9"/>
    <w:qFormat/>
    <w:rsid w:val="00B04DA5"/>
    <w:pPr>
      <w:keepNext/>
      <w:keepLines/>
      <w:spacing w:before="400" w:after="40" w:line="240" w:lineRule="auto"/>
      <w:outlineLvl w:val="0"/>
    </w:pPr>
    <w:rPr>
      <w:rFonts w:eastAsiaTheme="majorEastAsia" w:cstheme="majorBidi"/>
      <w:b/>
      <w:color w:val="009999"/>
      <w:sz w:val="28"/>
      <w:szCs w:val="36"/>
    </w:rPr>
  </w:style>
  <w:style w:type="paragraph" w:styleId="Heading2">
    <w:name w:val="heading 2"/>
    <w:basedOn w:val="Normal"/>
    <w:next w:val="Normal"/>
    <w:link w:val="Heading2Char"/>
    <w:uiPriority w:val="9"/>
    <w:unhideWhenUsed/>
    <w:qFormat/>
    <w:rsid w:val="00643C0E"/>
    <w:pPr>
      <w:keepNext/>
      <w:keepLines/>
      <w:spacing w:before="40" w:after="0" w:line="240" w:lineRule="auto"/>
      <w:outlineLvl w:val="1"/>
    </w:pPr>
    <w:rPr>
      <w:rFonts w:eastAsiaTheme="majorEastAsia" w:cstheme="majorBidi"/>
      <w:b/>
      <w:color w:val="009999"/>
      <w:szCs w:val="32"/>
    </w:rPr>
  </w:style>
  <w:style w:type="paragraph" w:styleId="Heading3">
    <w:name w:val="heading 3"/>
    <w:basedOn w:val="Normal"/>
    <w:next w:val="Normal"/>
    <w:link w:val="Heading3Char"/>
    <w:uiPriority w:val="9"/>
    <w:unhideWhenUsed/>
    <w:qFormat/>
    <w:rsid w:val="00FB31C2"/>
    <w:pPr>
      <w:keepNext/>
      <w:keepLines/>
      <w:spacing w:before="40" w:after="0" w:line="240" w:lineRule="auto"/>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BA6BD9"/>
    <w:pPr>
      <w:keepNext/>
      <w:keepLines/>
      <w:spacing w:before="40" w:after="0"/>
      <w:outlineLvl w:val="3"/>
    </w:pPr>
    <w:rPr>
      <w:rFonts w:eastAsiaTheme="majorEastAsia" w:cstheme="majorBidi"/>
      <w:b/>
      <w:color w:val="000000" w:themeColor="text1"/>
      <w:szCs w:val="24"/>
    </w:rPr>
  </w:style>
  <w:style w:type="paragraph" w:styleId="Heading5">
    <w:name w:val="heading 5"/>
    <w:basedOn w:val="Normal"/>
    <w:next w:val="Normal"/>
    <w:link w:val="Heading5Char"/>
    <w:uiPriority w:val="9"/>
    <w:semiHidden/>
    <w:unhideWhenUsed/>
    <w:qFormat/>
    <w:rsid w:val="000A6DB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0A6DB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0A6DB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0A6DB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0A6DB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DA5"/>
    <w:rPr>
      <w:rFonts w:ascii="Arial" w:eastAsiaTheme="majorEastAsia" w:hAnsi="Arial" w:cstheme="majorBidi"/>
      <w:b/>
      <w:color w:val="009999"/>
      <w:sz w:val="28"/>
      <w:szCs w:val="36"/>
    </w:rPr>
  </w:style>
  <w:style w:type="character" w:customStyle="1" w:styleId="Heading2Char">
    <w:name w:val="Heading 2 Char"/>
    <w:basedOn w:val="DefaultParagraphFont"/>
    <w:link w:val="Heading2"/>
    <w:uiPriority w:val="9"/>
    <w:rsid w:val="00643C0E"/>
    <w:rPr>
      <w:rFonts w:ascii="Arial" w:eastAsiaTheme="majorEastAsia" w:hAnsi="Arial" w:cstheme="majorBidi"/>
      <w:b/>
      <w:color w:val="009999"/>
      <w:sz w:val="24"/>
      <w:szCs w:val="32"/>
    </w:rPr>
  </w:style>
  <w:style w:type="character" w:customStyle="1" w:styleId="Heading3Char">
    <w:name w:val="Heading 3 Char"/>
    <w:basedOn w:val="DefaultParagraphFont"/>
    <w:link w:val="Heading3"/>
    <w:uiPriority w:val="9"/>
    <w:rsid w:val="00FB31C2"/>
    <w:rPr>
      <w:rFonts w:ascii="Arial" w:eastAsiaTheme="majorEastAsia" w:hAnsi="Arial" w:cstheme="majorBidi"/>
      <w:b/>
      <w:sz w:val="24"/>
      <w:szCs w:val="28"/>
    </w:rPr>
  </w:style>
  <w:style w:type="character" w:customStyle="1" w:styleId="Heading4Char">
    <w:name w:val="Heading 4 Char"/>
    <w:basedOn w:val="DefaultParagraphFont"/>
    <w:link w:val="Heading4"/>
    <w:uiPriority w:val="9"/>
    <w:rsid w:val="00BA6BD9"/>
    <w:rPr>
      <w:rFonts w:ascii="Arial" w:eastAsiaTheme="majorEastAsia" w:hAnsi="Arial" w:cstheme="majorBidi"/>
      <w:b/>
      <w:color w:val="000000" w:themeColor="text1"/>
      <w:sz w:val="24"/>
      <w:szCs w:val="24"/>
    </w:rPr>
  </w:style>
  <w:style w:type="character" w:customStyle="1" w:styleId="Heading5Char">
    <w:name w:val="Heading 5 Char"/>
    <w:basedOn w:val="DefaultParagraphFont"/>
    <w:link w:val="Heading5"/>
    <w:uiPriority w:val="9"/>
    <w:semiHidden/>
    <w:rsid w:val="000A6DB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0A6DB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0A6DB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0A6DB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0A6DB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0A6DB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0A6DB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0A6DB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0A6DB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0A6DB1"/>
    <w:pPr>
      <w:spacing w:before="120" w:after="120"/>
      <w:ind w:left="720"/>
    </w:pPr>
    <w:rPr>
      <w:color w:val="0E2841" w:themeColor="text2"/>
      <w:szCs w:val="24"/>
    </w:rPr>
  </w:style>
  <w:style w:type="character" w:customStyle="1" w:styleId="QuoteChar">
    <w:name w:val="Quote Char"/>
    <w:basedOn w:val="DefaultParagraphFont"/>
    <w:link w:val="Quote"/>
    <w:uiPriority w:val="29"/>
    <w:rsid w:val="000A6DB1"/>
    <w:rPr>
      <w:color w:val="0E2841" w:themeColor="text2"/>
      <w:sz w:val="24"/>
      <w:szCs w:val="24"/>
    </w:rPr>
  </w:style>
  <w:style w:type="paragraph" w:styleId="ListParagraph">
    <w:name w:val="List Paragraph"/>
    <w:basedOn w:val="Normal"/>
    <w:uiPriority w:val="34"/>
    <w:qFormat/>
    <w:rsid w:val="003246A4"/>
    <w:pPr>
      <w:ind w:left="720"/>
      <w:contextualSpacing/>
    </w:pPr>
  </w:style>
  <w:style w:type="character" w:styleId="IntenseEmphasis">
    <w:name w:val="Intense Emphasis"/>
    <w:basedOn w:val="DefaultParagraphFont"/>
    <w:uiPriority w:val="21"/>
    <w:qFormat/>
    <w:rsid w:val="000A6DB1"/>
    <w:rPr>
      <w:b/>
      <w:bCs/>
      <w:i/>
      <w:iCs/>
    </w:rPr>
  </w:style>
  <w:style w:type="paragraph" w:styleId="IntenseQuote">
    <w:name w:val="Intense Quote"/>
    <w:basedOn w:val="Normal"/>
    <w:next w:val="Normal"/>
    <w:link w:val="IntenseQuoteChar"/>
    <w:uiPriority w:val="30"/>
    <w:qFormat/>
    <w:rsid w:val="000A6DB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0A6DB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0A6DB1"/>
    <w:rPr>
      <w:b/>
      <w:bCs/>
      <w:smallCaps/>
      <w:color w:val="0E2841" w:themeColor="text2"/>
      <w:u w:val="single"/>
    </w:rPr>
  </w:style>
  <w:style w:type="paragraph" w:styleId="BodyText">
    <w:name w:val="Body Text"/>
    <w:basedOn w:val="Normal"/>
    <w:link w:val="BodyTextChar"/>
    <w:rsid w:val="009E3859"/>
    <w:pPr>
      <w:spacing w:after="0" w:line="240" w:lineRule="auto"/>
      <w:jc w:val="both"/>
    </w:pPr>
    <w:rPr>
      <w:rFonts w:eastAsia="Times New Roman" w:cs="Times New Roman"/>
      <w:szCs w:val="24"/>
    </w:rPr>
  </w:style>
  <w:style w:type="character" w:customStyle="1" w:styleId="BodyTextChar">
    <w:name w:val="Body Text Char"/>
    <w:basedOn w:val="DefaultParagraphFont"/>
    <w:link w:val="BodyText"/>
    <w:rsid w:val="009E3859"/>
    <w:rPr>
      <w:rFonts w:ascii="Arial" w:eastAsia="Times New Roman" w:hAnsi="Arial" w:cs="Times New Roman"/>
      <w:kern w:val="0"/>
      <w:szCs w:val="24"/>
      <w14:ligatures w14:val="none"/>
    </w:rPr>
  </w:style>
  <w:style w:type="paragraph" w:styleId="Caption">
    <w:name w:val="caption"/>
    <w:basedOn w:val="Normal"/>
    <w:next w:val="Normal"/>
    <w:uiPriority w:val="35"/>
    <w:semiHidden/>
    <w:unhideWhenUsed/>
    <w:qFormat/>
    <w:rsid w:val="000A6DB1"/>
    <w:pPr>
      <w:spacing w:line="240" w:lineRule="auto"/>
    </w:pPr>
    <w:rPr>
      <w:b/>
      <w:bCs/>
      <w:smallCaps/>
      <w:color w:val="0E2841" w:themeColor="text2"/>
    </w:rPr>
  </w:style>
  <w:style w:type="character" w:styleId="Strong">
    <w:name w:val="Strong"/>
    <w:basedOn w:val="DefaultParagraphFont"/>
    <w:uiPriority w:val="22"/>
    <w:qFormat/>
    <w:rsid w:val="000A6DB1"/>
    <w:rPr>
      <w:b/>
      <w:bCs/>
    </w:rPr>
  </w:style>
  <w:style w:type="character" w:styleId="Emphasis">
    <w:name w:val="Emphasis"/>
    <w:basedOn w:val="DefaultParagraphFont"/>
    <w:uiPriority w:val="20"/>
    <w:qFormat/>
    <w:rsid w:val="000A6DB1"/>
    <w:rPr>
      <w:i/>
      <w:iCs/>
    </w:rPr>
  </w:style>
  <w:style w:type="paragraph" w:styleId="NoSpacing">
    <w:name w:val="No Spacing"/>
    <w:link w:val="NoSpacingChar"/>
    <w:uiPriority w:val="1"/>
    <w:qFormat/>
    <w:rsid w:val="000A6DB1"/>
    <w:pPr>
      <w:spacing w:after="0" w:line="240" w:lineRule="auto"/>
    </w:pPr>
  </w:style>
  <w:style w:type="character" w:styleId="SubtleEmphasis">
    <w:name w:val="Subtle Emphasis"/>
    <w:basedOn w:val="DefaultParagraphFont"/>
    <w:uiPriority w:val="19"/>
    <w:qFormat/>
    <w:rsid w:val="000A6DB1"/>
    <w:rPr>
      <w:i/>
      <w:iCs/>
      <w:color w:val="595959" w:themeColor="text1" w:themeTint="A6"/>
    </w:rPr>
  </w:style>
  <w:style w:type="character" w:styleId="SubtleReference">
    <w:name w:val="Subtle Reference"/>
    <w:basedOn w:val="DefaultParagraphFont"/>
    <w:uiPriority w:val="31"/>
    <w:qFormat/>
    <w:rsid w:val="000A6DB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0A6DB1"/>
    <w:rPr>
      <w:b/>
      <w:bCs/>
      <w:smallCaps/>
      <w:spacing w:val="10"/>
    </w:rPr>
  </w:style>
  <w:style w:type="paragraph" w:styleId="TOCHeading">
    <w:name w:val="TOC Heading"/>
    <w:basedOn w:val="Heading1"/>
    <w:next w:val="Normal"/>
    <w:uiPriority w:val="39"/>
    <w:unhideWhenUsed/>
    <w:qFormat/>
    <w:rsid w:val="000A6DB1"/>
    <w:pPr>
      <w:outlineLvl w:val="9"/>
    </w:pPr>
  </w:style>
  <w:style w:type="character" w:customStyle="1" w:styleId="NoSpacingChar">
    <w:name w:val="No Spacing Char"/>
    <w:basedOn w:val="DefaultParagraphFont"/>
    <w:link w:val="NoSpacing"/>
    <w:uiPriority w:val="1"/>
    <w:rsid w:val="008B5115"/>
  </w:style>
  <w:style w:type="table" w:styleId="TableGrid">
    <w:name w:val="Table Grid"/>
    <w:basedOn w:val="TableNormal"/>
    <w:uiPriority w:val="39"/>
    <w:rsid w:val="009A5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E7FDC"/>
    <w:pPr>
      <w:spacing w:after="100"/>
    </w:pPr>
  </w:style>
  <w:style w:type="character" w:styleId="Hyperlink">
    <w:name w:val="Hyperlink"/>
    <w:basedOn w:val="DefaultParagraphFont"/>
    <w:uiPriority w:val="99"/>
    <w:unhideWhenUsed/>
    <w:rsid w:val="005E7FDC"/>
    <w:rPr>
      <w:color w:val="467886" w:themeColor="hyperlink"/>
      <w:u w:val="single"/>
    </w:rPr>
  </w:style>
  <w:style w:type="paragraph" w:styleId="TOC2">
    <w:name w:val="toc 2"/>
    <w:basedOn w:val="Normal"/>
    <w:next w:val="Normal"/>
    <w:autoRedefine/>
    <w:uiPriority w:val="39"/>
    <w:unhideWhenUsed/>
    <w:rsid w:val="001701BD"/>
    <w:pPr>
      <w:spacing w:after="100"/>
      <w:ind w:left="240"/>
    </w:pPr>
  </w:style>
  <w:style w:type="paragraph" w:styleId="Header">
    <w:name w:val="header"/>
    <w:basedOn w:val="Normal"/>
    <w:link w:val="HeaderChar"/>
    <w:uiPriority w:val="99"/>
    <w:unhideWhenUsed/>
    <w:rsid w:val="003A1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54C"/>
    <w:rPr>
      <w:rFonts w:ascii="Arial" w:hAnsi="Arial"/>
      <w:sz w:val="24"/>
    </w:rPr>
  </w:style>
  <w:style w:type="paragraph" w:styleId="Footer">
    <w:name w:val="footer"/>
    <w:basedOn w:val="Normal"/>
    <w:link w:val="FooterChar"/>
    <w:uiPriority w:val="99"/>
    <w:unhideWhenUsed/>
    <w:rsid w:val="003A1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54C"/>
    <w:rPr>
      <w:rFonts w:ascii="Arial" w:hAnsi="Arial"/>
      <w:sz w:val="24"/>
    </w:rPr>
  </w:style>
  <w:style w:type="character" w:styleId="UnresolvedMention">
    <w:name w:val="Unresolved Mention"/>
    <w:basedOn w:val="DefaultParagraphFont"/>
    <w:uiPriority w:val="99"/>
    <w:semiHidden/>
    <w:unhideWhenUsed/>
    <w:rsid w:val="001223E5"/>
    <w:rPr>
      <w:color w:val="605E5C"/>
      <w:shd w:val="clear" w:color="auto" w:fill="E1DFDD"/>
    </w:rPr>
  </w:style>
  <w:style w:type="paragraph" w:styleId="TOC3">
    <w:name w:val="toc 3"/>
    <w:basedOn w:val="Normal"/>
    <w:next w:val="Normal"/>
    <w:autoRedefine/>
    <w:uiPriority w:val="39"/>
    <w:unhideWhenUsed/>
    <w:rsid w:val="00D40E12"/>
    <w:pPr>
      <w:spacing w:after="100"/>
      <w:ind w:left="480"/>
    </w:pPr>
  </w:style>
  <w:style w:type="character" w:styleId="CommentReference">
    <w:name w:val="annotation reference"/>
    <w:basedOn w:val="DefaultParagraphFont"/>
    <w:uiPriority w:val="99"/>
    <w:semiHidden/>
    <w:unhideWhenUsed/>
    <w:rsid w:val="009000D7"/>
    <w:rPr>
      <w:sz w:val="16"/>
      <w:szCs w:val="16"/>
    </w:rPr>
  </w:style>
  <w:style w:type="paragraph" w:styleId="CommentText">
    <w:name w:val="annotation text"/>
    <w:basedOn w:val="Normal"/>
    <w:link w:val="CommentTextChar"/>
    <w:uiPriority w:val="99"/>
    <w:unhideWhenUsed/>
    <w:rsid w:val="009000D7"/>
    <w:pPr>
      <w:spacing w:line="240" w:lineRule="auto"/>
    </w:pPr>
    <w:rPr>
      <w:sz w:val="20"/>
      <w:szCs w:val="20"/>
    </w:rPr>
  </w:style>
  <w:style w:type="character" w:customStyle="1" w:styleId="CommentTextChar">
    <w:name w:val="Comment Text Char"/>
    <w:basedOn w:val="DefaultParagraphFont"/>
    <w:link w:val="CommentText"/>
    <w:uiPriority w:val="99"/>
    <w:rsid w:val="009000D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000D7"/>
    <w:rPr>
      <w:b/>
      <w:bCs/>
    </w:rPr>
  </w:style>
  <w:style w:type="character" w:customStyle="1" w:styleId="CommentSubjectChar">
    <w:name w:val="Comment Subject Char"/>
    <w:basedOn w:val="CommentTextChar"/>
    <w:link w:val="CommentSubject"/>
    <w:uiPriority w:val="99"/>
    <w:semiHidden/>
    <w:rsid w:val="009000D7"/>
    <w:rPr>
      <w:rFonts w:ascii="Arial" w:hAnsi="Arial"/>
      <w:b/>
      <w:bCs/>
      <w:sz w:val="20"/>
      <w:szCs w:val="20"/>
    </w:rPr>
  </w:style>
  <w:style w:type="character" w:styleId="FollowedHyperlink">
    <w:name w:val="FollowedHyperlink"/>
    <w:basedOn w:val="DefaultParagraphFont"/>
    <w:uiPriority w:val="99"/>
    <w:semiHidden/>
    <w:unhideWhenUsed/>
    <w:rsid w:val="005B46B3"/>
    <w:rPr>
      <w:color w:val="96607D" w:themeColor="followedHyperlink"/>
      <w:u w:val="single"/>
    </w:rPr>
  </w:style>
  <w:style w:type="table" w:styleId="TableGridLight">
    <w:name w:val="Grid Table Light"/>
    <w:basedOn w:val="TableNormal"/>
    <w:uiPriority w:val="40"/>
    <w:rsid w:val="005247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476183">
      <w:bodyDiv w:val="1"/>
      <w:marLeft w:val="0"/>
      <w:marRight w:val="0"/>
      <w:marTop w:val="0"/>
      <w:marBottom w:val="0"/>
      <w:divBdr>
        <w:top w:val="none" w:sz="0" w:space="0" w:color="auto"/>
        <w:left w:val="none" w:sz="0" w:space="0" w:color="auto"/>
        <w:bottom w:val="none" w:sz="0" w:space="0" w:color="auto"/>
        <w:right w:val="none" w:sz="0" w:space="0" w:color="auto"/>
      </w:divBdr>
    </w:div>
    <w:div w:id="526336308">
      <w:bodyDiv w:val="1"/>
      <w:marLeft w:val="0"/>
      <w:marRight w:val="0"/>
      <w:marTop w:val="0"/>
      <w:marBottom w:val="0"/>
      <w:divBdr>
        <w:top w:val="none" w:sz="0" w:space="0" w:color="auto"/>
        <w:left w:val="none" w:sz="0" w:space="0" w:color="auto"/>
        <w:bottom w:val="none" w:sz="0" w:space="0" w:color="auto"/>
        <w:right w:val="none" w:sz="0" w:space="0" w:color="auto"/>
      </w:divBdr>
    </w:div>
    <w:div w:id="972172248">
      <w:bodyDiv w:val="1"/>
      <w:marLeft w:val="0"/>
      <w:marRight w:val="0"/>
      <w:marTop w:val="0"/>
      <w:marBottom w:val="0"/>
      <w:divBdr>
        <w:top w:val="none" w:sz="0" w:space="0" w:color="auto"/>
        <w:left w:val="none" w:sz="0" w:space="0" w:color="auto"/>
        <w:bottom w:val="none" w:sz="0" w:space="0" w:color="auto"/>
        <w:right w:val="none" w:sz="0" w:space="0" w:color="auto"/>
      </w:divBdr>
    </w:div>
    <w:div w:id="1342396708">
      <w:bodyDiv w:val="1"/>
      <w:marLeft w:val="0"/>
      <w:marRight w:val="0"/>
      <w:marTop w:val="0"/>
      <w:marBottom w:val="0"/>
      <w:divBdr>
        <w:top w:val="none" w:sz="0" w:space="0" w:color="auto"/>
        <w:left w:val="none" w:sz="0" w:space="0" w:color="auto"/>
        <w:bottom w:val="none" w:sz="0" w:space="0" w:color="auto"/>
        <w:right w:val="none" w:sz="0" w:space="0" w:color="auto"/>
      </w:divBdr>
    </w:div>
    <w:div w:id="1435898497">
      <w:bodyDiv w:val="1"/>
      <w:marLeft w:val="0"/>
      <w:marRight w:val="0"/>
      <w:marTop w:val="0"/>
      <w:marBottom w:val="0"/>
      <w:divBdr>
        <w:top w:val="none" w:sz="0" w:space="0" w:color="auto"/>
        <w:left w:val="none" w:sz="0" w:space="0" w:color="auto"/>
        <w:bottom w:val="none" w:sz="0" w:space="0" w:color="auto"/>
        <w:right w:val="none" w:sz="0" w:space="0" w:color="auto"/>
      </w:divBdr>
    </w:div>
    <w:div w:id="1475877505">
      <w:bodyDiv w:val="1"/>
      <w:marLeft w:val="0"/>
      <w:marRight w:val="0"/>
      <w:marTop w:val="0"/>
      <w:marBottom w:val="0"/>
      <w:divBdr>
        <w:top w:val="none" w:sz="0" w:space="0" w:color="auto"/>
        <w:left w:val="none" w:sz="0" w:space="0" w:color="auto"/>
        <w:bottom w:val="none" w:sz="0" w:space="0" w:color="auto"/>
        <w:right w:val="none" w:sz="0" w:space="0" w:color="auto"/>
      </w:divBdr>
    </w:div>
    <w:div w:id="1501967309">
      <w:bodyDiv w:val="1"/>
      <w:marLeft w:val="0"/>
      <w:marRight w:val="0"/>
      <w:marTop w:val="0"/>
      <w:marBottom w:val="0"/>
      <w:divBdr>
        <w:top w:val="none" w:sz="0" w:space="0" w:color="auto"/>
        <w:left w:val="none" w:sz="0" w:space="0" w:color="auto"/>
        <w:bottom w:val="none" w:sz="0" w:space="0" w:color="auto"/>
        <w:right w:val="none" w:sz="0" w:space="0" w:color="auto"/>
      </w:divBdr>
    </w:div>
    <w:div w:id="1692024085">
      <w:bodyDiv w:val="1"/>
      <w:marLeft w:val="0"/>
      <w:marRight w:val="0"/>
      <w:marTop w:val="0"/>
      <w:marBottom w:val="0"/>
      <w:divBdr>
        <w:top w:val="none" w:sz="0" w:space="0" w:color="auto"/>
        <w:left w:val="none" w:sz="0" w:space="0" w:color="auto"/>
        <w:bottom w:val="none" w:sz="0" w:space="0" w:color="auto"/>
        <w:right w:val="none" w:sz="0" w:space="0" w:color="auto"/>
      </w:divBdr>
    </w:div>
    <w:div w:id="1743529781">
      <w:bodyDiv w:val="1"/>
      <w:marLeft w:val="0"/>
      <w:marRight w:val="0"/>
      <w:marTop w:val="0"/>
      <w:marBottom w:val="0"/>
      <w:divBdr>
        <w:top w:val="none" w:sz="0" w:space="0" w:color="auto"/>
        <w:left w:val="none" w:sz="0" w:space="0" w:color="auto"/>
        <w:bottom w:val="none" w:sz="0" w:space="0" w:color="auto"/>
        <w:right w:val="none" w:sz="0" w:space="0" w:color="auto"/>
      </w:divBdr>
    </w:div>
    <w:div w:id="206513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pii/S2452414X25000950" TargetMode="External"/><Relationship Id="rId21" Type="http://schemas.openxmlformats.org/officeDocument/2006/relationships/hyperlink" Target="https://ejpr.onlinelibrary.wiley.com/doi/10.1111/1475-6765.12651" TargetMode="External"/><Relationship Id="rId42" Type="http://schemas.openxmlformats.org/officeDocument/2006/relationships/hyperlink" Target="https://jier.org/index.php/journal/article/view/2817" TargetMode="External"/><Relationship Id="rId47" Type="http://schemas.openxmlformats.org/officeDocument/2006/relationships/hyperlink" Target="https://www.deloitte.com/us/en/insights/topics/talent/human-capital-trends/2023/future-of-workforce-management.html" TargetMode="External"/><Relationship Id="rId63" Type="http://schemas.openxmlformats.org/officeDocument/2006/relationships/hyperlink" Target="https://www.forbes.com/councils/forbesbusinesscouncil/2024/11/20/why-a-hiring-freeze-shouldnt-mean-a-talent-freeze/" TargetMode="External"/><Relationship Id="rId68" Type="http://schemas.openxmlformats.org/officeDocument/2006/relationships/hyperlink" Target="https://kpmg.com/xx/en/our-insights/workforce/the-future-of-hr-from-flux-to-flow.html" TargetMode="External"/><Relationship Id="rId84" Type="http://schemas.openxmlformats.org/officeDocument/2006/relationships/hyperlink" Target="https://www.employment-studies.co.uk/system/files/resources/files/Bridging%20the%20gap.pdf" TargetMode="External"/><Relationship Id="rId89" Type="http://schemas.openxmlformats.org/officeDocument/2006/relationships/hyperlink" Target="https://www.sciencedirect.com/science/article/pii/S0267364924000335" TargetMode="External"/><Relationship Id="rId16" Type="http://schemas.openxmlformats.org/officeDocument/2006/relationships/hyperlink" Target="https://www.telegraph.co.uk/money/pensions/tax-retirement/civil-servants-retire-three-years-earlier-than-private-sect/" TargetMode="External"/><Relationship Id="rId11" Type="http://schemas.openxmlformats.org/officeDocument/2006/relationships/diagramQuickStyle" Target="diagrams/quickStyle1.xml"/><Relationship Id="rId32" Type="http://schemas.openxmlformats.org/officeDocument/2006/relationships/hyperlink" Target="https://www.peoplemanagement.co.uk/article/1886633/job-security-overtakes-pay-top-priority-employees-survey-finds" TargetMode="External"/><Relationship Id="rId37" Type="http://schemas.openxmlformats.org/officeDocument/2006/relationships/hyperlink" Target="https://civilservicecommission.independent.gov.uk/wp-content/uploads/2019/03/02a_RECRUITMENT-PRINCIPLES-April-2018-FINAL-.pdf" TargetMode="External"/><Relationship Id="rId53" Type="http://schemas.openxmlformats.org/officeDocument/2006/relationships/hyperlink" Target="https://www.gov.uk/flexible-working" TargetMode="External"/><Relationship Id="rId58" Type="http://schemas.openxmlformats.org/officeDocument/2006/relationships/hyperlink" Target="https://commonslibrary.parliament.uk/research-briefings/sn02784/" TargetMode="External"/><Relationship Id="rId74" Type="http://schemas.openxmlformats.org/officeDocument/2006/relationships/hyperlink" Target="https://research.senedd.wales/research-articles/budget-2025-26-what-s-new-in-the-welsh-government-s-final-budget-2025-26/" TargetMode="External"/><Relationship Id="rId79" Type="http://schemas.openxmlformats.org/officeDocument/2006/relationships/hyperlink" Target="https://www.cipd.org/globalassets/media/knowledge/knowledge-hub/reports/human-capital-theory-assessing-the-evidence_tcm18-22292.pdf"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i.org/10.1007/BF01384942" TargetMode="External"/><Relationship Id="rId95" Type="http://schemas.openxmlformats.org/officeDocument/2006/relationships/hyperlink" Target="https://doi.org/10.1177/0149206317733515" TargetMode="External"/><Relationship Id="rId22" Type="http://schemas.openxmlformats.org/officeDocument/2006/relationships/hyperlink" Target="https://doi.org/10.1108/13620430410550754" TargetMode="External"/><Relationship Id="rId27" Type="http://schemas.openxmlformats.org/officeDocument/2006/relationships/hyperlink" Target="https://www.cipd.org/uk/knowledge/factsheets/pestle-analysis-factsheet/" TargetMode="External"/><Relationship Id="rId43" Type="http://schemas.openxmlformats.org/officeDocument/2006/relationships/hyperlink" Target="https://www.researchgate.net/publication/341562611_Do_Talent_Management_Practices_Affect_Organizational_Culture" TargetMode="External"/><Relationship Id="rId48" Type="http://schemas.openxmlformats.org/officeDocument/2006/relationships/hyperlink" Target="https://www-sciencedirect-com.ezproxy.uwtsd.ac.uk/science/article/pii/S1044500523000379" TargetMode="External"/><Relationship Id="rId64" Type="http://schemas.openxmlformats.org/officeDocument/2006/relationships/hyperlink" Target="https://www.researchgate.net/publication/395027852_The_Role_of_Strategic_Workforce_Planning_in_Sustaining_Talent_Retention" TargetMode="External"/><Relationship Id="rId69" Type="http://schemas.openxmlformats.org/officeDocument/2006/relationships/hyperlink" Target="https://www.researchgate.net/publication/4993095_An_Exploration_of_How_the_Employee-Organization_Relationship_Affects_the_Linkage_Between_Perception_of_Developmental_Human_Resource_Practices_and_Employee_Outcomes" TargetMode="External"/><Relationship Id="rId80" Type="http://schemas.openxmlformats.org/officeDocument/2006/relationships/hyperlink" Target="https://25488428.fs1.hubspotusercontent-eu1.net/hubfs/25488428/The%20state%20of%20learning%20in%20government.%20Apolitical%2C%20September%202024pdf.pdf" TargetMode="External"/><Relationship Id="rId85" Type="http://schemas.openxmlformats.org/officeDocument/2006/relationships/hyperlink" Target="https://www.cipd.org/globalassets/media/knowledge/knowledge-hub/reports/2023-pdfs/2023-learning-at-work-survey-report-8378.pdf" TargetMode="External"/><Relationship Id="rId12" Type="http://schemas.openxmlformats.org/officeDocument/2006/relationships/diagramColors" Target="diagrams/colors1.xml"/><Relationship Id="rId17" Type="http://schemas.openxmlformats.org/officeDocument/2006/relationships/hyperlink" Target="https://www.deloitte.com/content/dam/insights/articles/2025/glob187692_global-human-capital-trends/DI_2025-Global-Human-Capital-Trends.pdf" TargetMode="External"/><Relationship Id="rId25" Type="http://schemas.openxmlformats.org/officeDocument/2006/relationships/hyperlink" Target="https://doi.org/10.1177/014920639101700108" TargetMode="External"/><Relationship Id="rId33" Type="http://schemas.openxmlformats.org/officeDocument/2006/relationships/hyperlink" Target="https://www.peoplemanagement.co.uk/article/1889907/quarter-businesses-ghosted-new-recruits-day-one-cipd-research-finds" TargetMode="External"/><Relationship Id="rId38" Type="http://schemas.openxmlformats.org/officeDocument/2006/relationships/hyperlink" Target="https://doi.org/10.1016/j.hrmr.2009.04.001" TargetMode="External"/><Relationship Id="rId46" Type="http://schemas.openxmlformats.org/officeDocument/2006/relationships/hyperlink" Target="https://www.bbc.co.uk/news/articles/c1lqv7vlpe0o" TargetMode="External"/><Relationship Id="rId59" Type="http://schemas.openxmlformats.org/officeDocument/2006/relationships/hyperlink" Target="https://committees.parliament.uk/publications/23110/documents/169292/default/" TargetMode="External"/><Relationship Id="rId67" Type="http://schemas.openxmlformats.org/officeDocument/2006/relationships/hyperlink" Target="https://doi.org/10.1016/j.brq.2019.04.005" TargetMode="External"/><Relationship Id="rId103" Type="http://schemas.openxmlformats.org/officeDocument/2006/relationships/theme" Target="theme/theme1.xml"/><Relationship Id="rId20" Type="http://schemas.openxmlformats.org/officeDocument/2006/relationships/hyperlink" Target="https://www.peoplemanagement.co.uk/article/1746081/fix-performance-management" TargetMode="External"/><Relationship Id="rId41" Type="http://schemas.openxmlformats.org/officeDocument/2006/relationships/hyperlink" Target="https://www.td.org/content/td-magazine/elevating-the-employee-experience" TargetMode="External"/><Relationship Id="rId54" Type="http://schemas.openxmlformats.org/officeDocument/2006/relationships/hyperlink" Target="https://www.legislation.gov.uk/ukpga/2006/32/contents" TargetMode="External"/><Relationship Id="rId62" Type="http://schemas.openxmlformats.org/officeDocument/2006/relationships/hyperlink" Target="Guidance%20on%20AI%20and%20data%20protection%20https://ico.org.uk/for-organisations/uk-gdpr-guidance-and-resources/artificial-intelligence/guidance-on-ai-and-data-protection/%20" TargetMode="External"/><Relationship Id="rId70" Type="http://schemas.openxmlformats.org/officeDocument/2006/relationships/hyperlink" Target="https://www.forbes.com/sites/benjaminlaker/2024/07/16/understanding-the-distinctions-between-culture-and-climate/" TargetMode="External"/><Relationship Id="rId75" Type="http://schemas.openxmlformats.org/officeDocument/2006/relationships/hyperlink" Target="https://institute.global/insights/economic-prosperity/the-impact-of-ai-on-the-labour-market" TargetMode="External"/><Relationship Id="rId83" Type="http://schemas.openxmlformats.org/officeDocument/2006/relationships/hyperlink" Target="https://www.ons.gov.uk/employmentandlabourmarket/peopleinwork/employmentandemployeetypes/bulletins/uklabourmarket/january2025" TargetMode="External"/><Relationship Id="rId88" Type="http://schemas.openxmlformats.org/officeDocument/2006/relationships/hyperlink" Target="https://doi.org/10.1111/j.1748-8583.2007.00022.x" TargetMode="External"/><Relationship Id="rId91" Type="http://schemas.openxmlformats.org/officeDocument/2006/relationships/hyperlink" Target="https://doi.org/10.1080/09585192.2025.2480617" TargetMode="External"/><Relationship Id="rId96" Type="http://schemas.openxmlformats.org/officeDocument/2006/relationships/hyperlink" Target="https://www.instituteforgovernment.org.uk/explainer/senedd-cymru-welsh-parlia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flexible-working-code-of-practice" TargetMode="External"/><Relationship Id="rId23" Type="http://schemas.openxmlformats.org/officeDocument/2006/relationships/hyperlink" Target="https://link.springer.com/article/10.1023/A:1005187827895" TargetMode="External"/><Relationship Id="rId28" Type="http://schemas.openxmlformats.org/officeDocument/2006/relationships/hyperlink" Target="https://doi.org/10.2478/ijcm-2021-0005" TargetMode="External"/><Relationship Id="rId36" Type="http://schemas.openxmlformats.org/officeDocument/2006/relationships/hyperlink" Target="https://www.cipd.org/uk/knowledge/guides/strategic-workforce-planning/" TargetMode="External"/><Relationship Id="rId49" Type="http://schemas.openxmlformats.org/officeDocument/2006/relationships/hyperlink" Target="https://www.mckinsey.com/mgi/our-research/generative-ai-and-the-future-of-work-in-america" TargetMode="External"/><Relationship Id="rId57" Type="http://schemas.openxmlformats.org/officeDocument/2006/relationships/hyperlink" Target="https://www.sciencedirect.com/science/article/pii/S2451958823000362?via%3Dihub" TargetMode="External"/><Relationship Id="rId10" Type="http://schemas.openxmlformats.org/officeDocument/2006/relationships/diagramLayout" Target="diagrams/layout1.xml"/><Relationship Id="rId31" Type="http://schemas.openxmlformats.org/officeDocument/2006/relationships/hyperlink" Target="https://www.cipd.org/contentassets/cf73843a106949d9b16ac2bc9b526278/8869-lmo-spring-2025-web.pdf" TargetMode="External"/><Relationship Id="rId44" Type="http://schemas.openxmlformats.org/officeDocument/2006/relationships/hyperlink" Target="https://www.bbc.co.uk/news/articles/c397krk2g77o" TargetMode="External"/><Relationship Id="rId52" Type="http://schemas.openxmlformats.org/officeDocument/2006/relationships/hyperlink" Target="https://www.peoplemanagement.co.uk/article/1927344/hybrid-working-debate-growing-complexity-%E2%80%93-employers-handle-it" TargetMode="External"/><Relationship Id="rId60" Type="http://schemas.openxmlformats.org/officeDocument/2006/relationships/hyperlink" Target="https://www.gallup.com/workplace/651203/workplace-answering-big-questions.aspx" TargetMode="External"/><Relationship Id="rId65" Type="http://schemas.openxmlformats.org/officeDocument/2006/relationships/hyperlink" Target="https://www.sciencedirect.com/science/article/pii/S1059056025001340" TargetMode="External"/><Relationship Id="rId73" Type="http://schemas.openxmlformats.org/officeDocument/2006/relationships/hyperlink" Target="https://research.senedd.wales/research-articles/welsh-government-draft-budget-2025-26/" TargetMode="External"/><Relationship Id="rId78" Type="http://schemas.openxmlformats.org/officeDocument/2006/relationships/hyperlink" Target="https://www.gov.wales/sites/default/files/publications/2024-07/independent-commission-on-the-constitutional-future-of-wales-final-report.pdf" TargetMode="External"/><Relationship Id="rId81" Type="http://schemas.openxmlformats.org/officeDocument/2006/relationships/hyperlink" Target="https://www.oecd.org/employment-outlook/" TargetMode="External"/><Relationship Id="rId86" Type="http://schemas.openxmlformats.org/officeDocument/2006/relationships/hyperlink" Target="https://ifs.org.uk/articles/welsh-draft-budget-approach-increased-risk-unaffordable-election-pledges" TargetMode="External"/><Relationship Id="rId94" Type="http://schemas.openxmlformats.org/officeDocument/2006/relationships/hyperlink" Target="https://www.legislation.gov.uk/asc/2024/4/section/5" TargetMode="External"/><Relationship Id="rId99" Type="http://schemas.openxmlformats.org/officeDocument/2006/relationships/hyperlink" Target="https://www.gov.wales/sites/default/files/publications/2025-01/evidence-by-the-deputy-first-minister-and-cabinet-secretary-for-climate-change-and-rural-affairs.pdf" TargetMode="External"/><Relationship Id="rId101" Type="http://schemas.openxmlformats.org/officeDocument/2006/relationships/hyperlink" Target="https://reports.weforum.org/docs/WEF_Future_of_Jobs_Report_2025.pdf" TargetMode="Externa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hyperlink" Target="https://www.peoplemanagement.co.uk/article/1813805/why-people-professionals-rethink-talent-management" TargetMode="External"/><Relationship Id="rId39" Type="http://schemas.openxmlformats.org/officeDocument/2006/relationships/hyperlink" Target="https://doi.org/10.5465/ame.1991.4274465" TargetMode="External"/><Relationship Id="rId34" Type="http://schemas.openxmlformats.org/officeDocument/2006/relationships/hyperlink" Target="https://sloanreview.mit.edu/article/ai-in-hr-separating-reality-from-hype/" TargetMode="External"/><Relationship Id="rId50" Type="http://schemas.openxmlformats.org/officeDocument/2006/relationships/hyperlink" Target="https://www.forbes.com/sites/keithferrazzi/2025/03/27/the-ai-recruitment-takeover-redefining-hiring-in-the-digital-age/" TargetMode="External"/><Relationship Id="rId55" Type="http://schemas.openxmlformats.org/officeDocument/2006/relationships/hyperlink" Target="https://www.cipd.org/globalassets/media/knowledge/knowledge-hub/reports/building-inclusive-workplaces-report-sept-2019_tcm18-64154.pdf" TargetMode="External"/><Relationship Id="rId76" Type="http://schemas.openxmlformats.org/officeDocument/2006/relationships/hyperlink" Target="http://doi.org/10.33258/biohs.v1i2.35" TargetMode="External"/><Relationship Id="rId97" Type="http://schemas.openxmlformats.org/officeDocument/2006/relationships/hyperlink" Target="https://www.peoplemanagement.co.uk/article/1856529/why-l-d-critical-driving-employee-retention-2024" TargetMode="External"/><Relationship Id="rId7" Type="http://schemas.openxmlformats.org/officeDocument/2006/relationships/endnotes" Target="endnotes.xml"/><Relationship Id="rId71" Type="http://schemas.openxmlformats.org/officeDocument/2006/relationships/hyperlink" Target="https://www.sciencedirect.com/science/article/abs/pii/S1044500510000892" TargetMode="External"/><Relationship Id="rId92" Type="http://schemas.openxmlformats.org/officeDocument/2006/relationships/hyperlink" Target="https://www.peoplemanagement.co.uk/article/1745471/legal-risks-of-succession-planning" TargetMode="External"/><Relationship Id="rId2" Type="http://schemas.openxmlformats.org/officeDocument/2006/relationships/numbering" Target="numbering.xml"/><Relationship Id="rId29" Type="http://schemas.openxmlformats.org/officeDocument/2006/relationships/hyperlink" Target="https://doi.org/10.1080/01402382.2022.2161794" TargetMode="External"/><Relationship Id="rId24" Type="http://schemas.openxmlformats.org/officeDocument/2006/relationships/hyperlink" Target="https://www.cipd.org/globalassets/media/knowledge/knowledge-hub/evidence-reviews/people-performance-scientific-summary_tcm18-109856.pdf" TargetMode="External"/><Relationship Id="rId40" Type="http://schemas.openxmlformats.org/officeDocument/2006/relationships/hyperlink" Target="https://doi.org/10.1177/0149206305279602" TargetMode="External"/><Relationship Id="rId45" Type="http://schemas.openxmlformats.org/officeDocument/2006/relationships/hyperlink" Target="https://www.bbc.co.uk/news/articles/c8ep2pgd9kko" TargetMode="External"/><Relationship Id="rId66" Type="http://schemas.openxmlformats.org/officeDocument/2006/relationships/hyperlink" Target="https://doi.org/10.37380/jisib.v13i1.989" TargetMode="External"/><Relationship Id="rId87" Type="http://schemas.openxmlformats.org/officeDocument/2006/relationships/hyperlink" Target="https://www.sciencedirect.com/science/article/pii/S0191308523000011?via%3Dihub" TargetMode="External"/><Relationship Id="rId61" Type="http://schemas.openxmlformats.org/officeDocument/2006/relationships/hyperlink" Target="https://ico.org.uk/for-organisations/advice-and-services/audits/data-protection-audit-framework/toolkits/artificial-intelligence/discrimination-and-bias/" TargetMode="External"/><Relationship Id="rId82" Type="http://schemas.openxmlformats.org/officeDocument/2006/relationships/hyperlink" Target="https://obr.uk/efo/economic-and-fiscal-outlook-march-2025/" TargetMode="External"/><Relationship Id="rId19" Type="http://schemas.openxmlformats.org/officeDocument/2006/relationships/hyperlink" Target="https://www.jstor.org/stable/259189?origin=crossref" TargetMode="External"/><Relationship Id="rId14" Type="http://schemas.openxmlformats.org/officeDocument/2006/relationships/footer" Target="footer1.xml"/><Relationship Id="rId30" Type="http://schemas.openxmlformats.org/officeDocument/2006/relationships/hyperlink" Target="https://doi.org/10.1162/rest_a_01294" TargetMode="External"/><Relationship Id="rId35" Type="http://schemas.openxmlformats.org/officeDocument/2006/relationships/hyperlink" Target="https://www.cipd.org/globalassets/media/knowledge/knowledge-hub/reports/maturity-model.pdf" TargetMode="External"/><Relationship Id="rId56" Type="http://schemas.openxmlformats.org/officeDocument/2006/relationships/hyperlink" Target="https://research.senedd.wales/research-articles/business-as-usual-priorities-for-the-welsh-government-s-2026-27-budget/" TargetMode="External"/><Relationship Id="rId77" Type="http://schemas.openxmlformats.org/officeDocument/2006/relationships/hyperlink" Target="https://www.civilserviceworld.com/professions/article/dwp-demands-60-inoffice-mandate-across-all-grades-from-september" TargetMode="External"/><Relationship Id="rId100" Type="http://schemas.openxmlformats.org/officeDocument/2006/relationships/hyperlink" Target="https://link.springer.com/article/10.1007/s10462-022-10193-6" TargetMode="External"/><Relationship Id="rId8" Type="http://schemas.openxmlformats.org/officeDocument/2006/relationships/image" Target="media/image1.png"/><Relationship Id="rId51" Type="http://schemas.openxmlformats.org/officeDocument/2006/relationships/hyperlink" Target="https://www.cipd.org/globalassets/media/knowledge/knowledge-hub/evidence-reviews/2023-pdfs/8263-organisational-culture-and-climate-practice-summary.pdf" TargetMode="External"/><Relationship Id="rId72" Type="http://schemas.openxmlformats.org/officeDocument/2006/relationships/hyperlink" Target="https://business.linkedin.com/talent-solutions/resources/talent-strategy/future-of-recruiting" TargetMode="External"/><Relationship Id="rId93" Type="http://schemas.openxmlformats.org/officeDocument/2006/relationships/hyperlink" Target="https://www.senedd.tv/Meeting/Archive/e3e7b2d9-2b33-4e64-a396-e4dadf9211fb?startPos=7783&amp;autostart=True" TargetMode="External"/><Relationship Id="rId98" Type="http://schemas.openxmlformats.org/officeDocument/2006/relationships/hyperlink" Target="https://media.service.gov.wales/news/gbp-27bn-draft-budget-just-the-start-finance-secretary"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2E5CC4-8A70-4DE3-AA46-D1D0F0A7ED51}" type="doc">
      <dgm:prSet loTypeId="urn:microsoft.com/office/officeart/2005/8/layout/process4" loCatId="list" qsTypeId="urn:microsoft.com/office/officeart/2005/8/quickstyle/simple1" qsCatId="simple" csTypeId="urn:microsoft.com/office/officeart/2005/8/colors/colorful4" csCatId="colorful" phldr="1"/>
      <dgm:spPr/>
    </dgm:pt>
    <dgm:pt modelId="{B984E341-8979-4194-84AF-5CEF9FA9D2C6}">
      <dgm:prSet phldrT="[Text]" custT="1"/>
      <dgm:spPr/>
      <dgm:t>
        <a:bodyPr/>
        <a:lstStyle/>
        <a:p>
          <a:r>
            <a:rPr lang="en-GB" sz="1400">
              <a:latin typeface="Arial" panose="020B0604020202020204" pitchFamily="34" charset="0"/>
              <a:cs typeface="Arial" panose="020B0604020202020204" pitchFamily="34" charset="0"/>
            </a:rPr>
            <a:t>Ability </a:t>
          </a:r>
        </a:p>
      </dgm:t>
    </dgm:pt>
    <dgm:pt modelId="{279D445A-F43F-460E-A660-19028205CAFC}" type="parTrans" cxnId="{9F1E1F57-BE2C-4F98-9CC8-CC2C98C73A55}">
      <dgm:prSet/>
      <dgm:spPr/>
      <dgm:t>
        <a:bodyPr/>
        <a:lstStyle/>
        <a:p>
          <a:endParaRPr lang="en-GB"/>
        </a:p>
      </dgm:t>
    </dgm:pt>
    <dgm:pt modelId="{95DF0A19-437D-4B0E-A9D3-EA9F4D3ECEAE}" type="sibTrans" cxnId="{9F1E1F57-BE2C-4F98-9CC8-CC2C98C73A55}">
      <dgm:prSet/>
      <dgm:spPr/>
      <dgm:t>
        <a:bodyPr/>
        <a:lstStyle/>
        <a:p>
          <a:endParaRPr lang="en-GB"/>
        </a:p>
      </dgm:t>
    </dgm:pt>
    <dgm:pt modelId="{B65CE571-EB83-4957-A4A9-EAC0A0A60140}">
      <dgm:prSet phldrT="[Text]" custT="1"/>
      <dgm:spPr/>
      <dgm:t>
        <a:bodyPr/>
        <a:lstStyle/>
        <a:p>
          <a:r>
            <a:rPr lang="en-GB" sz="1400">
              <a:latin typeface="Arial" panose="020B0604020202020204" pitchFamily="34" charset="0"/>
              <a:cs typeface="Arial" panose="020B0604020202020204" pitchFamily="34" charset="0"/>
            </a:rPr>
            <a:t>Motivation </a:t>
          </a:r>
        </a:p>
      </dgm:t>
    </dgm:pt>
    <dgm:pt modelId="{B7E9955B-4169-4EF5-B2F1-D19AB4DC0A0E}" type="parTrans" cxnId="{0F5C095D-FBEF-4723-9A26-AA86DAB2CE94}">
      <dgm:prSet/>
      <dgm:spPr/>
      <dgm:t>
        <a:bodyPr/>
        <a:lstStyle/>
        <a:p>
          <a:endParaRPr lang="en-GB"/>
        </a:p>
      </dgm:t>
    </dgm:pt>
    <dgm:pt modelId="{D5332E79-75D1-4068-BA31-9FB11A2A0760}" type="sibTrans" cxnId="{0F5C095D-FBEF-4723-9A26-AA86DAB2CE94}">
      <dgm:prSet/>
      <dgm:spPr/>
      <dgm:t>
        <a:bodyPr/>
        <a:lstStyle/>
        <a:p>
          <a:endParaRPr lang="en-GB"/>
        </a:p>
      </dgm:t>
    </dgm:pt>
    <dgm:pt modelId="{962DC911-0525-452C-81A7-240D49D86A4C}">
      <dgm:prSet phldrT="[Text]" custT="1"/>
      <dgm:spPr/>
      <dgm:t>
        <a:bodyPr/>
        <a:lstStyle/>
        <a:p>
          <a:r>
            <a:rPr lang="en-GB" sz="1400">
              <a:latin typeface="Arial" panose="020B0604020202020204" pitchFamily="34" charset="0"/>
              <a:cs typeface="Arial" panose="020B0604020202020204" pitchFamily="34" charset="0"/>
            </a:rPr>
            <a:t>Opportunity</a:t>
          </a:r>
        </a:p>
      </dgm:t>
    </dgm:pt>
    <dgm:pt modelId="{3DF32956-4737-4F05-91BD-5D8E98623A17}" type="parTrans" cxnId="{2567458A-9130-41A5-B12B-BF6C44F0E92E}">
      <dgm:prSet/>
      <dgm:spPr/>
      <dgm:t>
        <a:bodyPr/>
        <a:lstStyle/>
        <a:p>
          <a:endParaRPr lang="en-GB"/>
        </a:p>
      </dgm:t>
    </dgm:pt>
    <dgm:pt modelId="{BF55D5E9-2BF5-4009-ABDD-49210212D715}" type="sibTrans" cxnId="{2567458A-9130-41A5-B12B-BF6C44F0E92E}">
      <dgm:prSet/>
      <dgm:spPr/>
      <dgm:t>
        <a:bodyPr/>
        <a:lstStyle/>
        <a:p>
          <a:endParaRPr lang="en-GB"/>
        </a:p>
      </dgm:t>
    </dgm:pt>
    <dgm:pt modelId="{DD4F2DD6-F804-47C7-BF00-5C55B8163177}" type="pres">
      <dgm:prSet presAssocID="{FA2E5CC4-8A70-4DE3-AA46-D1D0F0A7ED51}" presName="Name0" presStyleCnt="0">
        <dgm:presLayoutVars>
          <dgm:dir/>
          <dgm:animLvl val="lvl"/>
          <dgm:resizeHandles val="exact"/>
        </dgm:presLayoutVars>
      </dgm:prSet>
      <dgm:spPr/>
    </dgm:pt>
    <dgm:pt modelId="{30CC723F-0BBA-44D8-86DA-F9A9DEA97C60}" type="pres">
      <dgm:prSet presAssocID="{962DC911-0525-452C-81A7-240D49D86A4C}" presName="boxAndChildren" presStyleCnt="0"/>
      <dgm:spPr/>
    </dgm:pt>
    <dgm:pt modelId="{7C293A70-F1FD-4493-AEA3-9E53E7B2F316}" type="pres">
      <dgm:prSet presAssocID="{962DC911-0525-452C-81A7-240D49D86A4C}" presName="parentTextBox" presStyleLbl="node1" presStyleIdx="0" presStyleCnt="3"/>
      <dgm:spPr/>
    </dgm:pt>
    <dgm:pt modelId="{B17FB4E3-6FB0-4976-AE6A-9580DFB79A9D}" type="pres">
      <dgm:prSet presAssocID="{D5332E79-75D1-4068-BA31-9FB11A2A0760}" presName="sp" presStyleCnt="0"/>
      <dgm:spPr/>
    </dgm:pt>
    <dgm:pt modelId="{1C6BC02E-423B-466D-9F8E-25B2A4F4BE62}" type="pres">
      <dgm:prSet presAssocID="{B65CE571-EB83-4957-A4A9-EAC0A0A60140}" presName="arrowAndChildren" presStyleCnt="0"/>
      <dgm:spPr/>
    </dgm:pt>
    <dgm:pt modelId="{63F47DA8-5AEB-493B-8E04-6A3EBB6BF670}" type="pres">
      <dgm:prSet presAssocID="{B65CE571-EB83-4957-A4A9-EAC0A0A60140}" presName="parentTextArrow" presStyleLbl="node1" presStyleIdx="1" presStyleCnt="3"/>
      <dgm:spPr/>
    </dgm:pt>
    <dgm:pt modelId="{7EFB2638-5464-47DC-900E-BB7877D698F0}" type="pres">
      <dgm:prSet presAssocID="{95DF0A19-437D-4B0E-A9D3-EA9F4D3ECEAE}" presName="sp" presStyleCnt="0"/>
      <dgm:spPr/>
    </dgm:pt>
    <dgm:pt modelId="{455A08BF-D818-4964-93D2-82FB6A25E0FC}" type="pres">
      <dgm:prSet presAssocID="{B984E341-8979-4194-84AF-5CEF9FA9D2C6}" presName="arrowAndChildren" presStyleCnt="0"/>
      <dgm:spPr/>
    </dgm:pt>
    <dgm:pt modelId="{6CB709F8-9FC5-4AA7-8918-81C4796FFCB2}" type="pres">
      <dgm:prSet presAssocID="{B984E341-8979-4194-84AF-5CEF9FA9D2C6}" presName="parentTextArrow" presStyleLbl="node1" presStyleIdx="2" presStyleCnt="3"/>
      <dgm:spPr/>
    </dgm:pt>
  </dgm:ptLst>
  <dgm:cxnLst>
    <dgm:cxn modelId="{0F5C095D-FBEF-4723-9A26-AA86DAB2CE94}" srcId="{FA2E5CC4-8A70-4DE3-AA46-D1D0F0A7ED51}" destId="{B65CE571-EB83-4957-A4A9-EAC0A0A60140}" srcOrd="1" destOrd="0" parTransId="{B7E9955B-4169-4EF5-B2F1-D19AB4DC0A0E}" sibTransId="{D5332E79-75D1-4068-BA31-9FB11A2A0760}"/>
    <dgm:cxn modelId="{DC5DBC60-9B98-40E9-A5E2-B45FDA034AB6}" type="presOf" srcId="{FA2E5CC4-8A70-4DE3-AA46-D1D0F0A7ED51}" destId="{DD4F2DD6-F804-47C7-BF00-5C55B8163177}" srcOrd="0" destOrd="0" presId="urn:microsoft.com/office/officeart/2005/8/layout/process4"/>
    <dgm:cxn modelId="{9F1E1F57-BE2C-4F98-9CC8-CC2C98C73A55}" srcId="{FA2E5CC4-8A70-4DE3-AA46-D1D0F0A7ED51}" destId="{B984E341-8979-4194-84AF-5CEF9FA9D2C6}" srcOrd="0" destOrd="0" parTransId="{279D445A-F43F-460E-A660-19028205CAFC}" sibTransId="{95DF0A19-437D-4B0E-A9D3-EA9F4D3ECEAE}"/>
    <dgm:cxn modelId="{EC882282-4E69-40BC-A1BF-D84F1D49D0B8}" type="presOf" srcId="{B984E341-8979-4194-84AF-5CEF9FA9D2C6}" destId="{6CB709F8-9FC5-4AA7-8918-81C4796FFCB2}" srcOrd="0" destOrd="0" presId="urn:microsoft.com/office/officeart/2005/8/layout/process4"/>
    <dgm:cxn modelId="{2567458A-9130-41A5-B12B-BF6C44F0E92E}" srcId="{FA2E5CC4-8A70-4DE3-AA46-D1D0F0A7ED51}" destId="{962DC911-0525-452C-81A7-240D49D86A4C}" srcOrd="2" destOrd="0" parTransId="{3DF32956-4737-4F05-91BD-5D8E98623A17}" sibTransId="{BF55D5E9-2BF5-4009-ABDD-49210212D715}"/>
    <dgm:cxn modelId="{743FF0C9-7214-49D1-9C91-254354DE8144}" type="presOf" srcId="{962DC911-0525-452C-81A7-240D49D86A4C}" destId="{7C293A70-F1FD-4493-AEA3-9E53E7B2F316}" srcOrd="0" destOrd="0" presId="urn:microsoft.com/office/officeart/2005/8/layout/process4"/>
    <dgm:cxn modelId="{2FB91DE8-B93A-41E9-8BED-9A1C6F8CE385}" type="presOf" srcId="{B65CE571-EB83-4957-A4A9-EAC0A0A60140}" destId="{63F47DA8-5AEB-493B-8E04-6A3EBB6BF670}" srcOrd="0" destOrd="0" presId="urn:microsoft.com/office/officeart/2005/8/layout/process4"/>
    <dgm:cxn modelId="{09F414F5-441C-4A67-BFD5-B02A927EC1DC}" type="presParOf" srcId="{DD4F2DD6-F804-47C7-BF00-5C55B8163177}" destId="{30CC723F-0BBA-44D8-86DA-F9A9DEA97C60}" srcOrd="0" destOrd="0" presId="urn:microsoft.com/office/officeart/2005/8/layout/process4"/>
    <dgm:cxn modelId="{A5E317BB-20B9-4C47-B16C-07C57A8DF1E2}" type="presParOf" srcId="{30CC723F-0BBA-44D8-86DA-F9A9DEA97C60}" destId="{7C293A70-F1FD-4493-AEA3-9E53E7B2F316}" srcOrd="0" destOrd="0" presId="urn:microsoft.com/office/officeart/2005/8/layout/process4"/>
    <dgm:cxn modelId="{A57D0742-9BC4-433E-997E-02CFE698FB29}" type="presParOf" srcId="{DD4F2DD6-F804-47C7-BF00-5C55B8163177}" destId="{B17FB4E3-6FB0-4976-AE6A-9580DFB79A9D}" srcOrd="1" destOrd="0" presId="urn:microsoft.com/office/officeart/2005/8/layout/process4"/>
    <dgm:cxn modelId="{44DB61DA-DF5D-402E-9201-F518D3DBE6A4}" type="presParOf" srcId="{DD4F2DD6-F804-47C7-BF00-5C55B8163177}" destId="{1C6BC02E-423B-466D-9F8E-25B2A4F4BE62}" srcOrd="2" destOrd="0" presId="urn:microsoft.com/office/officeart/2005/8/layout/process4"/>
    <dgm:cxn modelId="{687D84AD-38A9-40DE-8321-179CD4DCA919}" type="presParOf" srcId="{1C6BC02E-423B-466D-9F8E-25B2A4F4BE62}" destId="{63F47DA8-5AEB-493B-8E04-6A3EBB6BF670}" srcOrd="0" destOrd="0" presId="urn:microsoft.com/office/officeart/2005/8/layout/process4"/>
    <dgm:cxn modelId="{1456F01F-E9A7-4AF3-8BB0-76B49A3C2B6A}" type="presParOf" srcId="{DD4F2DD6-F804-47C7-BF00-5C55B8163177}" destId="{7EFB2638-5464-47DC-900E-BB7877D698F0}" srcOrd="3" destOrd="0" presId="urn:microsoft.com/office/officeart/2005/8/layout/process4"/>
    <dgm:cxn modelId="{D9721FE3-3634-4B1C-AC84-A06D0191F633}" type="presParOf" srcId="{DD4F2DD6-F804-47C7-BF00-5C55B8163177}" destId="{455A08BF-D818-4964-93D2-82FB6A25E0FC}" srcOrd="4" destOrd="0" presId="urn:microsoft.com/office/officeart/2005/8/layout/process4"/>
    <dgm:cxn modelId="{2401A72A-D5A7-454D-A44B-9BD620BA0C42}" type="presParOf" srcId="{455A08BF-D818-4964-93D2-82FB6A25E0FC}" destId="{6CB709F8-9FC5-4AA7-8918-81C4796FFCB2}"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293A70-F1FD-4493-AEA3-9E53E7B2F316}">
      <dsp:nvSpPr>
        <dsp:cNvPr id="0" name=""/>
        <dsp:cNvSpPr/>
      </dsp:nvSpPr>
      <dsp:spPr>
        <a:xfrm>
          <a:off x="0" y="1398144"/>
          <a:ext cx="4495800" cy="45890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Opportunity</a:t>
          </a:r>
        </a:p>
      </dsp:txBody>
      <dsp:txXfrm>
        <a:off x="0" y="1398144"/>
        <a:ext cx="4495800" cy="458902"/>
      </dsp:txXfrm>
    </dsp:sp>
    <dsp:sp modelId="{63F47DA8-5AEB-493B-8E04-6A3EBB6BF670}">
      <dsp:nvSpPr>
        <dsp:cNvPr id="0" name=""/>
        <dsp:cNvSpPr/>
      </dsp:nvSpPr>
      <dsp:spPr>
        <a:xfrm rot="10800000">
          <a:off x="0" y="699236"/>
          <a:ext cx="4495800" cy="705791"/>
        </a:xfrm>
        <a:prstGeom prst="upArrowCallout">
          <a:avLst/>
        </a:prstGeom>
        <a:solidFill>
          <a:schemeClr val="accent4">
            <a:hueOff val="3299968"/>
            <a:satOff val="-14601"/>
            <a:lumOff val="-24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Motivation </a:t>
          </a:r>
        </a:p>
      </dsp:txBody>
      <dsp:txXfrm rot="10800000">
        <a:off x="0" y="699236"/>
        <a:ext cx="4495800" cy="458602"/>
      </dsp:txXfrm>
    </dsp:sp>
    <dsp:sp modelId="{6CB709F8-9FC5-4AA7-8918-81C4796FFCB2}">
      <dsp:nvSpPr>
        <dsp:cNvPr id="0" name=""/>
        <dsp:cNvSpPr/>
      </dsp:nvSpPr>
      <dsp:spPr>
        <a:xfrm rot="10800000">
          <a:off x="0" y="328"/>
          <a:ext cx="4495800" cy="705791"/>
        </a:xfrm>
        <a:prstGeom prst="upArrowCallout">
          <a:avLst/>
        </a:prstGeom>
        <a:solidFill>
          <a:schemeClr val="accent4">
            <a:hueOff val="6599937"/>
            <a:satOff val="-29202"/>
            <a:lumOff val="-49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Ability </a:t>
          </a:r>
        </a:p>
      </dsp:txBody>
      <dsp:txXfrm rot="10800000">
        <a:off x="0" y="328"/>
        <a:ext cx="4495800" cy="45860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BF5E0-76D1-406E-9F36-6C67840B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6224</Words>
  <Characters>45293</Characters>
  <Application>Microsoft Office Word</Application>
  <DocSecurity>0</DocSecurity>
  <Lines>836</Lines>
  <Paragraphs>228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Joseph</dc:creator>
  <cp:keywords/>
  <dc:description/>
  <cp:lastModifiedBy>Smith, Joseph</cp:lastModifiedBy>
  <cp:revision>1862</cp:revision>
  <dcterms:created xsi:type="dcterms:W3CDTF">2025-08-10T12:37:00Z</dcterms:created>
  <dcterms:modified xsi:type="dcterms:W3CDTF">2025-11-28T15:54:00Z</dcterms:modified>
</cp:coreProperties>
</file>