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71EF1" w14:textId="77777777" w:rsidR="002F73F9" w:rsidRDefault="002F73F9" w:rsidP="002F73F9">
      <w:pPr>
        <w:jc w:val="both"/>
        <w:rPr>
          <w:rFonts w:ascii="Arial" w:hAnsi="Arial" w:cs="Arial"/>
        </w:rPr>
      </w:pPr>
      <w:r>
        <w:rPr>
          <w:rFonts w:ascii="Arial" w:hAnsi="Arial" w:cs="Arial"/>
          <w:noProof/>
        </w:rPr>
        <w:drawing>
          <wp:inline distT="0" distB="0" distL="0" distR="0" wp14:anchorId="31DCAEEF" wp14:editId="7A2FD306">
            <wp:extent cx="5731510" cy="2390140"/>
            <wp:effectExtent l="0" t="0" r="0" b="0"/>
            <wp:docPr id="42578254" name="Picture 1" descr="file:///Users/hristinnaveskova/Pictures/Photos%20Library.photoslibrary/originals/5/555D1F11-4119-4E95-B1F9-62AFE14CCB7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78254" name="Picture 42578254" descr="file:///Users/hristinnaveskova/Pictures/Photos%20Library.photoslibrary/originals/5/555D1F11-4119-4E95-B1F9-62AFE14CCB7D.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390140"/>
                    </a:xfrm>
                    <a:prstGeom prst="rect">
                      <a:avLst/>
                    </a:prstGeom>
                  </pic:spPr>
                </pic:pic>
              </a:graphicData>
            </a:graphic>
          </wp:inline>
        </w:drawing>
      </w:r>
    </w:p>
    <w:p w14:paraId="0D3AE93B" w14:textId="77777777" w:rsidR="002F73F9" w:rsidRDefault="002F73F9" w:rsidP="002F73F9">
      <w:pPr>
        <w:jc w:val="both"/>
        <w:rPr>
          <w:rFonts w:ascii="Arial" w:hAnsi="Arial" w:cs="Arial"/>
        </w:rPr>
      </w:pPr>
    </w:p>
    <w:p w14:paraId="28124291" w14:textId="77777777" w:rsidR="002F73F9" w:rsidRPr="009E3A6B" w:rsidRDefault="002F73F9" w:rsidP="002F73F9">
      <w:pPr>
        <w:jc w:val="both"/>
        <w:rPr>
          <w:rFonts w:ascii="Arial" w:hAnsi="Arial" w:cs="Arial"/>
        </w:rPr>
      </w:pPr>
      <w:r w:rsidRPr="009E3A6B">
        <w:rPr>
          <w:rFonts w:ascii="Arial" w:hAnsi="Arial" w:cs="Arial"/>
        </w:rPr>
        <w:t>Course: BA Business Management</w:t>
      </w:r>
    </w:p>
    <w:p w14:paraId="47CF2E97" w14:textId="471C9453" w:rsidR="002F73F9" w:rsidRPr="009E3A6B" w:rsidRDefault="002F73F9" w:rsidP="002F73F9">
      <w:pPr>
        <w:pStyle w:val="p1"/>
        <w:rPr>
          <w:rFonts w:ascii="Arial" w:hAnsi="Arial" w:cs="Arial"/>
        </w:rPr>
      </w:pPr>
      <w:r w:rsidRPr="009E3A6B">
        <w:rPr>
          <w:rFonts w:ascii="Arial" w:hAnsi="Arial" w:cs="Arial"/>
          <w:lang w:val="fr-FR"/>
        </w:rPr>
        <w:t xml:space="preserve">Module : </w:t>
      </w:r>
      <w:r w:rsidR="00155EBE" w:rsidRPr="009E3A6B">
        <w:rPr>
          <w:rFonts w:ascii="Arial" w:hAnsi="Arial" w:cs="Arial"/>
        </w:rPr>
        <w:t xml:space="preserve">Management Accounting for Managers </w:t>
      </w:r>
    </w:p>
    <w:p w14:paraId="723B35A3" w14:textId="1321A098" w:rsidR="002F73F9" w:rsidRPr="009E3A6B" w:rsidRDefault="002F73F9" w:rsidP="002F73F9">
      <w:pPr>
        <w:jc w:val="both"/>
        <w:rPr>
          <w:rFonts w:ascii="Arial" w:hAnsi="Arial" w:cs="Arial"/>
          <w:lang w:val="fr-FR"/>
        </w:rPr>
      </w:pPr>
      <w:r w:rsidRPr="009E3A6B">
        <w:rPr>
          <w:rFonts w:ascii="Arial" w:hAnsi="Arial" w:cs="Arial"/>
          <w:lang w:val="fr-FR"/>
        </w:rPr>
        <w:t>Module code : LCBB501</w:t>
      </w:r>
      <w:r w:rsidR="009A0D4C" w:rsidRPr="009E3A6B">
        <w:rPr>
          <w:rFonts w:ascii="Arial" w:hAnsi="Arial" w:cs="Arial"/>
          <w:lang w:val="fr-FR"/>
        </w:rPr>
        <w:t>0</w:t>
      </w:r>
      <w:r w:rsidRPr="009E3A6B">
        <w:rPr>
          <w:rFonts w:ascii="Arial" w:hAnsi="Arial" w:cs="Arial"/>
          <w:lang w:val="fr-FR"/>
        </w:rPr>
        <w:t xml:space="preserve"> LON</w:t>
      </w:r>
    </w:p>
    <w:p w14:paraId="76367F6A" w14:textId="613E87AA" w:rsidR="002F73F9" w:rsidRPr="009E3A6B" w:rsidRDefault="002F73F9" w:rsidP="002F73F9">
      <w:pPr>
        <w:pStyle w:val="p1"/>
        <w:rPr>
          <w:rFonts w:ascii="Arial" w:hAnsi="Arial" w:cs="Arial"/>
          <w:b/>
          <w:bCs/>
          <w:sz w:val="17"/>
          <w:szCs w:val="17"/>
        </w:rPr>
      </w:pPr>
      <w:r w:rsidRPr="009E3A6B">
        <w:rPr>
          <w:rFonts w:ascii="Arial" w:hAnsi="Arial" w:cs="Arial"/>
          <w:lang w:val="fr-FR"/>
        </w:rPr>
        <w:t xml:space="preserve">Lecture Name : </w:t>
      </w:r>
      <w:r w:rsidR="009A0D4C" w:rsidRPr="009E3A6B">
        <w:rPr>
          <w:rFonts w:ascii="Arial" w:hAnsi="Arial" w:cs="Arial"/>
          <w:lang w:val="fr-FR"/>
        </w:rPr>
        <w:t>Zainab Atta</w:t>
      </w:r>
    </w:p>
    <w:p w14:paraId="07F63460" w14:textId="639166EF" w:rsidR="002F73F9" w:rsidRPr="009E3A6B" w:rsidRDefault="002F73F9" w:rsidP="002F73F9">
      <w:pPr>
        <w:pStyle w:val="p1"/>
        <w:rPr>
          <w:rFonts w:ascii="Arial" w:hAnsi="Arial" w:cs="Arial"/>
          <w:sz w:val="17"/>
          <w:szCs w:val="17"/>
        </w:rPr>
      </w:pPr>
      <w:r w:rsidRPr="009E3A6B">
        <w:rPr>
          <w:rFonts w:ascii="Arial" w:hAnsi="Arial" w:cs="Arial"/>
        </w:rPr>
        <w:t>Task 1 - Coursework: Individual Report</w:t>
      </w:r>
    </w:p>
    <w:p w14:paraId="0B44019F" w14:textId="77777777" w:rsidR="002F73F9" w:rsidRPr="009E3A6B" w:rsidRDefault="002F73F9" w:rsidP="002F73F9">
      <w:pPr>
        <w:jc w:val="both"/>
        <w:rPr>
          <w:rFonts w:ascii="Arial" w:hAnsi="Arial" w:cs="Arial"/>
          <w:lang w:val="nl-NL"/>
        </w:rPr>
      </w:pPr>
      <w:r w:rsidRPr="009E3A6B">
        <w:rPr>
          <w:rFonts w:ascii="Arial" w:hAnsi="Arial" w:cs="Arial"/>
          <w:lang w:val="nl-NL"/>
        </w:rPr>
        <w:t>Student Name: Hristina Veskova</w:t>
      </w:r>
    </w:p>
    <w:p w14:paraId="4AFEF3D2" w14:textId="77777777" w:rsidR="002F73F9" w:rsidRPr="009E3A6B" w:rsidRDefault="002F73F9" w:rsidP="002F73F9">
      <w:pPr>
        <w:jc w:val="both"/>
        <w:rPr>
          <w:rFonts w:ascii="Arial" w:hAnsi="Arial" w:cs="Arial"/>
          <w:lang w:val="nl-NL"/>
        </w:rPr>
      </w:pPr>
      <w:r w:rsidRPr="009E3A6B">
        <w:rPr>
          <w:rFonts w:ascii="Arial" w:hAnsi="Arial" w:cs="Arial"/>
          <w:lang w:val="nl-NL"/>
        </w:rPr>
        <w:t>Student ID: 2328970</w:t>
      </w:r>
    </w:p>
    <w:p w14:paraId="1F7E6D9B" w14:textId="77777777" w:rsidR="00603359" w:rsidRDefault="00603359" w:rsidP="008515F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sdt>
      <w:sdtPr>
        <w:id w:val="-990717331"/>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7188301D" w14:textId="2C7D6ADE" w:rsidR="007470A6" w:rsidRDefault="007470A6">
          <w:pPr>
            <w:pStyle w:val="TOCHeading"/>
          </w:pPr>
          <w:r>
            <w:t>Table of Contents</w:t>
          </w:r>
        </w:p>
        <w:p w14:paraId="41A1B1BE" w14:textId="4C101C52" w:rsidR="007470A6" w:rsidRDefault="007470A6">
          <w:pPr>
            <w:pStyle w:val="TOC2"/>
            <w:tabs>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24924091" w:history="1">
            <w:r w:rsidRPr="00022639">
              <w:rPr>
                <w:rStyle w:val="Hyperlink"/>
                <w:rFonts w:ascii="Times New Roman" w:eastAsia="Times New Roman" w:hAnsi="Times New Roman" w:cs="Times New Roman"/>
                <w:noProof/>
                <w:kern w:val="0"/>
                <w:lang w:eastAsia="en-GB"/>
                <w14:ligatures w14:val="none"/>
              </w:rPr>
              <w:t>Introduction</w:t>
            </w:r>
            <w:r>
              <w:rPr>
                <w:noProof/>
                <w:webHidden/>
              </w:rPr>
              <w:tab/>
            </w:r>
            <w:r>
              <w:rPr>
                <w:noProof/>
                <w:webHidden/>
              </w:rPr>
              <w:fldChar w:fldCharType="begin"/>
            </w:r>
            <w:r>
              <w:rPr>
                <w:noProof/>
                <w:webHidden/>
              </w:rPr>
              <w:instrText xml:space="preserve"> PAGEREF _Toc224924091 \h </w:instrText>
            </w:r>
            <w:r>
              <w:rPr>
                <w:noProof/>
                <w:webHidden/>
              </w:rPr>
            </w:r>
            <w:r>
              <w:rPr>
                <w:noProof/>
                <w:webHidden/>
              </w:rPr>
              <w:fldChar w:fldCharType="separate"/>
            </w:r>
            <w:r>
              <w:rPr>
                <w:noProof/>
                <w:webHidden/>
              </w:rPr>
              <w:t>2</w:t>
            </w:r>
            <w:r>
              <w:rPr>
                <w:noProof/>
                <w:webHidden/>
              </w:rPr>
              <w:fldChar w:fldCharType="end"/>
            </w:r>
          </w:hyperlink>
        </w:p>
        <w:p w14:paraId="732CA7A7" w14:textId="3317BF24" w:rsidR="007470A6" w:rsidRDefault="007470A6">
          <w:pPr>
            <w:pStyle w:val="TOC3"/>
            <w:tabs>
              <w:tab w:val="right" w:leader="dot" w:pos="9016"/>
            </w:tabs>
            <w:rPr>
              <w:rFonts w:eastAsiaTheme="minorEastAsia"/>
              <w:noProof/>
              <w:sz w:val="24"/>
              <w:szCs w:val="24"/>
              <w:lang w:eastAsia="en-GB"/>
            </w:rPr>
          </w:pPr>
          <w:hyperlink w:anchor="_Toc224924092" w:history="1">
            <w:r w:rsidRPr="00022639">
              <w:rPr>
                <w:rStyle w:val="Hyperlink"/>
                <w:rFonts w:ascii="Times New Roman" w:eastAsia="Times New Roman" w:hAnsi="Times New Roman" w:cs="Times New Roman"/>
                <w:b/>
                <w:bCs/>
                <w:noProof/>
                <w:kern w:val="0"/>
                <w:lang w:eastAsia="en-GB"/>
                <w14:ligatures w14:val="none"/>
              </w:rPr>
              <w:t>Cost Analysis and Business Model</w:t>
            </w:r>
            <w:r>
              <w:rPr>
                <w:noProof/>
                <w:webHidden/>
              </w:rPr>
              <w:tab/>
            </w:r>
            <w:r>
              <w:rPr>
                <w:noProof/>
                <w:webHidden/>
              </w:rPr>
              <w:fldChar w:fldCharType="begin"/>
            </w:r>
            <w:r>
              <w:rPr>
                <w:noProof/>
                <w:webHidden/>
              </w:rPr>
              <w:instrText xml:space="preserve"> PAGEREF _Toc224924092 \h </w:instrText>
            </w:r>
            <w:r>
              <w:rPr>
                <w:noProof/>
                <w:webHidden/>
              </w:rPr>
            </w:r>
            <w:r>
              <w:rPr>
                <w:noProof/>
                <w:webHidden/>
              </w:rPr>
              <w:fldChar w:fldCharType="separate"/>
            </w:r>
            <w:r>
              <w:rPr>
                <w:noProof/>
                <w:webHidden/>
              </w:rPr>
              <w:t>2</w:t>
            </w:r>
            <w:r>
              <w:rPr>
                <w:noProof/>
                <w:webHidden/>
              </w:rPr>
              <w:fldChar w:fldCharType="end"/>
            </w:r>
          </w:hyperlink>
        </w:p>
        <w:p w14:paraId="1328A583" w14:textId="4942AD5C" w:rsidR="007470A6" w:rsidRDefault="007470A6">
          <w:pPr>
            <w:pStyle w:val="TOC2"/>
            <w:tabs>
              <w:tab w:val="right" w:leader="dot" w:pos="9016"/>
            </w:tabs>
            <w:rPr>
              <w:rFonts w:eastAsiaTheme="minorEastAsia"/>
              <w:b w:val="0"/>
              <w:bCs w:val="0"/>
              <w:noProof/>
              <w:sz w:val="24"/>
              <w:szCs w:val="24"/>
              <w:lang w:eastAsia="en-GB"/>
            </w:rPr>
          </w:pPr>
          <w:hyperlink w:anchor="_Toc224924093" w:history="1">
            <w:r w:rsidRPr="00022639">
              <w:rPr>
                <w:rStyle w:val="Hyperlink"/>
                <w:rFonts w:ascii="Times New Roman" w:eastAsia="Times New Roman" w:hAnsi="Times New Roman" w:cs="Times New Roman"/>
                <w:noProof/>
                <w:kern w:val="0"/>
                <w:lang w:eastAsia="en-GB"/>
                <w14:ligatures w14:val="none"/>
              </w:rPr>
              <w:t>Budgeting and Financial Planning</w:t>
            </w:r>
            <w:r>
              <w:rPr>
                <w:noProof/>
                <w:webHidden/>
              </w:rPr>
              <w:tab/>
            </w:r>
            <w:r>
              <w:rPr>
                <w:noProof/>
                <w:webHidden/>
              </w:rPr>
              <w:fldChar w:fldCharType="begin"/>
            </w:r>
            <w:r>
              <w:rPr>
                <w:noProof/>
                <w:webHidden/>
              </w:rPr>
              <w:instrText xml:space="preserve"> PAGEREF _Toc224924093 \h </w:instrText>
            </w:r>
            <w:r>
              <w:rPr>
                <w:noProof/>
                <w:webHidden/>
              </w:rPr>
            </w:r>
            <w:r>
              <w:rPr>
                <w:noProof/>
                <w:webHidden/>
              </w:rPr>
              <w:fldChar w:fldCharType="separate"/>
            </w:r>
            <w:r>
              <w:rPr>
                <w:noProof/>
                <w:webHidden/>
              </w:rPr>
              <w:t>3</w:t>
            </w:r>
            <w:r>
              <w:rPr>
                <w:noProof/>
                <w:webHidden/>
              </w:rPr>
              <w:fldChar w:fldCharType="end"/>
            </w:r>
          </w:hyperlink>
        </w:p>
        <w:p w14:paraId="19623F06" w14:textId="37FDBF8D" w:rsidR="007470A6" w:rsidRDefault="007470A6">
          <w:pPr>
            <w:pStyle w:val="TOC2"/>
            <w:tabs>
              <w:tab w:val="right" w:leader="dot" w:pos="9016"/>
            </w:tabs>
            <w:rPr>
              <w:rFonts w:eastAsiaTheme="minorEastAsia"/>
              <w:b w:val="0"/>
              <w:bCs w:val="0"/>
              <w:noProof/>
              <w:sz w:val="24"/>
              <w:szCs w:val="24"/>
              <w:lang w:eastAsia="en-GB"/>
            </w:rPr>
          </w:pPr>
          <w:hyperlink w:anchor="_Toc224924094" w:history="1">
            <w:r w:rsidRPr="00022639">
              <w:rPr>
                <w:rStyle w:val="Hyperlink"/>
                <w:rFonts w:ascii="Times New Roman" w:eastAsia="Times New Roman" w:hAnsi="Times New Roman" w:cs="Times New Roman"/>
                <w:noProof/>
                <w:kern w:val="0"/>
                <w:lang w:eastAsia="en-GB"/>
                <w14:ligatures w14:val="none"/>
              </w:rPr>
              <w:t>Performance Measurement and Decision-Making</w:t>
            </w:r>
            <w:r>
              <w:rPr>
                <w:noProof/>
                <w:webHidden/>
              </w:rPr>
              <w:tab/>
            </w:r>
            <w:r>
              <w:rPr>
                <w:noProof/>
                <w:webHidden/>
              </w:rPr>
              <w:fldChar w:fldCharType="begin"/>
            </w:r>
            <w:r>
              <w:rPr>
                <w:noProof/>
                <w:webHidden/>
              </w:rPr>
              <w:instrText xml:space="preserve"> PAGEREF _Toc224924094 \h </w:instrText>
            </w:r>
            <w:r>
              <w:rPr>
                <w:noProof/>
                <w:webHidden/>
              </w:rPr>
            </w:r>
            <w:r>
              <w:rPr>
                <w:noProof/>
                <w:webHidden/>
              </w:rPr>
              <w:fldChar w:fldCharType="separate"/>
            </w:r>
            <w:r>
              <w:rPr>
                <w:noProof/>
                <w:webHidden/>
              </w:rPr>
              <w:t>4</w:t>
            </w:r>
            <w:r>
              <w:rPr>
                <w:noProof/>
                <w:webHidden/>
              </w:rPr>
              <w:fldChar w:fldCharType="end"/>
            </w:r>
          </w:hyperlink>
        </w:p>
        <w:p w14:paraId="69189801" w14:textId="4C40FC01" w:rsidR="007470A6" w:rsidRDefault="007470A6">
          <w:pPr>
            <w:pStyle w:val="TOC2"/>
            <w:tabs>
              <w:tab w:val="right" w:leader="dot" w:pos="9016"/>
            </w:tabs>
            <w:rPr>
              <w:rFonts w:eastAsiaTheme="minorEastAsia"/>
              <w:b w:val="0"/>
              <w:bCs w:val="0"/>
              <w:noProof/>
              <w:sz w:val="24"/>
              <w:szCs w:val="24"/>
              <w:lang w:eastAsia="en-GB"/>
            </w:rPr>
          </w:pPr>
          <w:hyperlink w:anchor="_Toc224924095" w:history="1">
            <w:r w:rsidRPr="00022639">
              <w:rPr>
                <w:rStyle w:val="Hyperlink"/>
                <w:rFonts w:ascii="Times New Roman" w:eastAsia="Times New Roman" w:hAnsi="Times New Roman" w:cs="Times New Roman"/>
                <w:noProof/>
                <w:kern w:val="0"/>
                <w:lang w:eastAsia="en-GB"/>
                <w14:ligatures w14:val="none"/>
              </w:rPr>
              <w:t>Sustainability and Ethical Considerations</w:t>
            </w:r>
            <w:r>
              <w:rPr>
                <w:noProof/>
                <w:webHidden/>
              </w:rPr>
              <w:tab/>
            </w:r>
            <w:r>
              <w:rPr>
                <w:noProof/>
                <w:webHidden/>
              </w:rPr>
              <w:fldChar w:fldCharType="begin"/>
            </w:r>
            <w:r>
              <w:rPr>
                <w:noProof/>
                <w:webHidden/>
              </w:rPr>
              <w:instrText xml:space="preserve"> PAGEREF _Toc224924095 \h </w:instrText>
            </w:r>
            <w:r>
              <w:rPr>
                <w:noProof/>
                <w:webHidden/>
              </w:rPr>
            </w:r>
            <w:r>
              <w:rPr>
                <w:noProof/>
                <w:webHidden/>
              </w:rPr>
              <w:fldChar w:fldCharType="separate"/>
            </w:r>
            <w:r>
              <w:rPr>
                <w:noProof/>
                <w:webHidden/>
              </w:rPr>
              <w:t>5</w:t>
            </w:r>
            <w:r>
              <w:rPr>
                <w:noProof/>
                <w:webHidden/>
              </w:rPr>
              <w:fldChar w:fldCharType="end"/>
            </w:r>
          </w:hyperlink>
        </w:p>
        <w:p w14:paraId="6F8C3B7F" w14:textId="3BD3A20F" w:rsidR="007470A6" w:rsidRDefault="007470A6">
          <w:pPr>
            <w:pStyle w:val="TOC2"/>
            <w:tabs>
              <w:tab w:val="right" w:leader="dot" w:pos="9016"/>
            </w:tabs>
            <w:rPr>
              <w:rFonts w:eastAsiaTheme="minorEastAsia"/>
              <w:b w:val="0"/>
              <w:bCs w:val="0"/>
              <w:noProof/>
              <w:sz w:val="24"/>
              <w:szCs w:val="24"/>
              <w:lang w:eastAsia="en-GB"/>
            </w:rPr>
          </w:pPr>
          <w:hyperlink w:anchor="_Toc224924096" w:history="1">
            <w:r w:rsidRPr="00022639">
              <w:rPr>
                <w:rStyle w:val="Hyperlink"/>
                <w:rFonts w:ascii="Times New Roman" w:eastAsia="Times New Roman" w:hAnsi="Times New Roman" w:cs="Times New Roman"/>
                <w:noProof/>
                <w:kern w:val="0"/>
                <w:lang w:eastAsia="en-GB"/>
                <w14:ligatures w14:val="none"/>
              </w:rPr>
              <w:t>Conclusion and Recommendations</w:t>
            </w:r>
            <w:r>
              <w:rPr>
                <w:noProof/>
                <w:webHidden/>
              </w:rPr>
              <w:tab/>
            </w:r>
            <w:r>
              <w:rPr>
                <w:noProof/>
                <w:webHidden/>
              </w:rPr>
              <w:fldChar w:fldCharType="begin"/>
            </w:r>
            <w:r>
              <w:rPr>
                <w:noProof/>
                <w:webHidden/>
              </w:rPr>
              <w:instrText xml:space="preserve"> PAGEREF _Toc224924096 \h </w:instrText>
            </w:r>
            <w:r>
              <w:rPr>
                <w:noProof/>
                <w:webHidden/>
              </w:rPr>
            </w:r>
            <w:r>
              <w:rPr>
                <w:noProof/>
                <w:webHidden/>
              </w:rPr>
              <w:fldChar w:fldCharType="separate"/>
            </w:r>
            <w:r>
              <w:rPr>
                <w:noProof/>
                <w:webHidden/>
              </w:rPr>
              <w:t>5</w:t>
            </w:r>
            <w:r>
              <w:rPr>
                <w:noProof/>
                <w:webHidden/>
              </w:rPr>
              <w:fldChar w:fldCharType="end"/>
            </w:r>
          </w:hyperlink>
        </w:p>
        <w:p w14:paraId="71D36EDF" w14:textId="44C31BE6" w:rsidR="007470A6" w:rsidRDefault="007470A6">
          <w:pPr>
            <w:pStyle w:val="TOC2"/>
            <w:tabs>
              <w:tab w:val="right" w:leader="dot" w:pos="9016"/>
            </w:tabs>
            <w:rPr>
              <w:rFonts w:eastAsiaTheme="minorEastAsia"/>
              <w:b w:val="0"/>
              <w:bCs w:val="0"/>
              <w:noProof/>
              <w:sz w:val="24"/>
              <w:szCs w:val="24"/>
              <w:lang w:eastAsia="en-GB"/>
            </w:rPr>
          </w:pPr>
          <w:hyperlink w:anchor="_Toc224924097" w:history="1">
            <w:r w:rsidRPr="00022639">
              <w:rPr>
                <w:rStyle w:val="Hyperlink"/>
                <w:rFonts w:ascii="Times New Roman" w:eastAsia="Times New Roman" w:hAnsi="Times New Roman" w:cs="Times New Roman"/>
                <w:noProof/>
                <w:kern w:val="0"/>
                <w:lang w:eastAsia="en-GB"/>
                <w14:ligatures w14:val="none"/>
              </w:rPr>
              <w:t>References:</w:t>
            </w:r>
            <w:r>
              <w:rPr>
                <w:noProof/>
                <w:webHidden/>
              </w:rPr>
              <w:tab/>
            </w:r>
            <w:r>
              <w:rPr>
                <w:noProof/>
                <w:webHidden/>
              </w:rPr>
              <w:fldChar w:fldCharType="begin"/>
            </w:r>
            <w:r>
              <w:rPr>
                <w:noProof/>
                <w:webHidden/>
              </w:rPr>
              <w:instrText xml:space="preserve"> PAGEREF _Toc224924097 \h </w:instrText>
            </w:r>
            <w:r>
              <w:rPr>
                <w:noProof/>
                <w:webHidden/>
              </w:rPr>
            </w:r>
            <w:r>
              <w:rPr>
                <w:noProof/>
                <w:webHidden/>
              </w:rPr>
              <w:fldChar w:fldCharType="separate"/>
            </w:r>
            <w:r>
              <w:rPr>
                <w:noProof/>
                <w:webHidden/>
              </w:rPr>
              <w:t>6</w:t>
            </w:r>
            <w:r>
              <w:rPr>
                <w:noProof/>
                <w:webHidden/>
              </w:rPr>
              <w:fldChar w:fldCharType="end"/>
            </w:r>
          </w:hyperlink>
        </w:p>
        <w:p w14:paraId="10AAABE5" w14:textId="0C12135C" w:rsidR="007470A6" w:rsidRDefault="007470A6">
          <w:r>
            <w:rPr>
              <w:b/>
              <w:bCs/>
              <w:noProof/>
            </w:rPr>
            <w:fldChar w:fldCharType="end"/>
          </w:r>
        </w:p>
      </w:sdtContent>
    </w:sdt>
    <w:p w14:paraId="63A7792A" w14:textId="77777777" w:rsidR="00603359" w:rsidRDefault="00603359" w:rsidP="008515F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E12A4DD" w14:textId="77777777" w:rsidR="007470A6" w:rsidRDefault="007470A6" w:rsidP="008515F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0" w:name="_Toc224924091"/>
    </w:p>
    <w:p w14:paraId="1BB3D03C" w14:textId="7BF701F2" w:rsidR="008515F8" w:rsidRDefault="008515F8" w:rsidP="008515F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515F8">
        <w:rPr>
          <w:rFonts w:ascii="Times New Roman" w:eastAsia="Times New Roman" w:hAnsi="Times New Roman" w:cs="Times New Roman"/>
          <w:b/>
          <w:bCs/>
          <w:kern w:val="0"/>
          <w:sz w:val="36"/>
          <w:szCs w:val="36"/>
          <w:lang w:eastAsia="en-GB"/>
          <w14:ligatures w14:val="none"/>
        </w:rPr>
        <w:lastRenderedPageBreak/>
        <w:t>Introduction</w:t>
      </w:r>
      <w:bookmarkEnd w:id="0"/>
      <w:r w:rsidRPr="008515F8">
        <w:rPr>
          <w:rFonts w:ascii="Times New Roman" w:eastAsia="Times New Roman" w:hAnsi="Times New Roman" w:cs="Times New Roman"/>
          <w:b/>
          <w:bCs/>
          <w:kern w:val="0"/>
          <w:sz w:val="36"/>
          <w:szCs w:val="36"/>
          <w:lang w:eastAsia="en-GB"/>
          <w14:ligatures w14:val="none"/>
        </w:rPr>
        <w:t xml:space="preserve"> </w:t>
      </w:r>
    </w:p>
    <w:p w14:paraId="2DEEF8CE" w14:textId="5BD0CBD6" w:rsidR="007B6D47" w:rsidRPr="008515F8" w:rsidRDefault="007B6D47" w:rsidP="007B6D47">
      <w:pPr>
        <w:pStyle w:val="p1"/>
      </w:pPr>
      <w:r>
        <w:t>Prada S.p.A. operates as a global luxury fashion group specialising in high-end apparel, leather goods, footwear, and accessories, with an extensive retail network across Europe, Asia, and North America. As a publicly listed company, Prada manages large-scale international operations supported by directly operated stores and digital platforms (Prada Group, 2023). The company operates in a highly competitive luxury market where profitability depends on brand value, pricing power, and effective cost control. Industry reports indicate that global luxury firms must continuously adapt their financial strategies in response to changing consumer behaviour and macroeconomic pressures (Deloitte, 2023; McKinsey &amp; Company, 2023). In recent years, Prada has strengthened its competitive position through digital transformation, selective retail expansion, and increased investment in sustainable production. These strategic priorities require reliable management accounting information to support pricing, budgeting, and resource allocation decisions (</w:t>
      </w:r>
      <w:proofErr w:type="spellStart"/>
      <w:r>
        <w:t>Atrill</w:t>
      </w:r>
      <w:proofErr w:type="spellEnd"/>
      <w:r>
        <w:t xml:space="preserve"> and McLaney, 2021). Management accounting plays a key role in helping managers evaluate costs, monitor performance, and respond to economic uncertainty. According to Bhimani et al. (2023), effective management accounting systems support long-term strategic alignment rather than focusing solely on short-term cost reduction. In the luxury sector, where high fixed costs and brand reputation strongly influence profitability, structured financial decision-making is essential for maintaining long-term competitiveness (Drury and </w:t>
      </w:r>
      <w:proofErr w:type="spellStart"/>
      <w:r>
        <w:t>Tayles</w:t>
      </w:r>
      <w:proofErr w:type="spellEnd"/>
      <w:r>
        <w:t>, 2024). This report evaluates how management accounting tools and techniques support these decisions within Prada.</w:t>
      </w:r>
    </w:p>
    <w:p w14:paraId="40CEA7D8" w14:textId="5A3E144E" w:rsidR="001D3507" w:rsidRDefault="001D3507" w:rsidP="00AE557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 w:name="_Toc224924092"/>
      <w:r w:rsidRPr="001D3507">
        <w:rPr>
          <w:rFonts w:ascii="Times New Roman" w:eastAsia="Times New Roman" w:hAnsi="Times New Roman" w:cs="Times New Roman"/>
          <w:b/>
          <w:bCs/>
          <w:kern w:val="0"/>
          <w:sz w:val="27"/>
          <w:szCs w:val="27"/>
          <w:lang w:eastAsia="en-GB"/>
          <w14:ligatures w14:val="none"/>
        </w:rPr>
        <w:t>Cost Analysis and Business Model</w:t>
      </w:r>
      <w:bookmarkEnd w:id="1"/>
    </w:p>
    <w:p w14:paraId="26B97AD8" w14:textId="4F607883" w:rsidR="004F215C" w:rsidRPr="002F5778" w:rsidRDefault="004F215C" w:rsidP="002F5778">
      <w:pPr>
        <w:pStyle w:val="p1"/>
      </w:pPr>
      <w:r>
        <w:t>Prada operates within the global luxury fashion industry, where value creation is closely linked to brand positioning, exclusivity, and product craftsmanship. The company’s revenue model is primarily retail-driven, with most sales generated through directly operated stores (DOS), supported by e-commerce platforms and selected wholesale partnerships (Prada Group, 2023). This structure allows Prada to retain greater control over pricing, product presentation, and customer experience. In the luxury segment, such control is essential because brand perception directly influences consumers’ willingness to pay premium prices. Industry research highlights that luxury firms maintain higher margins when distribution channels remain internally controlled (Deloitte, 2023).</w:t>
      </w:r>
      <w:r w:rsidR="002F5778">
        <w:t xml:space="preserve"> </w:t>
      </w:r>
      <w:r>
        <w:t>Unlike mass-market fashion companies that compete through cost leadership, Prada competes through differentiation. Its pricing strategy reflects brand prestige, design innovation, and craftsmanship rather than production cost alone. From a management accounting perspective, this increases the importance of contribution margin analysis. Managers must ensure that premium prices generate sufficient margins to cover both variable and fixed costs while maintaining brand positioning (</w:t>
      </w:r>
      <w:proofErr w:type="spellStart"/>
      <w:r>
        <w:t>Atrill</w:t>
      </w:r>
      <w:proofErr w:type="spellEnd"/>
      <w:r>
        <w:t xml:space="preserve"> and McLaney, 2021). Effective cost management in luxury firms therefore requires alignment between pricing strategy and long-term cost structures (Bhimani et al., 2023).</w:t>
      </w:r>
      <w:r w:rsidR="002F5778">
        <w:t xml:space="preserve"> </w:t>
      </w:r>
      <w:r>
        <w:t xml:space="preserve">Prada’s cost structure includes a significant proportion of fixed costs. These include boutique rental agreements in prime global locations, employee salaries, marketing campaigns, and ongoing investment in design and innovation. High fixed costs create operational leverage, meaning that profitability is highly sensitive to changes in sales volume (Drury and </w:t>
      </w:r>
      <w:proofErr w:type="spellStart"/>
      <w:r>
        <w:t>Tayles</w:t>
      </w:r>
      <w:proofErr w:type="spellEnd"/>
      <w:r>
        <w:t>, 2024). During strong demand, this structure can significantly improve profit margins. However, during economic downturns or reduced consumer spending, high fixed commitments increase financial risk and require careful financial planning.</w:t>
      </w:r>
      <w:r w:rsidR="002F5778">
        <w:t xml:space="preserve"> </w:t>
      </w:r>
      <w:r>
        <w:t xml:space="preserve">Variable costs mainly consist of raw materials such as leather and textiles, production expenses, </w:t>
      </w:r>
      <w:r>
        <w:lastRenderedPageBreak/>
        <w:t>logistics, and packaging. Inflation and supply chain disruptions in recent years have increased these costs across the luxury sector (PwC, 2024). Therefore, cost behaviour analysis and cost-volume-profit (CVP) analysis are important tools. They allow managers to calculate break-even points and assess how changes in price or sales volume affect profitability (</w:t>
      </w:r>
      <w:proofErr w:type="spellStart"/>
      <w:r>
        <w:t>Atrill</w:t>
      </w:r>
      <w:proofErr w:type="spellEnd"/>
      <w:r>
        <w:t xml:space="preserve"> and McLaney, 2022).</w:t>
      </w:r>
      <w:r w:rsidR="002F5778">
        <w:t xml:space="preserve"> I</w:t>
      </w:r>
      <w:r>
        <w:t>n addition, activity-based costing (ABC) can improve cost allocation across different product lines. Luxury products often require different levels of design effort, marketing intensity, and distribution complexity. ABC helps management understand which collections generate higher contribution margins and which require strategic adjustments. According to Otley (2022), more refined cost allocation supports better strategic decision-making and improves internal performance evaluation.</w:t>
      </w:r>
      <w:r w:rsidR="002F5778">
        <w:t xml:space="preserve">  </w:t>
      </w:r>
      <w:r>
        <w:t>Furthermore, strategic cost management must be considered in long-term decisions. Choices regarding outsourcing versus in-house production can significantly affect cost structure, quality control, and supply chain risk. While outsourcing may reduce short-term costs, it can reduce control over craftsmanship, which is critical in luxury fashion. Management accounting therefore supports not only cost efficiency but also alignment with brand positioning and quality standards.</w:t>
      </w:r>
      <w:r w:rsidR="002F5778">
        <w:t xml:space="preserve"> </w:t>
      </w:r>
      <w:r>
        <w:t>Overall, Prada’s business model depends on maintaining high gross margins while managing fixed cost exposure and variable cost fluctuations. Effective management accounting systems play a crucial role in supporting strategic pricing, cost control, and sustainable value creation in a highly competitive global market.</w:t>
      </w:r>
    </w:p>
    <w:p w14:paraId="40353782" w14:textId="6567098A" w:rsidR="001D3507" w:rsidRDefault="001D3507" w:rsidP="001D350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2" w:name="_Toc224924093"/>
      <w:r w:rsidRPr="001D3507">
        <w:rPr>
          <w:rFonts w:ascii="Times New Roman" w:eastAsia="Times New Roman" w:hAnsi="Times New Roman" w:cs="Times New Roman"/>
          <w:b/>
          <w:bCs/>
          <w:kern w:val="0"/>
          <w:sz w:val="36"/>
          <w:szCs w:val="36"/>
          <w:lang w:eastAsia="en-GB"/>
          <w14:ligatures w14:val="none"/>
        </w:rPr>
        <w:t>Budgeting and Financial Planning</w:t>
      </w:r>
      <w:bookmarkEnd w:id="2"/>
      <w:r w:rsidRPr="001D3507">
        <w:rPr>
          <w:rFonts w:ascii="Times New Roman" w:eastAsia="Times New Roman" w:hAnsi="Times New Roman" w:cs="Times New Roman"/>
          <w:b/>
          <w:bCs/>
          <w:kern w:val="0"/>
          <w:sz w:val="36"/>
          <w:szCs w:val="36"/>
          <w:lang w:eastAsia="en-GB"/>
          <w14:ligatures w14:val="none"/>
        </w:rPr>
        <w:t xml:space="preserve"> </w:t>
      </w:r>
    </w:p>
    <w:p w14:paraId="7C5F9EC9" w14:textId="1379952C" w:rsidR="00721E47" w:rsidRPr="00721E47" w:rsidRDefault="00721E47" w:rsidP="00721E47">
      <w:pPr>
        <w:pStyle w:val="p1"/>
      </w:pPr>
      <w:r>
        <w:t>Budgeting plays a central role in financial planning at Prada, particularly due to the company’s high fixed cost structure and global retail operations. In luxury fashion, where brand positioning and store presence are critical, budgeting is not merely a cost-control tool but a strategic planning mechanism that aligns operational activities with long-term growth objectives (</w:t>
      </w:r>
      <w:proofErr w:type="spellStart"/>
      <w:r>
        <w:t>Atrill</w:t>
      </w:r>
      <w:proofErr w:type="spellEnd"/>
      <w:r>
        <w:t xml:space="preserve"> and McLaney, 2021). According to management accounting theory, budgeting supports coordination, performance control, and strategic alignment across different organisational levels (Bhimani et al., 2023). Financial data indicates that Prada experienced year-on-year increases in operating expenses, largely driven by retail expansion, marketing investments, and rising personnel costs (Prada Group, 2023; Google Finance, 2024). From an internal management perspective, part of this increase reflects deliberate strategic decisions. The company has invested in store refurbishments, digital platforms, and brand communication campaigns to strengthen customer engagement and enhance premium positioning. These expenditures represent strategic investments rather than uncontrolled cost growth. However, external macroeconomic factors have also influenced operating expense trends. Inflationary pressures across Europe and Asia, increased energy costs, and supply chain disruptions have contributed to higher logistics and production expenses (PwC, 2024). Exchange rate volatility has further affected cost structures in international markets. Industry reports highlight that luxury firms must adapt budgeting systems to respond to fluctuating consumer demand and economic uncertainty (McKinsey &amp; Company, 2023). From a management accounting perspective, Prada is likely to rely on rolling budgets and variance analysis to monitor deviations between planned and actual performance. Variance analysis is considered a core element of management control systems, enabling managers to distinguish between controllable inefficiencies and external economic influences (Otley, 2022). For example, higher marketing expenditure may be justified if it contributes to revenue growth and brand strengthening, whereas uncontrolled administrative overhead would require corrective action. Critically, in a luxury context, cost reduction strategies must be implemented carefully. Excessive cost-cutting could damage brand equity and customer experience. Therefore, budgeting must balance financial discipline with strategic investment </w:t>
      </w:r>
      <w:r>
        <w:lastRenderedPageBreak/>
        <w:t>decisions. According to IFAC (2022), modern management accounting emphasises long-term value creation rather than short-term cost minimisation. In addition, effective budgeting at Prada requires scenario planning and risk assessment. Given economic uncertainty and fluctuating consumer demand, management must prepare flexible budgets that consider different sales forecasts and cost scenarios. Contingency planning allows the company to respond quickly to market changes without compromising strategic investments. Overall, budgeting at Prada functions as a strategic control system that integrates internal performance targets with external economic realities, supporting informed financial decision-making in a volatile global environment.</w:t>
      </w:r>
    </w:p>
    <w:p w14:paraId="58EBB4FA" w14:textId="0145B443" w:rsidR="001D3507" w:rsidRDefault="001D3507" w:rsidP="00AE557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3" w:name="_Toc224924094"/>
      <w:r w:rsidRPr="001D3507">
        <w:rPr>
          <w:rFonts w:ascii="Times New Roman" w:eastAsia="Times New Roman" w:hAnsi="Times New Roman" w:cs="Times New Roman"/>
          <w:b/>
          <w:bCs/>
          <w:kern w:val="0"/>
          <w:sz w:val="36"/>
          <w:szCs w:val="36"/>
          <w:lang w:eastAsia="en-GB"/>
          <w14:ligatures w14:val="none"/>
        </w:rPr>
        <w:t>Performance Measurement and Decision-Makin</w:t>
      </w:r>
      <w:r>
        <w:rPr>
          <w:rFonts w:ascii="Times New Roman" w:eastAsia="Times New Roman" w:hAnsi="Times New Roman" w:cs="Times New Roman"/>
          <w:b/>
          <w:bCs/>
          <w:kern w:val="0"/>
          <w:sz w:val="36"/>
          <w:szCs w:val="36"/>
          <w:lang w:eastAsia="en-GB"/>
          <w14:ligatures w14:val="none"/>
        </w:rPr>
        <w:t>g</w:t>
      </w:r>
      <w:bookmarkEnd w:id="3"/>
    </w:p>
    <w:p w14:paraId="545566D5" w14:textId="17781A77" w:rsidR="00552D50" w:rsidRDefault="00552D50" w:rsidP="00552D50">
      <w:pPr>
        <w:pStyle w:val="p1"/>
      </w:pPr>
      <w:r>
        <w:t>Performance measurement is essential for supporting strategic and operational decision-making at Prada, especially in an industry where profitability depends on brand value, customer loyalty, and operational efficiency. The company uses a mix of financial and non-financial key performance indicators (KPIs) to evaluate performance and guide managerial actions (Prada Group, 2023). This helps management track short-term results while also protecting long-term brand value.</w:t>
      </w:r>
      <w:r w:rsidR="008616C8">
        <w:t xml:space="preserve"> </w:t>
      </w:r>
      <w:r>
        <w:t xml:space="preserve">A key financial KPI is </w:t>
      </w:r>
      <w:r w:rsidRPr="008616C8">
        <w:rPr>
          <w:rStyle w:val="s1"/>
          <w:rFonts w:eastAsiaTheme="majorEastAsia"/>
        </w:rPr>
        <w:t>revenue growth</w:t>
      </w:r>
      <w:r w:rsidRPr="008616C8">
        <w:t>,</w:t>
      </w:r>
      <w:r>
        <w:t xml:space="preserve"> which reflects market demand and brand strength. Consistent revenue growth usually signals strong product performance and effective marketing. Revenue trends support decisions about where to expand, where to invest more in retail presence, and where to push digital sales (Yahoo Finance, 2024). For example, stronger performance in Asian markets can justify selective </w:t>
      </w:r>
      <w:r w:rsidRPr="008616C8">
        <w:t>expansion, while weaker trends may trigger more careful spending.</w:t>
      </w:r>
      <w:r w:rsidR="008616C8" w:rsidRPr="008616C8">
        <w:t xml:space="preserve"> </w:t>
      </w:r>
      <w:r w:rsidRPr="008616C8">
        <w:t xml:space="preserve">Secondly, </w:t>
      </w:r>
      <w:r w:rsidRPr="008616C8">
        <w:rPr>
          <w:rStyle w:val="s1"/>
          <w:rFonts w:eastAsiaTheme="majorEastAsia"/>
        </w:rPr>
        <w:t>operating margin</w:t>
      </w:r>
      <w:r>
        <w:t xml:space="preserve"> is closely monitored because it shows how well Prada converts revenue into operating profit while managing high fixed costs. When margins come under pressure, managers may review pricing decisions, supplier contracts, or discretionary spending to protect profitability (</w:t>
      </w:r>
      <w:proofErr w:type="spellStart"/>
      <w:r>
        <w:t>Atrill</w:t>
      </w:r>
      <w:proofErr w:type="spellEnd"/>
      <w:r>
        <w:t xml:space="preserve"> and McLaney, 2022). In luxury, cost control needs to be careful because aggressive </w:t>
      </w:r>
      <w:r w:rsidRPr="008616C8">
        <w:t>cuts can damage customer experience and brand image.</w:t>
      </w:r>
      <w:r w:rsidR="008616C8" w:rsidRPr="008616C8">
        <w:t xml:space="preserve"> </w:t>
      </w:r>
      <w:r w:rsidRPr="008616C8">
        <w:t xml:space="preserve">A third KPI is </w:t>
      </w:r>
      <w:r w:rsidRPr="008616C8">
        <w:rPr>
          <w:rStyle w:val="s1"/>
          <w:rFonts w:eastAsiaTheme="majorEastAsia"/>
        </w:rPr>
        <w:t>return on capital employed (ROCE)</w:t>
      </w:r>
      <w:r w:rsidRPr="008616C8">
        <w:t>,</w:t>
      </w:r>
      <w:r>
        <w:t xml:space="preserve"> which measures how efficiently Prada uses invested capital (</w:t>
      </w:r>
      <w:proofErr w:type="spellStart"/>
      <w:r>
        <w:t>Atrill</w:t>
      </w:r>
      <w:proofErr w:type="spellEnd"/>
      <w:r>
        <w:t xml:space="preserve"> and McLaney, 2021). ROCE is important for decisions such as store openings, refurbishments, and investment in technology. If ROCE declines, it may signal underperforming assets or overinvestment, which can lead management to slow expansion or reorganise parts of the </w:t>
      </w:r>
      <w:r w:rsidRPr="008616C8">
        <w:t>business (Otley, 2022).</w:t>
      </w:r>
      <w:r w:rsidR="008616C8" w:rsidRPr="008616C8">
        <w:t xml:space="preserve"> </w:t>
      </w:r>
      <w:r w:rsidRPr="008616C8">
        <w:t xml:space="preserve">Prada also relies on non-financial KPIs. </w:t>
      </w:r>
      <w:r w:rsidRPr="008616C8">
        <w:rPr>
          <w:rStyle w:val="s1"/>
          <w:rFonts w:eastAsiaTheme="majorEastAsia"/>
        </w:rPr>
        <w:t>Brand equity and customer engagement</w:t>
      </w:r>
      <w:r w:rsidRPr="008616C8">
        <w:t xml:space="preserve"> are critical because luxury value is strongly linked to perception. Indicators such as repeat purchase behaviour, online traffic, and social media engagement help managers assess brand relevance and adjust product and communication strategies. In addition, </w:t>
      </w:r>
      <w:r w:rsidRPr="008616C8">
        <w:rPr>
          <w:rStyle w:val="s1"/>
          <w:rFonts w:eastAsiaTheme="majorEastAsia"/>
        </w:rPr>
        <w:t>ESG performance</w:t>
      </w:r>
      <w:r>
        <w:t xml:space="preserve"> has become increasingly important, influencing decisions on sustainable materials and supply chain transparency (Drury and </w:t>
      </w:r>
      <w:proofErr w:type="spellStart"/>
      <w:r>
        <w:t>Tayles</w:t>
      </w:r>
      <w:proofErr w:type="spellEnd"/>
      <w:r>
        <w:t>, 2024). Research suggests that luxury firms increasingly use both financial and non-financial information to support strategic decisions, especially when brand reputation is a key asset (Chen and Liu, 2023).</w:t>
      </w:r>
      <w:r w:rsidR="008616C8">
        <w:t xml:space="preserve"> </w:t>
      </w:r>
      <w:r>
        <w:t xml:space="preserve">Overall, this KPI mix reflects a balanced approach, </w:t>
      </w:r>
      <w:proofErr w:type="gramStart"/>
      <w:r>
        <w:t>similar to</w:t>
      </w:r>
      <w:proofErr w:type="gramEnd"/>
      <w:r>
        <w:t xml:space="preserve"> the balanced scorecard idea, where financial outcomes are supported by customer, internal process, and sustainability measures (Kaplan and Norton, 2021). Benchmarking against luxury competitors using industry insights can also support decision-making and highlight gaps in performance (Deloitte, 2023). This integrated measurement system supports evidence-based decisions while protecting long-term strategic positioning.</w:t>
      </w:r>
    </w:p>
    <w:p w14:paraId="63297BB8" w14:textId="77777777" w:rsidR="00552D50" w:rsidRDefault="00552D50" w:rsidP="00AE557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FDBBFDE" w14:textId="583B2AA0" w:rsidR="001B79FD" w:rsidRPr="001B79FD" w:rsidRDefault="001B79FD" w:rsidP="001B79FD">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4" w:name="_Toc224924095"/>
      <w:r w:rsidRPr="001B79FD">
        <w:rPr>
          <w:rFonts w:ascii="Times New Roman" w:eastAsia="Times New Roman" w:hAnsi="Times New Roman" w:cs="Times New Roman"/>
          <w:b/>
          <w:bCs/>
          <w:kern w:val="0"/>
          <w:sz w:val="36"/>
          <w:szCs w:val="36"/>
          <w:lang w:eastAsia="en-GB"/>
          <w14:ligatures w14:val="none"/>
        </w:rPr>
        <w:lastRenderedPageBreak/>
        <w:t>Sustainability and Ethical Considerations</w:t>
      </w:r>
      <w:bookmarkEnd w:id="4"/>
      <w:r w:rsidRPr="001B79FD">
        <w:rPr>
          <w:rFonts w:ascii="Times New Roman" w:eastAsia="Times New Roman" w:hAnsi="Times New Roman" w:cs="Times New Roman"/>
          <w:b/>
          <w:bCs/>
          <w:kern w:val="0"/>
          <w:sz w:val="36"/>
          <w:szCs w:val="36"/>
          <w:lang w:eastAsia="en-GB"/>
          <w14:ligatures w14:val="none"/>
        </w:rPr>
        <w:t xml:space="preserve"> </w:t>
      </w:r>
    </w:p>
    <w:p w14:paraId="33999623" w14:textId="382D1835" w:rsidR="001B79FD" w:rsidRPr="003F6973" w:rsidRDefault="00D217F7" w:rsidP="003F6973">
      <w:pPr>
        <w:pStyle w:val="p1"/>
      </w:pPr>
      <w:r>
        <w:t>Sustainability has become increasingly integrated into the strategic and financial decision-making processes at Prada. In the luxury fashion sector, long-term value creation is closely linked to brand reputation, ethical sourcing, and environmental responsibility. As a result, sustainability initiatives are not treated as separate corporate social responsibility activities but are embedded within operational and capital budgeting decisions (Prada Group, 2024). This means that environmental and social factors are considered when financial resources are allocated and long-term investments are evaluated. One of Prada’s key sustainability initiatives is its investment in recycled and innovative materials, such as regenerated nylon under the Re-Nylon programme. From a management accounting perspective, these initiatives may involve higher short-term costs due to research, supplier audits, and material innovation. However, such investments are evaluated based on long-term benefits, including enhanced brand loyalty, regulatory compliance, and reduced environmental risk. Sustainability accounting literature highlights that integrating environmental costs into financial analysis improves long-term strategic decision-making (Burritt and Christ, 2021). Furthermore, Prada integrates sustainability targets into performance evaluation systems. Environmental indicators, such as carbon emission reductions and responsible sourcing standards, increasingly influence supplier selection and operational decisions. According to IFAC (2022), management accounting plays a central role in supporting sustainable value creation by incorporating non-financial metrics into traditional financial reporting. This reflects a broader shift in accounting practices, where companies are expected to demonstrate transparency and accountability. Ethical considerations also arise in pricing strategies and cost management. Luxury pricing is largely based on perceived exclusivity and brand positioning rather than production cost alone. While premium pricing supports high margins, it must be supported by genuine quality and ethical sourcing practices. Excessive cost-cutting, particularly in labour conditions or supply chains, could damage brand credibility and create reputational risk. Industry research suggests that consumers increasingly expect transparency and responsible business conduct from luxury brands (McKinsey &amp; Company, 2023). Therefore, sustainable financial decision-making at Prada requires balancing profitability with stakeholder expectations. By integrating sustainability into budgeting and performance measurement systems, the company strengthens long-term financial resilience while maintaining ethical standards.</w:t>
      </w:r>
    </w:p>
    <w:p w14:paraId="3D22C9E0" w14:textId="6B4EF167" w:rsidR="00AE557C" w:rsidRPr="00AE557C" w:rsidRDefault="00AE557C" w:rsidP="00AE557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5" w:name="_Toc224924096"/>
      <w:r w:rsidRPr="00AE557C">
        <w:rPr>
          <w:rFonts w:ascii="Times New Roman" w:eastAsia="Times New Roman" w:hAnsi="Times New Roman" w:cs="Times New Roman"/>
          <w:b/>
          <w:bCs/>
          <w:kern w:val="0"/>
          <w:sz w:val="36"/>
          <w:szCs w:val="36"/>
          <w:lang w:eastAsia="en-GB"/>
          <w14:ligatures w14:val="none"/>
        </w:rPr>
        <w:t>Conclusion and Recommendations</w:t>
      </w:r>
      <w:bookmarkEnd w:id="5"/>
      <w:r w:rsidRPr="00AE557C">
        <w:rPr>
          <w:rFonts w:ascii="Times New Roman" w:eastAsia="Times New Roman" w:hAnsi="Times New Roman" w:cs="Times New Roman"/>
          <w:b/>
          <w:bCs/>
          <w:kern w:val="0"/>
          <w:sz w:val="36"/>
          <w:szCs w:val="36"/>
          <w:lang w:eastAsia="en-GB"/>
          <w14:ligatures w14:val="none"/>
        </w:rPr>
        <w:t xml:space="preserve"> </w:t>
      </w:r>
    </w:p>
    <w:p w14:paraId="3ABC1F37" w14:textId="3F78C815" w:rsidR="009961A9" w:rsidRDefault="009961A9" w:rsidP="009961A9">
      <w:pPr>
        <w:pStyle w:val="p1"/>
      </w:pPr>
      <w:r>
        <w:t xml:space="preserve">This report has evaluated how management accounting tools and techniques support financial decision-making at Prada within the global luxury fashion industry. The analysis shows that management accounting at Prada goes beyond basic cost control and functions as a strategic system supporting pricing, budgeting, performance measurement, and sustainability integration. Given the company’s high fixed cost exposure and premium pricing strategy, structured financial analysis is essential for maintaining profitability while protecting brand value (Drury and </w:t>
      </w:r>
      <w:proofErr w:type="spellStart"/>
      <w:r>
        <w:t>Tayles</w:t>
      </w:r>
      <w:proofErr w:type="spellEnd"/>
      <w:r>
        <w:t xml:space="preserve">, 2024). The integration of financial and non-financial KPIs enables management to balance short-term financial performance with long-term strategic positioning. As highlighted in management accounting research, effective control systems should align operational decisions with overall corporate strategy rather than focus only on immediate financial results (Bhimani et al., 2023). Prada’s approach reflects this principle through its use of budgeting, performance evaluation, and sustainability-focused investment decisions. Based on the findings, three recommendations can be proposed. First, Prada should </w:t>
      </w:r>
      <w:r>
        <w:lastRenderedPageBreak/>
        <w:t>continue strengthening digital forecasting and rolling budgeting systems to improve responsiveness to market volatility. Second, the company should further integrate ESG-related metrics into capital investment appraisal processes to support sustainable long-term growth. Finally, enhanced use of real-time cost analytics could improve operational efficiency and support more precise pricing strategies while maintaining brand integrity. Overall, effective management accounting remains central to Prada’s ability to compete in a volatile global luxury market while sustaining long-term value creation.</w:t>
      </w:r>
    </w:p>
    <w:p w14:paraId="47F02D5B" w14:textId="77777777" w:rsidR="00AE557C" w:rsidRDefault="00AE557C" w:rsidP="00AE557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DC1E295" w14:textId="087582B6" w:rsidR="00AE557C" w:rsidRPr="00AE557C" w:rsidRDefault="00AE557C" w:rsidP="00AE557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6" w:name="_Toc224924097"/>
      <w:r w:rsidRPr="00AE557C">
        <w:rPr>
          <w:rFonts w:ascii="Times New Roman" w:eastAsia="Times New Roman" w:hAnsi="Times New Roman" w:cs="Times New Roman"/>
          <w:b/>
          <w:bCs/>
          <w:kern w:val="0"/>
          <w:sz w:val="36"/>
          <w:szCs w:val="36"/>
          <w:lang w:eastAsia="en-GB"/>
          <w14:ligatures w14:val="none"/>
        </w:rPr>
        <w:t>Reference</w:t>
      </w:r>
      <w:r>
        <w:rPr>
          <w:rFonts w:ascii="Times New Roman" w:eastAsia="Times New Roman" w:hAnsi="Times New Roman" w:cs="Times New Roman"/>
          <w:b/>
          <w:bCs/>
          <w:kern w:val="0"/>
          <w:sz w:val="36"/>
          <w:szCs w:val="36"/>
          <w:lang w:eastAsia="en-GB"/>
          <w14:ligatures w14:val="none"/>
        </w:rPr>
        <w:t>s:</w:t>
      </w:r>
      <w:bookmarkEnd w:id="6"/>
      <w:r>
        <w:rPr>
          <w:rFonts w:ascii="Times New Roman" w:eastAsia="Times New Roman" w:hAnsi="Times New Roman" w:cs="Times New Roman"/>
          <w:b/>
          <w:bCs/>
          <w:kern w:val="0"/>
          <w:sz w:val="36"/>
          <w:szCs w:val="36"/>
          <w:lang w:eastAsia="en-GB"/>
          <w14:ligatures w14:val="none"/>
        </w:rPr>
        <w:t xml:space="preserve"> </w:t>
      </w:r>
    </w:p>
    <w:p w14:paraId="29C939FC" w14:textId="58BB63AB" w:rsidR="00092D1C" w:rsidRDefault="00092D1C" w:rsidP="00092D1C">
      <w:pPr>
        <w:pStyle w:val="p1"/>
      </w:pPr>
      <w:proofErr w:type="spellStart"/>
      <w:r>
        <w:t>Atrill</w:t>
      </w:r>
      <w:proofErr w:type="spellEnd"/>
      <w:r>
        <w:t xml:space="preserve">, P. and McLaney, E.J. (2021) </w:t>
      </w:r>
      <w:r>
        <w:rPr>
          <w:i/>
          <w:iCs/>
        </w:rPr>
        <w:t>Management Accounting for Decision Makers</w:t>
      </w:r>
      <w:r>
        <w:t xml:space="preserve">. 10th </w:t>
      </w:r>
      <w:proofErr w:type="spellStart"/>
      <w:r>
        <w:t>edn</w:t>
      </w:r>
      <w:proofErr w:type="spellEnd"/>
      <w:r>
        <w:t>. Harlow: Pearson.</w:t>
      </w:r>
    </w:p>
    <w:p w14:paraId="6224F110" w14:textId="15BEF922" w:rsidR="00092D1C" w:rsidRDefault="00092D1C" w:rsidP="00092D1C">
      <w:pPr>
        <w:pStyle w:val="p1"/>
      </w:pPr>
      <w:proofErr w:type="spellStart"/>
      <w:r>
        <w:t>Atrill</w:t>
      </w:r>
      <w:proofErr w:type="spellEnd"/>
      <w:r>
        <w:t xml:space="preserve">, P. and McLaney, E.J. (2022) </w:t>
      </w:r>
      <w:r>
        <w:rPr>
          <w:i/>
          <w:iCs/>
        </w:rPr>
        <w:t>Accounting and Finance for Non-Specialists</w:t>
      </w:r>
      <w:r>
        <w:t xml:space="preserve">. 12th </w:t>
      </w:r>
      <w:proofErr w:type="spellStart"/>
      <w:r>
        <w:t>edn</w:t>
      </w:r>
      <w:proofErr w:type="spellEnd"/>
      <w:r>
        <w:t>. Harlow: Pearson.</w:t>
      </w:r>
    </w:p>
    <w:p w14:paraId="577F0E43" w14:textId="148533D5" w:rsidR="00092D1C" w:rsidRDefault="00092D1C" w:rsidP="00092D1C">
      <w:pPr>
        <w:pStyle w:val="p1"/>
      </w:pPr>
      <w:r>
        <w:t xml:space="preserve">Bhimani, A., Horngren, C.T., Datar, S.M. and Rajan, M. (2023) </w:t>
      </w:r>
      <w:r>
        <w:rPr>
          <w:i/>
          <w:iCs/>
        </w:rPr>
        <w:t>Management and Cost Accounting</w:t>
      </w:r>
      <w:r>
        <w:t xml:space="preserve">. 8th </w:t>
      </w:r>
      <w:proofErr w:type="spellStart"/>
      <w:r>
        <w:t>edn</w:t>
      </w:r>
      <w:proofErr w:type="spellEnd"/>
      <w:r>
        <w:t>. Harlow: Pearson.</w:t>
      </w:r>
    </w:p>
    <w:p w14:paraId="49FB6C64" w14:textId="7EA2702A" w:rsidR="00092D1C" w:rsidRDefault="00092D1C" w:rsidP="00092D1C">
      <w:pPr>
        <w:pStyle w:val="p1"/>
      </w:pPr>
      <w:r>
        <w:t xml:space="preserve">Burritt, R. and Christ, K. (2021) ‘Sustainability accounting and management’, </w:t>
      </w:r>
      <w:r>
        <w:rPr>
          <w:i/>
          <w:iCs/>
        </w:rPr>
        <w:t>Journal of Cleaner Production</w:t>
      </w:r>
      <w:r>
        <w:t>, 310, pp. 1–10.</w:t>
      </w:r>
    </w:p>
    <w:p w14:paraId="60EC5836" w14:textId="4A056630" w:rsidR="00092D1C" w:rsidRDefault="00092D1C" w:rsidP="00092D1C">
      <w:pPr>
        <w:pStyle w:val="p1"/>
      </w:pPr>
      <w:r>
        <w:t xml:space="preserve">Chen, L. and Liu, Y. (2023) ‘Management accounting and strategic decision-making in luxury firms’, </w:t>
      </w:r>
      <w:r>
        <w:rPr>
          <w:i/>
          <w:iCs/>
        </w:rPr>
        <w:t>Journal of Management Accounting Research</w:t>
      </w:r>
      <w:r>
        <w:t>, 35(2), pp. 45–62.</w:t>
      </w:r>
    </w:p>
    <w:p w14:paraId="4EC93F7E" w14:textId="08C5BDF2" w:rsidR="00092D1C" w:rsidRDefault="00092D1C" w:rsidP="00092D1C">
      <w:pPr>
        <w:pStyle w:val="p1"/>
      </w:pPr>
      <w:r>
        <w:t xml:space="preserve">Deloitte (2023) </w:t>
      </w:r>
      <w:r>
        <w:rPr>
          <w:i/>
          <w:iCs/>
        </w:rPr>
        <w:t>Global Powers of Luxury Goods 2023</w:t>
      </w:r>
      <w:r>
        <w:t>. Deloitte Insights.</w:t>
      </w:r>
    </w:p>
    <w:p w14:paraId="1A0CF491" w14:textId="755344E7" w:rsidR="00092D1C" w:rsidRDefault="00092D1C" w:rsidP="00092D1C">
      <w:pPr>
        <w:pStyle w:val="p1"/>
      </w:pPr>
      <w:r>
        <w:t xml:space="preserve">Drury, C. and </w:t>
      </w:r>
      <w:proofErr w:type="spellStart"/>
      <w:r>
        <w:t>Tayles</w:t>
      </w:r>
      <w:proofErr w:type="spellEnd"/>
      <w:r>
        <w:t xml:space="preserve">, M. (2024) </w:t>
      </w:r>
      <w:r>
        <w:rPr>
          <w:i/>
          <w:iCs/>
        </w:rPr>
        <w:t>Management and Cost Accounting</w:t>
      </w:r>
      <w:r>
        <w:t xml:space="preserve">. 12th </w:t>
      </w:r>
      <w:proofErr w:type="spellStart"/>
      <w:r>
        <w:t>edn</w:t>
      </w:r>
      <w:proofErr w:type="spellEnd"/>
      <w:r>
        <w:t>. Andover: Cengage.</w:t>
      </w:r>
    </w:p>
    <w:p w14:paraId="240A0A67" w14:textId="0F273251" w:rsidR="00092D1C" w:rsidRDefault="00092D1C" w:rsidP="00092D1C">
      <w:pPr>
        <w:pStyle w:val="p1"/>
      </w:pPr>
      <w:r>
        <w:t xml:space="preserve">Google Finance (2024) </w:t>
      </w:r>
      <w:r>
        <w:rPr>
          <w:i/>
          <w:iCs/>
        </w:rPr>
        <w:t>Prada S.p.A. Financial Overview</w:t>
      </w:r>
      <w:r>
        <w:t xml:space="preserve">. Available at: https://www.google.com/finance (Accessed: </w:t>
      </w:r>
      <w:r w:rsidR="000D6F64">
        <w:t>1</w:t>
      </w:r>
      <w:r>
        <w:t xml:space="preserve">7 </w:t>
      </w:r>
      <w:r w:rsidR="000D6F64">
        <w:t>March</w:t>
      </w:r>
      <w:r>
        <w:t xml:space="preserve"> 2026).</w:t>
      </w:r>
    </w:p>
    <w:p w14:paraId="4D91CD09" w14:textId="739DA864" w:rsidR="00092D1C" w:rsidRDefault="00092D1C" w:rsidP="00092D1C">
      <w:pPr>
        <w:pStyle w:val="p1"/>
      </w:pPr>
      <w:r>
        <w:t xml:space="preserve">IFAC (2022) </w:t>
      </w:r>
      <w:r>
        <w:rPr>
          <w:i/>
          <w:iCs/>
        </w:rPr>
        <w:t>The Role of Management Accounting in Sustainable Value Creation</w:t>
      </w:r>
      <w:r>
        <w:t>. International Federation of Accountants.</w:t>
      </w:r>
    </w:p>
    <w:p w14:paraId="089BCB7D" w14:textId="2325CCD3" w:rsidR="00092D1C" w:rsidRDefault="00092D1C" w:rsidP="00092D1C">
      <w:pPr>
        <w:pStyle w:val="p1"/>
      </w:pPr>
      <w:r>
        <w:t xml:space="preserve">Kaplan, R.S. and Norton, D.P. (2021) ‘Balanced scorecard: Strategy into action’, </w:t>
      </w:r>
      <w:r>
        <w:rPr>
          <w:i/>
          <w:iCs/>
        </w:rPr>
        <w:t>Harvard Business Review</w:t>
      </w:r>
      <w:r>
        <w:t>, 99(5), pp. 72–80.</w:t>
      </w:r>
    </w:p>
    <w:p w14:paraId="5A2545E6" w14:textId="503A5509" w:rsidR="00092D1C" w:rsidRDefault="00092D1C" w:rsidP="00092D1C">
      <w:pPr>
        <w:pStyle w:val="p1"/>
      </w:pPr>
      <w:r>
        <w:t xml:space="preserve">McKinsey &amp; Company (2023) </w:t>
      </w:r>
      <w:r>
        <w:rPr>
          <w:i/>
          <w:iCs/>
        </w:rPr>
        <w:t>The State of Fashion 2023</w:t>
      </w:r>
      <w:r>
        <w:t>. McKinsey Global Institute.</w:t>
      </w:r>
    </w:p>
    <w:p w14:paraId="46EB5559" w14:textId="686B557E" w:rsidR="00092D1C" w:rsidRDefault="00092D1C" w:rsidP="00092D1C">
      <w:pPr>
        <w:pStyle w:val="p1"/>
      </w:pPr>
      <w:r>
        <w:t xml:space="preserve">Otley, D. (2022) ‘Performance management and management control systems’, </w:t>
      </w:r>
      <w:r>
        <w:rPr>
          <w:i/>
          <w:iCs/>
        </w:rPr>
        <w:t>Accounting and Business Research</w:t>
      </w:r>
      <w:r>
        <w:t>, 52(1), pp. 1–15.</w:t>
      </w:r>
    </w:p>
    <w:p w14:paraId="2D0724A0" w14:textId="471D2001" w:rsidR="00092D1C" w:rsidRDefault="00092D1C" w:rsidP="00092D1C">
      <w:pPr>
        <w:pStyle w:val="p1"/>
      </w:pPr>
      <w:r>
        <w:t xml:space="preserve">Prada Group (2023) </w:t>
      </w:r>
      <w:r>
        <w:rPr>
          <w:i/>
          <w:iCs/>
        </w:rPr>
        <w:t>Annual Report 2023</w:t>
      </w:r>
      <w:r>
        <w:t>. Milan: Prada S.p.A.</w:t>
      </w:r>
    </w:p>
    <w:p w14:paraId="68B81B8F" w14:textId="3C457D51" w:rsidR="00092D1C" w:rsidRDefault="00092D1C" w:rsidP="00092D1C">
      <w:pPr>
        <w:pStyle w:val="p1"/>
      </w:pPr>
      <w:r>
        <w:t xml:space="preserve">Prada Group (2024) </w:t>
      </w:r>
      <w:r>
        <w:rPr>
          <w:i/>
          <w:iCs/>
        </w:rPr>
        <w:t>Sustainability Report 2024</w:t>
      </w:r>
      <w:r>
        <w:t>. Milan: Prada S.p.A.</w:t>
      </w:r>
    </w:p>
    <w:p w14:paraId="59C9F0D8" w14:textId="39C33756" w:rsidR="00092D1C" w:rsidRDefault="00092D1C" w:rsidP="00092D1C">
      <w:pPr>
        <w:pStyle w:val="p1"/>
      </w:pPr>
      <w:r>
        <w:lastRenderedPageBreak/>
        <w:t xml:space="preserve">PwC (2024) </w:t>
      </w:r>
      <w:r>
        <w:rPr>
          <w:i/>
          <w:iCs/>
        </w:rPr>
        <w:t>Luxury Consumer Insights Report</w:t>
      </w:r>
      <w:r>
        <w:t>. PricewaterhouseCoopers.</w:t>
      </w:r>
    </w:p>
    <w:p w14:paraId="332964DD" w14:textId="712CCF7E" w:rsidR="00092D1C" w:rsidRDefault="00092D1C" w:rsidP="00092D1C">
      <w:pPr>
        <w:pStyle w:val="p1"/>
      </w:pPr>
      <w:r>
        <w:t xml:space="preserve">Yahoo Finance (2024) </w:t>
      </w:r>
      <w:r>
        <w:rPr>
          <w:i/>
          <w:iCs/>
        </w:rPr>
        <w:t>Prada S.p.A. Financial Statements</w:t>
      </w:r>
      <w:r>
        <w:t xml:space="preserve">. Available at: https://finance.yahoo.com (Accessed: </w:t>
      </w:r>
      <w:r w:rsidR="00770332">
        <w:t>1</w:t>
      </w:r>
      <w:r>
        <w:t xml:space="preserve">7 </w:t>
      </w:r>
      <w:r w:rsidR="00770332">
        <w:t>March</w:t>
      </w:r>
      <w:r>
        <w:t xml:space="preserve"> 2026).</w:t>
      </w:r>
    </w:p>
    <w:p w14:paraId="39839B97" w14:textId="77777777" w:rsidR="00AE557C" w:rsidRDefault="00AE557C"/>
    <w:sectPr w:rsidR="00AE557C">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E35F8D" w14:textId="77777777" w:rsidR="00F478E9" w:rsidRDefault="00F478E9" w:rsidP="003F6973">
      <w:pPr>
        <w:spacing w:after="0" w:line="240" w:lineRule="auto"/>
      </w:pPr>
      <w:r>
        <w:separator/>
      </w:r>
    </w:p>
  </w:endnote>
  <w:endnote w:type="continuationSeparator" w:id="0">
    <w:p w14:paraId="0EFA1211" w14:textId="77777777" w:rsidR="00F478E9" w:rsidRDefault="00F478E9" w:rsidP="003F69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88884793"/>
      <w:docPartObj>
        <w:docPartGallery w:val="Page Numbers (Bottom of Page)"/>
        <w:docPartUnique/>
      </w:docPartObj>
    </w:sdtPr>
    <w:sdtContent>
      <w:p w14:paraId="1FACCAC0" w14:textId="48F71A13" w:rsidR="00346057" w:rsidRDefault="00346057" w:rsidP="008609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FC8A69F" w14:textId="77777777" w:rsidR="00346057" w:rsidRDefault="00346057" w:rsidP="0034605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23782056"/>
      <w:docPartObj>
        <w:docPartGallery w:val="Page Numbers (Bottom of Page)"/>
        <w:docPartUnique/>
      </w:docPartObj>
    </w:sdtPr>
    <w:sdtContent>
      <w:p w14:paraId="1FD8ED41" w14:textId="211B54B4" w:rsidR="00346057" w:rsidRDefault="00346057" w:rsidP="008609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64D5594" w14:textId="77777777" w:rsidR="00346057" w:rsidRDefault="00346057" w:rsidP="0034605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D7A9DA" w14:textId="77777777" w:rsidR="00F478E9" w:rsidRDefault="00F478E9" w:rsidP="003F6973">
      <w:pPr>
        <w:spacing w:after="0" w:line="240" w:lineRule="auto"/>
      </w:pPr>
      <w:r>
        <w:separator/>
      </w:r>
    </w:p>
  </w:footnote>
  <w:footnote w:type="continuationSeparator" w:id="0">
    <w:p w14:paraId="3EBE524D" w14:textId="77777777" w:rsidR="00F478E9" w:rsidRDefault="00F478E9" w:rsidP="003F69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34ED2"/>
    <w:multiLevelType w:val="multilevel"/>
    <w:tmpl w:val="1D743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38333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507"/>
    <w:rsid w:val="00092D1C"/>
    <w:rsid w:val="000D6F64"/>
    <w:rsid w:val="000E36D1"/>
    <w:rsid w:val="000F0462"/>
    <w:rsid w:val="00150F99"/>
    <w:rsid w:val="00155EBE"/>
    <w:rsid w:val="001B0208"/>
    <w:rsid w:val="001B79FD"/>
    <w:rsid w:val="001C1E4A"/>
    <w:rsid w:val="001D3507"/>
    <w:rsid w:val="002136DA"/>
    <w:rsid w:val="002B03F7"/>
    <w:rsid w:val="002F5778"/>
    <w:rsid w:val="002F73F9"/>
    <w:rsid w:val="00305C00"/>
    <w:rsid w:val="00346057"/>
    <w:rsid w:val="003F6973"/>
    <w:rsid w:val="004838B0"/>
    <w:rsid w:val="004F215C"/>
    <w:rsid w:val="005040E7"/>
    <w:rsid w:val="005434DD"/>
    <w:rsid w:val="00552D50"/>
    <w:rsid w:val="00565F3D"/>
    <w:rsid w:val="005E2A75"/>
    <w:rsid w:val="00603359"/>
    <w:rsid w:val="006A11A9"/>
    <w:rsid w:val="007036C2"/>
    <w:rsid w:val="00721E47"/>
    <w:rsid w:val="007470A6"/>
    <w:rsid w:val="00770332"/>
    <w:rsid w:val="007B6D47"/>
    <w:rsid w:val="008515F8"/>
    <w:rsid w:val="008616C8"/>
    <w:rsid w:val="0086449E"/>
    <w:rsid w:val="009961A9"/>
    <w:rsid w:val="009A0D4C"/>
    <w:rsid w:val="009B337F"/>
    <w:rsid w:val="009E3A6B"/>
    <w:rsid w:val="00A06BAD"/>
    <w:rsid w:val="00A13996"/>
    <w:rsid w:val="00A22B7F"/>
    <w:rsid w:val="00A74AB3"/>
    <w:rsid w:val="00AA1008"/>
    <w:rsid w:val="00AE557C"/>
    <w:rsid w:val="00B01179"/>
    <w:rsid w:val="00B309DB"/>
    <w:rsid w:val="00B53257"/>
    <w:rsid w:val="00B902AF"/>
    <w:rsid w:val="00C04CEC"/>
    <w:rsid w:val="00C75D67"/>
    <w:rsid w:val="00D217F7"/>
    <w:rsid w:val="00D32A2C"/>
    <w:rsid w:val="00D344B6"/>
    <w:rsid w:val="00DF0214"/>
    <w:rsid w:val="00E56B25"/>
    <w:rsid w:val="00E57A7B"/>
    <w:rsid w:val="00EF596B"/>
    <w:rsid w:val="00F478E9"/>
    <w:rsid w:val="00FC7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8341D"/>
  <w15:chartTrackingRefBased/>
  <w15:docId w15:val="{D82390C5-C196-CE4A-95E4-D65432CDD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35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35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D35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35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35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35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35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35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35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5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35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D35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35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35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35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35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35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3507"/>
    <w:rPr>
      <w:rFonts w:eastAsiaTheme="majorEastAsia" w:cstheme="majorBidi"/>
      <w:color w:val="272727" w:themeColor="text1" w:themeTint="D8"/>
    </w:rPr>
  </w:style>
  <w:style w:type="paragraph" w:styleId="Title">
    <w:name w:val="Title"/>
    <w:basedOn w:val="Normal"/>
    <w:next w:val="Normal"/>
    <w:link w:val="TitleChar"/>
    <w:uiPriority w:val="10"/>
    <w:qFormat/>
    <w:rsid w:val="001D35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35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35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35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3507"/>
    <w:pPr>
      <w:spacing w:before="160"/>
      <w:jc w:val="center"/>
    </w:pPr>
    <w:rPr>
      <w:i/>
      <w:iCs/>
      <w:color w:val="404040" w:themeColor="text1" w:themeTint="BF"/>
    </w:rPr>
  </w:style>
  <w:style w:type="character" w:customStyle="1" w:styleId="QuoteChar">
    <w:name w:val="Quote Char"/>
    <w:basedOn w:val="DefaultParagraphFont"/>
    <w:link w:val="Quote"/>
    <w:uiPriority w:val="29"/>
    <w:rsid w:val="001D3507"/>
    <w:rPr>
      <w:i/>
      <w:iCs/>
      <w:color w:val="404040" w:themeColor="text1" w:themeTint="BF"/>
    </w:rPr>
  </w:style>
  <w:style w:type="paragraph" w:styleId="ListParagraph">
    <w:name w:val="List Paragraph"/>
    <w:basedOn w:val="Normal"/>
    <w:uiPriority w:val="34"/>
    <w:qFormat/>
    <w:rsid w:val="001D3507"/>
    <w:pPr>
      <w:ind w:left="720"/>
      <w:contextualSpacing/>
    </w:pPr>
  </w:style>
  <w:style w:type="character" w:styleId="IntenseEmphasis">
    <w:name w:val="Intense Emphasis"/>
    <w:basedOn w:val="DefaultParagraphFont"/>
    <w:uiPriority w:val="21"/>
    <w:qFormat/>
    <w:rsid w:val="001D3507"/>
    <w:rPr>
      <w:i/>
      <w:iCs/>
      <w:color w:val="0F4761" w:themeColor="accent1" w:themeShade="BF"/>
    </w:rPr>
  </w:style>
  <w:style w:type="paragraph" w:styleId="IntenseQuote">
    <w:name w:val="Intense Quote"/>
    <w:basedOn w:val="Normal"/>
    <w:next w:val="Normal"/>
    <w:link w:val="IntenseQuoteChar"/>
    <w:uiPriority w:val="30"/>
    <w:qFormat/>
    <w:rsid w:val="001D35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3507"/>
    <w:rPr>
      <w:i/>
      <w:iCs/>
      <w:color w:val="0F4761" w:themeColor="accent1" w:themeShade="BF"/>
    </w:rPr>
  </w:style>
  <w:style w:type="character" w:styleId="IntenseReference">
    <w:name w:val="Intense Reference"/>
    <w:basedOn w:val="DefaultParagraphFont"/>
    <w:uiPriority w:val="32"/>
    <w:qFormat/>
    <w:rsid w:val="001D3507"/>
    <w:rPr>
      <w:b/>
      <w:bCs/>
      <w:smallCaps/>
      <w:color w:val="0F4761" w:themeColor="accent1" w:themeShade="BF"/>
      <w:spacing w:val="5"/>
    </w:rPr>
  </w:style>
  <w:style w:type="paragraph" w:customStyle="1" w:styleId="p2">
    <w:name w:val="p2"/>
    <w:basedOn w:val="Normal"/>
    <w:rsid w:val="001D350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1D350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1D3507"/>
  </w:style>
  <w:style w:type="character" w:styleId="Hyperlink">
    <w:name w:val="Hyperlink"/>
    <w:basedOn w:val="DefaultParagraphFont"/>
    <w:uiPriority w:val="99"/>
    <w:unhideWhenUsed/>
    <w:rsid w:val="001D3507"/>
    <w:rPr>
      <w:color w:val="0000FF"/>
      <w:u w:val="single"/>
    </w:rPr>
  </w:style>
  <w:style w:type="character" w:customStyle="1" w:styleId="s3">
    <w:name w:val="s3"/>
    <w:basedOn w:val="DefaultParagraphFont"/>
    <w:rsid w:val="001D3507"/>
  </w:style>
  <w:style w:type="paragraph" w:customStyle="1" w:styleId="p1">
    <w:name w:val="p1"/>
    <w:basedOn w:val="Normal"/>
    <w:rsid w:val="00D32A2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3F69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6973"/>
  </w:style>
  <w:style w:type="paragraph" w:styleId="Footer">
    <w:name w:val="footer"/>
    <w:basedOn w:val="Normal"/>
    <w:link w:val="FooterChar"/>
    <w:uiPriority w:val="99"/>
    <w:unhideWhenUsed/>
    <w:rsid w:val="003F69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6973"/>
  </w:style>
  <w:style w:type="character" w:customStyle="1" w:styleId="s1">
    <w:name w:val="s1"/>
    <w:basedOn w:val="DefaultParagraphFont"/>
    <w:rsid w:val="00552D50"/>
  </w:style>
  <w:style w:type="paragraph" w:styleId="TOCHeading">
    <w:name w:val="TOC Heading"/>
    <w:basedOn w:val="Heading1"/>
    <w:next w:val="Normal"/>
    <w:uiPriority w:val="39"/>
    <w:unhideWhenUsed/>
    <w:qFormat/>
    <w:rsid w:val="004838B0"/>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4838B0"/>
    <w:pPr>
      <w:spacing w:after="0"/>
    </w:pPr>
    <w:rPr>
      <w:b/>
      <w:bCs/>
      <w:smallCaps/>
      <w:sz w:val="22"/>
      <w:szCs w:val="22"/>
    </w:rPr>
  </w:style>
  <w:style w:type="paragraph" w:styleId="TOC3">
    <w:name w:val="toc 3"/>
    <w:basedOn w:val="Normal"/>
    <w:next w:val="Normal"/>
    <w:autoRedefine/>
    <w:uiPriority w:val="39"/>
    <w:unhideWhenUsed/>
    <w:rsid w:val="004838B0"/>
    <w:pPr>
      <w:spacing w:after="0"/>
    </w:pPr>
    <w:rPr>
      <w:smallCaps/>
      <w:sz w:val="22"/>
      <w:szCs w:val="22"/>
    </w:rPr>
  </w:style>
  <w:style w:type="paragraph" w:styleId="TOC1">
    <w:name w:val="toc 1"/>
    <w:basedOn w:val="Normal"/>
    <w:next w:val="Normal"/>
    <w:autoRedefine/>
    <w:uiPriority w:val="39"/>
    <w:semiHidden/>
    <w:unhideWhenUsed/>
    <w:rsid w:val="004838B0"/>
    <w:pPr>
      <w:spacing w:before="360" w:after="360"/>
    </w:pPr>
    <w:rPr>
      <w:b/>
      <w:bCs/>
      <w:caps/>
      <w:sz w:val="22"/>
      <w:szCs w:val="22"/>
      <w:u w:val="single"/>
    </w:rPr>
  </w:style>
  <w:style w:type="paragraph" w:styleId="TOC4">
    <w:name w:val="toc 4"/>
    <w:basedOn w:val="Normal"/>
    <w:next w:val="Normal"/>
    <w:autoRedefine/>
    <w:uiPriority w:val="39"/>
    <w:semiHidden/>
    <w:unhideWhenUsed/>
    <w:rsid w:val="004838B0"/>
    <w:pPr>
      <w:spacing w:after="0"/>
    </w:pPr>
    <w:rPr>
      <w:sz w:val="22"/>
      <w:szCs w:val="22"/>
    </w:rPr>
  </w:style>
  <w:style w:type="paragraph" w:styleId="TOC5">
    <w:name w:val="toc 5"/>
    <w:basedOn w:val="Normal"/>
    <w:next w:val="Normal"/>
    <w:autoRedefine/>
    <w:uiPriority w:val="39"/>
    <w:semiHidden/>
    <w:unhideWhenUsed/>
    <w:rsid w:val="004838B0"/>
    <w:pPr>
      <w:spacing w:after="0"/>
    </w:pPr>
    <w:rPr>
      <w:sz w:val="22"/>
      <w:szCs w:val="22"/>
    </w:rPr>
  </w:style>
  <w:style w:type="paragraph" w:styleId="TOC6">
    <w:name w:val="toc 6"/>
    <w:basedOn w:val="Normal"/>
    <w:next w:val="Normal"/>
    <w:autoRedefine/>
    <w:uiPriority w:val="39"/>
    <w:semiHidden/>
    <w:unhideWhenUsed/>
    <w:rsid w:val="004838B0"/>
    <w:pPr>
      <w:spacing w:after="0"/>
    </w:pPr>
    <w:rPr>
      <w:sz w:val="22"/>
      <w:szCs w:val="22"/>
    </w:rPr>
  </w:style>
  <w:style w:type="paragraph" w:styleId="TOC7">
    <w:name w:val="toc 7"/>
    <w:basedOn w:val="Normal"/>
    <w:next w:val="Normal"/>
    <w:autoRedefine/>
    <w:uiPriority w:val="39"/>
    <w:semiHidden/>
    <w:unhideWhenUsed/>
    <w:rsid w:val="004838B0"/>
    <w:pPr>
      <w:spacing w:after="0"/>
    </w:pPr>
    <w:rPr>
      <w:sz w:val="22"/>
      <w:szCs w:val="22"/>
    </w:rPr>
  </w:style>
  <w:style w:type="paragraph" w:styleId="TOC8">
    <w:name w:val="toc 8"/>
    <w:basedOn w:val="Normal"/>
    <w:next w:val="Normal"/>
    <w:autoRedefine/>
    <w:uiPriority w:val="39"/>
    <w:semiHidden/>
    <w:unhideWhenUsed/>
    <w:rsid w:val="004838B0"/>
    <w:pPr>
      <w:spacing w:after="0"/>
    </w:pPr>
    <w:rPr>
      <w:sz w:val="22"/>
      <w:szCs w:val="22"/>
    </w:rPr>
  </w:style>
  <w:style w:type="paragraph" w:styleId="TOC9">
    <w:name w:val="toc 9"/>
    <w:basedOn w:val="Normal"/>
    <w:next w:val="Normal"/>
    <w:autoRedefine/>
    <w:uiPriority w:val="39"/>
    <w:semiHidden/>
    <w:unhideWhenUsed/>
    <w:rsid w:val="004838B0"/>
    <w:pPr>
      <w:spacing w:after="0"/>
    </w:pPr>
    <w:rPr>
      <w:sz w:val="22"/>
      <w:szCs w:val="22"/>
    </w:rPr>
  </w:style>
  <w:style w:type="character" w:styleId="PageNumber">
    <w:name w:val="page number"/>
    <w:basedOn w:val="DefaultParagraphFont"/>
    <w:uiPriority w:val="99"/>
    <w:semiHidden/>
    <w:unhideWhenUsed/>
    <w:rsid w:val="003460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85C6EE-7726-054F-A37F-879294420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7</Pages>
  <Words>2475</Words>
  <Characters>16590</Characters>
  <Application>Microsoft Office Word</Application>
  <DocSecurity>0</DocSecurity>
  <Lines>247</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Hristina Veskova (2328970)</dc:creator>
  <cp:keywords/>
  <dc:description/>
  <cp:lastModifiedBy>Hristina Veskova (2328970)</cp:lastModifiedBy>
  <cp:revision>42</cp:revision>
  <dcterms:created xsi:type="dcterms:W3CDTF">2026-02-25T10:45:00Z</dcterms:created>
  <dcterms:modified xsi:type="dcterms:W3CDTF">2026-03-20T18:34:00Z</dcterms:modified>
</cp:coreProperties>
</file>