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3B484" w14:textId="77777777" w:rsidR="0083319F" w:rsidRDefault="0083319F" w:rsidP="00236CFD">
      <w:pPr>
        <w:spacing w:after="0" w:line="278" w:lineRule="auto"/>
        <w:jc w:val="center"/>
        <w:rPr>
          <w:b/>
          <w:bCs/>
        </w:rPr>
      </w:pPr>
      <w:r w:rsidRPr="0083319F">
        <w:rPr>
          <w:b/>
          <w:bCs/>
          <w:noProof/>
        </w:rPr>
        <w:drawing>
          <wp:inline distT="0" distB="0" distL="0" distR="0" wp14:anchorId="38456A18" wp14:editId="5A03DE61">
            <wp:extent cx="2000529" cy="847843"/>
            <wp:effectExtent l="0" t="0" r="0" b="9525"/>
            <wp:docPr id="634601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601553" name=""/>
                    <pic:cNvPicPr/>
                  </pic:nvPicPr>
                  <pic:blipFill>
                    <a:blip r:embed="rId8"/>
                    <a:stretch>
                      <a:fillRect/>
                    </a:stretch>
                  </pic:blipFill>
                  <pic:spPr>
                    <a:xfrm>
                      <a:off x="0" y="0"/>
                      <a:ext cx="2000529" cy="847843"/>
                    </a:xfrm>
                    <a:prstGeom prst="rect">
                      <a:avLst/>
                    </a:prstGeom>
                  </pic:spPr>
                </pic:pic>
              </a:graphicData>
            </a:graphic>
          </wp:inline>
        </w:drawing>
      </w:r>
    </w:p>
    <w:p w14:paraId="35E81B98" w14:textId="771C32B1" w:rsidR="0083319F" w:rsidRDefault="0083319F" w:rsidP="00236CFD">
      <w:pPr>
        <w:spacing w:after="0"/>
        <w:jc w:val="center"/>
        <w:rPr>
          <w:b/>
          <w:bCs/>
          <w:sz w:val="36"/>
          <w:szCs w:val="32"/>
        </w:rPr>
      </w:pPr>
    </w:p>
    <w:p w14:paraId="148BA734" w14:textId="77777777" w:rsidR="0083319F" w:rsidRDefault="0083319F" w:rsidP="00236CFD">
      <w:pPr>
        <w:spacing w:after="0"/>
        <w:jc w:val="center"/>
        <w:rPr>
          <w:b/>
          <w:bCs/>
          <w:sz w:val="36"/>
          <w:szCs w:val="32"/>
        </w:rPr>
      </w:pPr>
    </w:p>
    <w:p w14:paraId="6A2088E6" w14:textId="24776C8A" w:rsidR="0083319F" w:rsidRPr="0083319F" w:rsidRDefault="0083319F" w:rsidP="00236CFD">
      <w:pPr>
        <w:spacing w:after="0"/>
        <w:jc w:val="center"/>
        <w:rPr>
          <w:b/>
          <w:bCs/>
          <w:sz w:val="36"/>
          <w:szCs w:val="32"/>
        </w:rPr>
      </w:pPr>
      <w:r w:rsidRPr="0083319F">
        <w:rPr>
          <w:b/>
          <w:bCs/>
          <w:sz w:val="36"/>
          <w:szCs w:val="32"/>
        </w:rPr>
        <w:t>Module Name: Understanding and Engaging Stakeholders</w:t>
      </w:r>
    </w:p>
    <w:p w14:paraId="493F9668" w14:textId="77777777" w:rsidR="0083319F" w:rsidRDefault="0083319F" w:rsidP="00236CFD">
      <w:pPr>
        <w:spacing w:after="0"/>
        <w:jc w:val="center"/>
        <w:rPr>
          <w:b/>
          <w:bCs/>
          <w:sz w:val="36"/>
          <w:szCs w:val="32"/>
        </w:rPr>
      </w:pPr>
      <w:r w:rsidRPr="0083319F">
        <w:rPr>
          <w:b/>
          <w:bCs/>
          <w:sz w:val="36"/>
          <w:szCs w:val="32"/>
        </w:rPr>
        <w:t>Module code: LCLM5001</w:t>
      </w:r>
    </w:p>
    <w:p w14:paraId="45C669BD" w14:textId="2CC1873F" w:rsidR="00A75026" w:rsidRPr="0083319F" w:rsidRDefault="00A75026" w:rsidP="00236CFD">
      <w:pPr>
        <w:spacing w:after="0"/>
        <w:jc w:val="center"/>
        <w:rPr>
          <w:b/>
          <w:bCs/>
          <w:sz w:val="36"/>
          <w:szCs w:val="32"/>
        </w:rPr>
      </w:pPr>
      <w:r>
        <w:rPr>
          <w:b/>
          <w:bCs/>
          <w:sz w:val="36"/>
          <w:szCs w:val="32"/>
        </w:rPr>
        <w:t>Lecture</w:t>
      </w:r>
      <w:r w:rsidR="00D5119C">
        <w:rPr>
          <w:b/>
          <w:bCs/>
          <w:sz w:val="36"/>
          <w:szCs w:val="32"/>
        </w:rPr>
        <w:t>rs Name: Amer Kareem</w:t>
      </w:r>
    </w:p>
    <w:p w14:paraId="2C8C0E03" w14:textId="432E634E" w:rsidR="0083319F" w:rsidRPr="0083319F" w:rsidRDefault="0083319F" w:rsidP="00236CFD">
      <w:pPr>
        <w:spacing w:after="0"/>
        <w:jc w:val="center"/>
        <w:rPr>
          <w:b/>
          <w:bCs/>
          <w:sz w:val="36"/>
          <w:szCs w:val="32"/>
        </w:rPr>
      </w:pPr>
      <w:r w:rsidRPr="0083319F">
        <w:rPr>
          <w:b/>
          <w:bCs/>
          <w:sz w:val="36"/>
          <w:szCs w:val="32"/>
        </w:rPr>
        <w:t>Student Name:</w:t>
      </w:r>
      <w:r w:rsidR="00A75026">
        <w:rPr>
          <w:b/>
          <w:bCs/>
          <w:sz w:val="36"/>
          <w:szCs w:val="32"/>
        </w:rPr>
        <w:t xml:space="preserve"> Natalia Potapenko</w:t>
      </w:r>
    </w:p>
    <w:p w14:paraId="66BBB6EE" w14:textId="2D09A6A1" w:rsidR="000C4D0F" w:rsidRDefault="0083319F" w:rsidP="00236CFD">
      <w:pPr>
        <w:spacing w:after="0"/>
        <w:jc w:val="center"/>
        <w:rPr>
          <w:b/>
          <w:bCs/>
        </w:rPr>
      </w:pPr>
      <w:r w:rsidRPr="0083319F">
        <w:rPr>
          <w:b/>
          <w:bCs/>
          <w:sz w:val="36"/>
          <w:szCs w:val="32"/>
        </w:rPr>
        <w:t>Student ID:</w:t>
      </w:r>
      <w:r w:rsidR="00A75026">
        <w:rPr>
          <w:b/>
          <w:bCs/>
          <w:sz w:val="36"/>
          <w:szCs w:val="32"/>
        </w:rPr>
        <w:t xml:space="preserve"> 2336464</w:t>
      </w:r>
      <w:r w:rsidR="000C4D0F">
        <w:rPr>
          <w:b/>
          <w:bCs/>
        </w:rPr>
        <w:br w:type="page"/>
      </w:r>
    </w:p>
    <w:p w14:paraId="7C65FDCC" w14:textId="6E379E2B" w:rsidR="008D306A" w:rsidRPr="008D306A" w:rsidRDefault="008D306A" w:rsidP="00236CFD">
      <w:pPr>
        <w:spacing w:after="0"/>
        <w:jc w:val="center"/>
      </w:pPr>
      <w:r w:rsidRPr="008D306A">
        <w:rPr>
          <w:b/>
          <w:bCs/>
        </w:rPr>
        <w:lastRenderedPageBreak/>
        <w:t>Executive Summary</w:t>
      </w:r>
    </w:p>
    <w:p w14:paraId="4BFD5E2B" w14:textId="77777777" w:rsidR="00236CFD" w:rsidRDefault="008D306A" w:rsidP="00236CFD">
      <w:pPr>
        <w:spacing w:after="0"/>
        <w:rPr>
          <w:rFonts w:eastAsia="Times New Roman" w:cs="Times New Roman"/>
          <w:szCs w:val="24"/>
          <w:highlight w:val="white"/>
        </w:rPr>
      </w:pPr>
      <w:r w:rsidRPr="008D306A">
        <w:t>The report has presented the launch project of the wearable health device (PulseOx SleepGuard) by the organisation, Sky Medical Technology. It has discussed the scenario of the project along with a situational analysis that holds SWOT, PESTLE and some SMART objectives. It has also provided some useful and practical recommendations as per the scenario, entire analysis around the company and this launch. </w:t>
      </w:r>
      <w:r w:rsidR="00282D44">
        <w:t xml:space="preserve">The following task has briefly demonstrated some key processes to engage the selected stakeholders in the project in the context with 4C’s model. </w:t>
      </w:r>
      <w:r w:rsidR="005F2E68">
        <w:rPr>
          <w:rFonts w:eastAsia="Times New Roman" w:cs="Times New Roman"/>
          <w:szCs w:val="24"/>
        </w:rPr>
        <w:t xml:space="preserve">It has delineated the importance of stakeholder engagement in the project of Sky Medical Technology and its project of PulseOx SleepGuard. Active listening, shared knowledge, and such conflict prevention ways have been proposed here by implementing the 4C’s framework. Risk mitigation, decision-making and innovative perspectives can be fostered in the business, have been discussed in the context. </w:t>
      </w:r>
      <w:r w:rsidR="00236CFD">
        <w:rPr>
          <w:rFonts w:eastAsia="Times New Roman" w:cs="Times New Roman"/>
          <w:szCs w:val="24"/>
          <w:highlight w:val="white"/>
        </w:rPr>
        <w:t xml:space="preserve">The report has examined Sky Medical Technology's PulseOx SleepGuard launch through integrating RACI matrix, stakeholder mapping, engagement, and communication plans. </w:t>
      </w:r>
      <w:proofErr w:type="spellStart"/>
      <w:r w:rsidR="00236CFD">
        <w:rPr>
          <w:rFonts w:eastAsia="Times New Roman" w:cs="Times New Roman"/>
          <w:szCs w:val="24"/>
          <w:highlight w:val="white"/>
        </w:rPr>
        <w:t>Bth</w:t>
      </w:r>
      <w:proofErr w:type="spellEnd"/>
      <w:r w:rsidR="00236CFD">
        <w:rPr>
          <w:rFonts w:eastAsia="Times New Roman" w:cs="Times New Roman"/>
          <w:szCs w:val="24"/>
          <w:highlight w:val="white"/>
        </w:rPr>
        <w:t xml:space="preserve"> internal and external stakeholders have been meticulously identified with the adoption of 4Cs framework. It has put focus on the mitigation of conflicts as per Stakeholder Theory. Some major recommendations have ensured a very timely execution and market success.</w:t>
      </w:r>
    </w:p>
    <w:p w14:paraId="346C4820" w14:textId="52127103" w:rsidR="005F2E68" w:rsidRDefault="005F2E68" w:rsidP="00236CFD">
      <w:pPr>
        <w:spacing w:after="0"/>
        <w:rPr>
          <w:rFonts w:eastAsia="Times New Roman" w:cs="Times New Roman"/>
          <w:szCs w:val="24"/>
        </w:rPr>
      </w:pPr>
    </w:p>
    <w:p w14:paraId="6FC6887F" w14:textId="3917BE7B" w:rsidR="00986745" w:rsidRDefault="00986745" w:rsidP="00236CFD">
      <w:pPr>
        <w:spacing w:after="0"/>
      </w:pPr>
    </w:p>
    <w:p w14:paraId="4B767023" w14:textId="77777777" w:rsidR="00986745" w:rsidRDefault="00986745" w:rsidP="00236CFD">
      <w:pPr>
        <w:spacing w:after="0" w:line="278" w:lineRule="auto"/>
        <w:jc w:val="left"/>
      </w:pPr>
      <w:r>
        <w:br w:type="page"/>
      </w:r>
    </w:p>
    <w:sdt>
      <w:sdtPr>
        <w:rPr>
          <w:rFonts w:ascii="Times New Roman" w:eastAsiaTheme="minorHAnsi" w:hAnsi="Times New Roman" w:cstheme="minorBidi"/>
          <w:color w:val="auto"/>
          <w:kern w:val="2"/>
          <w:sz w:val="24"/>
          <w:szCs w:val="22"/>
          <w14:ligatures w14:val="standardContextual"/>
        </w:rPr>
        <w:id w:val="1724721213"/>
        <w:docPartObj>
          <w:docPartGallery w:val="Table of Contents"/>
          <w:docPartUnique/>
        </w:docPartObj>
      </w:sdtPr>
      <w:sdtEndPr>
        <w:rPr>
          <w:b/>
          <w:bCs/>
          <w:noProof/>
        </w:rPr>
      </w:sdtEndPr>
      <w:sdtContent>
        <w:p w14:paraId="785916F3" w14:textId="46F4AB93" w:rsidR="00236CFD" w:rsidRDefault="00236CFD">
          <w:pPr>
            <w:pStyle w:val="TOCHeading"/>
          </w:pPr>
          <w:r>
            <w:t>Table of Contents</w:t>
          </w:r>
        </w:p>
        <w:p w14:paraId="63758B8C" w14:textId="164EBFC9" w:rsidR="00236CFD" w:rsidRDefault="00236CFD">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16369531" w:history="1">
            <w:r w:rsidRPr="006A3B2A">
              <w:rPr>
                <w:rStyle w:val="Hyperlink"/>
                <w:noProof/>
              </w:rPr>
              <w:t>a) Introduction to the Organisation (Sky Medical Technology)</w:t>
            </w:r>
            <w:r>
              <w:rPr>
                <w:noProof/>
                <w:webHidden/>
              </w:rPr>
              <w:tab/>
            </w:r>
            <w:r>
              <w:rPr>
                <w:noProof/>
                <w:webHidden/>
              </w:rPr>
              <w:fldChar w:fldCharType="begin"/>
            </w:r>
            <w:r>
              <w:rPr>
                <w:noProof/>
                <w:webHidden/>
              </w:rPr>
              <w:instrText xml:space="preserve"> PAGEREF _Toc216369531 \h </w:instrText>
            </w:r>
            <w:r>
              <w:rPr>
                <w:noProof/>
                <w:webHidden/>
              </w:rPr>
            </w:r>
            <w:r>
              <w:rPr>
                <w:noProof/>
                <w:webHidden/>
              </w:rPr>
              <w:fldChar w:fldCharType="separate"/>
            </w:r>
            <w:r>
              <w:rPr>
                <w:noProof/>
                <w:webHidden/>
              </w:rPr>
              <w:t>4</w:t>
            </w:r>
            <w:r>
              <w:rPr>
                <w:noProof/>
                <w:webHidden/>
              </w:rPr>
              <w:fldChar w:fldCharType="end"/>
            </w:r>
          </w:hyperlink>
        </w:p>
        <w:p w14:paraId="2F776DB3" w14:textId="00E9EA30" w:rsidR="00236CFD" w:rsidRDefault="00236CFD">
          <w:pPr>
            <w:pStyle w:val="TOC2"/>
            <w:tabs>
              <w:tab w:val="right" w:leader="dot" w:pos="9350"/>
            </w:tabs>
            <w:rPr>
              <w:rFonts w:asciiTheme="minorHAnsi" w:eastAsiaTheme="minorEastAsia" w:hAnsiTheme="minorHAnsi"/>
              <w:noProof/>
              <w:szCs w:val="24"/>
            </w:rPr>
          </w:pPr>
          <w:hyperlink w:anchor="_Toc216369532" w:history="1">
            <w:r w:rsidRPr="006A3B2A">
              <w:rPr>
                <w:rStyle w:val="Hyperlink"/>
                <w:noProof/>
              </w:rPr>
              <w:t>b) Project Outline and Detailed Explanation</w:t>
            </w:r>
            <w:r>
              <w:rPr>
                <w:noProof/>
                <w:webHidden/>
              </w:rPr>
              <w:tab/>
            </w:r>
            <w:r>
              <w:rPr>
                <w:noProof/>
                <w:webHidden/>
              </w:rPr>
              <w:fldChar w:fldCharType="begin"/>
            </w:r>
            <w:r>
              <w:rPr>
                <w:noProof/>
                <w:webHidden/>
              </w:rPr>
              <w:instrText xml:space="preserve"> PAGEREF _Toc216369532 \h </w:instrText>
            </w:r>
            <w:r>
              <w:rPr>
                <w:noProof/>
                <w:webHidden/>
              </w:rPr>
            </w:r>
            <w:r>
              <w:rPr>
                <w:noProof/>
                <w:webHidden/>
              </w:rPr>
              <w:fldChar w:fldCharType="separate"/>
            </w:r>
            <w:r>
              <w:rPr>
                <w:noProof/>
                <w:webHidden/>
              </w:rPr>
              <w:t>5</w:t>
            </w:r>
            <w:r>
              <w:rPr>
                <w:noProof/>
                <w:webHidden/>
              </w:rPr>
              <w:fldChar w:fldCharType="end"/>
            </w:r>
          </w:hyperlink>
        </w:p>
        <w:p w14:paraId="13B83ED3" w14:textId="625C4B52" w:rsidR="00236CFD" w:rsidRDefault="00236CFD">
          <w:pPr>
            <w:pStyle w:val="TOC1"/>
            <w:tabs>
              <w:tab w:val="right" w:leader="dot" w:pos="9350"/>
            </w:tabs>
            <w:rPr>
              <w:rFonts w:asciiTheme="minorHAnsi" w:eastAsiaTheme="minorEastAsia" w:hAnsiTheme="minorHAnsi"/>
              <w:noProof/>
              <w:szCs w:val="24"/>
            </w:rPr>
          </w:pPr>
          <w:hyperlink w:anchor="_Toc216369533" w:history="1">
            <w:r w:rsidRPr="006A3B2A">
              <w:rPr>
                <w:rStyle w:val="Hyperlink"/>
                <w:noProof/>
              </w:rPr>
              <w:t>c) Situational Analysis: SWOT, PESTLE and SMART Objectives</w:t>
            </w:r>
            <w:r>
              <w:rPr>
                <w:noProof/>
                <w:webHidden/>
              </w:rPr>
              <w:tab/>
            </w:r>
            <w:r>
              <w:rPr>
                <w:noProof/>
                <w:webHidden/>
              </w:rPr>
              <w:fldChar w:fldCharType="begin"/>
            </w:r>
            <w:r>
              <w:rPr>
                <w:noProof/>
                <w:webHidden/>
              </w:rPr>
              <w:instrText xml:space="preserve"> PAGEREF _Toc216369533 \h </w:instrText>
            </w:r>
            <w:r>
              <w:rPr>
                <w:noProof/>
                <w:webHidden/>
              </w:rPr>
            </w:r>
            <w:r>
              <w:rPr>
                <w:noProof/>
                <w:webHidden/>
              </w:rPr>
              <w:fldChar w:fldCharType="separate"/>
            </w:r>
            <w:r>
              <w:rPr>
                <w:noProof/>
                <w:webHidden/>
              </w:rPr>
              <w:t>6</w:t>
            </w:r>
            <w:r>
              <w:rPr>
                <w:noProof/>
                <w:webHidden/>
              </w:rPr>
              <w:fldChar w:fldCharType="end"/>
            </w:r>
          </w:hyperlink>
        </w:p>
        <w:p w14:paraId="1E4EF37B" w14:textId="03B44097" w:rsidR="00236CFD" w:rsidRDefault="00236CFD">
          <w:pPr>
            <w:pStyle w:val="TOC2"/>
            <w:tabs>
              <w:tab w:val="right" w:leader="dot" w:pos="9350"/>
            </w:tabs>
            <w:rPr>
              <w:rFonts w:asciiTheme="minorHAnsi" w:eastAsiaTheme="minorEastAsia" w:hAnsiTheme="minorHAnsi"/>
              <w:noProof/>
              <w:szCs w:val="24"/>
            </w:rPr>
          </w:pPr>
          <w:hyperlink w:anchor="_Toc216369534" w:history="1">
            <w:r w:rsidRPr="006A3B2A">
              <w:rPr>
                <w:rStyle w:val="Hyperlink"/>
                <w:noProof/>
              </w:rPr>
              <w:t>SWOT Analysis</w:t>
            </w:r>
            <w:r>
              <w:rPr>
                <w:noProof/>
                <w:webHidden/>
              </w:rPr>
              <w:tab/>
            </w:r>
            <w:r>
              <w:rPr>
                <w:noProof/>
                <w:webHidden/>
              </w:rPr>
              <w:fldChar w:fldCharType="begin"/>
            </w:r>
            <w:r>
              <w:rPr>
                <w:noProof/>
                <w:webHidden/>
              </w:rPr>
              <w:instrText xml:space="preserve"> PAGEREF _Toc216369534 \h </w:instrText>
            </w:r>
            <w:r>
              <w:rPr>
                <w:noProof/>
                <w:webHidden/>
              </w:rPr>
            </w:r>
            <w:r>
              <w:rPr>
                <w:noProof/>
                <w:webHidden/>
              </w:rPr>
              <w:fldChar w:fldCharType="separate"/>
            </w:r>
            <w:r>
              <w:rPr>
                <w:noProof/>
                <w:webHidden/>
              </w:rPr>
              <w:t>6</w:t>
            </w:r>
            <w:r>
              <w:rPr>
                <w:noProof/>
                <w:webHidden/>
              </w:rPr>
              <w:fldChar w:fldCharType="end"/>
            </w:r>
          </w:hyperlink>
        </w:p>
        <w:p w14:paraId="55DF6C75" w14:textId="720208FA" w:rsidR="00236CFD" w:rsidRDefault="00236CFD">
          <w:pPr>
            <w:pStyle w:val="TOC2"/>
            <w:tabs>
              <w:tab w:val="right" w:leader="dot" w:pos="9350"/>
            </w:tabs>
            <w:rPr>
              <w:rFonts w:asciiTheme="minorHAnsi" w:eastAsiaTheme="minorEastAsia" w:hAnsiTheme="minorHAnsi"/>
              <w:noProof/>
              <w:szCs w:val="24"/>
            </w:rPr>
          </w:pPr>
          <w:hyperlink w:anchor="_Toc216369535" w:history="1">
            <w:r w:rsidRPr="006A3B2A">
              <w:rPr>
                <w:rStyle w:val="Hyperlink"/>
                <w:noProof/>
              </w:rPr>
              <w:t>PESTLE Analysis</w:t>
            </w:r>
            <w:r>
              <w:rPr>
                <w:noProof/>
                <w:webHidden/>
              </w:rPr>
              <w:tab/>
            </w:r>
            <w:r>
              <w:rPr>
                <w:noProof/>
                <w:webHidden/>
              </w:rPr>
              <w:fldChar w:fldCharType="begin"/>
            </w:r>
            <w:r>
              <w:rPr>
                <w:noProof/>
                <w:webHidden/>
              </w:rPr>
              <w:instrText xml:space="preserve"> PAGEREF _Toc216369535 \h </w:instrText>
            </w:r>
            <w:r>
              <w:rPr>
                <w:noProof/>
                <w:webHidden/>
              </w:rPr>
            </w:r>
            <w:r>
              <w:rPr>
                <w:noProof/>
                <w:webHidden/>
              </w:rPr>
              <w:fldChar w:fldCharType="separate"/>
            </w:r>
            <w:r>
              <w:rPr>
                <w:noProof/>
                <w:webHidden/>
              </w:rPr>
              <w:t>7</w:t>
            </w:r>
            <w:r>
              <w:rPr>
                <w:noProof/>
                <w:webHidden/>
              </w:rPr>
              <w:fldChar w:fldCharType="end"/>
            </w:r>
          </w:hyperlink>
        </w:p>
        <w:p w14:paraId="775095DF" w14:textId="75C6B856" w:rsidR="00236CFD" w:rsidRDefault="00236CFD">
          <w:pPr>
            <w:pStyle w:val="TOC2"/>
            <w:tabs>
              <w:tab w:val="right" w:leader="dot" w:pos="9350"/>
            </w:tabs>
            <w:rPr>
              <w:rFonts w:asciiTheme="minorHAnsi" w:eastAsiaTheme="minorEastAsia" w:hAnsiTheme="minorHAnsi"/>
              <w:noProof/>
              <w:szCs w:val="24"/>
            </w:rPr>
          </w:pPr>
          <w:hyperlink w:anchor="_Toc216369536" w:history="1">
            <w:r w:rsidRPr="006A3B2A">
              <w:rPr>
                <w:rStyle w:val="Hyperlink"/>
                <w:noProof/>
              </w:rPr>
              <w:t>SMART Objectives for PulseOx SleepGuard Launch</w:t>
            </w:r>
            <w:r>
              <w:rPr>
                <w:noProof/>
                <w:webHidden/>
              </w:rPr>
              <w:tab/>
            </w:r>
            <w:r>
              <w:rPr>
                <w:noProof/>
                <w:webHidden/>
              </w:rPr>
              <w:fldChar w:fldCharType="begin"/>
            </w:r>
            <w:r>
              <w:rPr>
                <w:noProof/>
                <w:webHidden/>
              </w:rPr>
              <w:instrText xml:space="preserve"> PAGEREF _Toc216369536 \h </w:instrText>
            </w:r>
            <w:r>
              <w:rPr>
                <w:noProof/>
                <w:webHidden/>
              </w:rPr>
            </w:r>
            <w:r>
              <w:rPr>
                <w:noProof/>
                <w:webHidden/>
              </w:rPr>
              <w:fldChar w:fldCharType="separate"/>
            </w:r>
            <w:r>
              <w:rPr>
                <w:noProof/>
                <w:webHidden/>
              </w:rPr>
              <w:t>8</w:t>
            </w:r>
            <w:r>
              <w:rPr>
                <w:noProof/>
                <w:webHidden/>
              </w:rPr>
              <w:fldChar w:fldCharType="end"/>
            </w:r>
          </w:hyperlink>
        </w:p>
        <w:p w14:paraId="69929641" w14:textId="423574D0" w:rsidR="00236CFD" w:rsidRDefault="00236CFD">
          <w:pPr>
            <w:pStyle w:val="TOC1"/>
            <w:tabs>
              <w:tab w:val="right" w:leader="dot" w:pos="9350"/>
            </w:tabs>
            <w:rPr>
              <w:rFonts w:asciiTheme="minorHAnsi" w:eastAsiaTheme="minorEastAsia" w:hAnsiTheme="minorHAnsi"/>
              <w:noProof/>
              <w:szCs w:val="24"/>
            </w:rPr>
          </w:pPr>
          <w:hyperlink w:anchor="_Toc216369537" w:history="1">
            <w:r w:rsidRPr="006A3B2A">
              <w:rPr>
                <w:rStyle w:val="Hyperlink"/>
                <w:noProof/>
              </w:rPr>
              <w:t xml:space="preserve">d) </w:t>
            </w:r>
            <w:r w:rsidRPr="006A3B2A">
              <w:rPr>
                <w:rStyle w:val="Hyperlink"/>
                <w:noProof/>
                <w:highlight w:val="white"/>
              </w:rPr>
              <w:t>Identification of both the internal and external stakeholders through the integration of the the RACI Matrix, Stakeholder map, communication plan and an engagement plan</w:t>
            </w:r>
            <w:r>
              <w:rPr>
                <w:noProof/>
                <w:webHidden/>
              </w:rPr>
              <w:tab/>
            </w:r>
            <w:r>
              <w:rPr>
                <w:noProof/>
                <w:webHidden/>
              </w:rPr>
              <w:fldChar w:fldCharType="begin"/>
            </w:r>
            <w:r>
              <w:rPr>
                <w:noProof/>
                <w:webHidden/>
              </w:rPr>
              <w:instrText xml:space="preserve"> PAGEREF _Toc216369537 \h </w:instrText>
            </w:r>
            <w:r>
              <w:rPr>
                <w:noProof/>
                <w:webHidden/>
              </w:rPr>
            </w:r>
            <w:r>
              <w:rPr>
                <w:noProof/>
                <w:webHidden/>
              </w:rPr>
              <w:fldChar w:fldCharType="separate"/>
            </w:r>
            <w:r>
              <w:rPr>
                <w:noProof/>
                <w:webHidden/>
              </w:rPr>
              <w:t>9</w:t>
            </w:r>
            <w:r>
              <w:rPr>
                <w:noProof/>
                <w:webHidden/>
              </w:rPr>
              <w:fldChar w:fldCharType="end"/>
            </w:r>
          </w:hyperlink>
        </w:p>
        <w:p w14:paraId="379B1A66" w14:textId="026E3AD8" w:rsidR="00236CFD" w:rsidRDefault="00236CFD">
          <w:pPr>
            <w:pStyle w:val="TOC2"/>
            <w:tabs>
              <w:tab w:val="right" w:leader="dot" w:pos="9350"/>
            </w:tabs>
            <w:rPr>
              <w:rFonts w:asciiTheme="minorHAnsi" w:eastAsiaTheme="minorEastAsia" w:hAnsiTheme="minorHAnsi"/>
              <w:noProof/>
              <w:szCs w:val="24"/>
            </w:rPr>
          </w:pPr>
          <w:hyperlink w:anchor="_Toc216369538" w:history="1">
            <w:r w:rsidRPr="006A3B2A">
              <w:rPr>
                <w:rStyle w:val="Hyperlink"/>
                <w:noProof/>
              </w:rPr>
              <w:t>Exploring the Stakeholders’ Engagement Processes for the Selected Stakeholders and the Role of a Manager to Eliminate and Manage Conflict in Contrast with the 4C’s Model</w:t>
            </w:r>
            <w:r>
              <w:rPr>
                <w:noProof/>
                <w:webHidden/>
              </w:rPr>
              <w:tab/>
            </w:r>
            <w:r>
              <w:rPr>
                <w:noProof/>
                <w:webHidden/>
              </w:rPr>
              <w:fldChar w:fldCharType="begin"/>
            </w:r>
            <w:r>
              <w:rPr>
                <w:noProof/>
                <w:webHidden/>
              </w:rPr>
              <w:instrText xml:space="preserve"> PAGEREF _Toc216369538 \h </w:instrText>
            </w:r>
            <w:r>
              <w:rPr>
                <w:noProof/>
                <w:webHidden/>
              </w:rPr>
            </w:r>
            <w:r>
              <w:rPr>
                <w:noProof/>
                <w:webHidden/>
              </w:rPr>
              <w:fldChar w:fldCharType="separate"/>
            </w:r>
            <w:r>
              <w:rPr>
                <w:noProof/>
                <w:webHidden/>
              </w:rPr>
              <w:t>13</w:t>
            </w:r>
            <w:r>
              <w:rPr>
                <w:noProof/>
                <w:webHidden/>
              </w:rPr>
              <w:fldChar w:fldCharType="end"/>
            </w:r>
          </w:hyperlink>
        </w:p>
        <w:p w14:paraId="54508C47" w14:textId="3865C441" w:rsidR="00236CFD" w:rsidRDefault="00236CFD">
          <w:pPr>
            <w:pStyle w:val="TOC2"/>
            <w:tabs>
              <w:tab w:val="right" w:leader="dot" w:pos="9350"/>
            </w:tabs>
            <w:rPr>
              <w:rFonts w:asciiTheme="minorHAnsi" w:eastAsiaTheme="minorEastAsia" w:hAnsiTheme="minorHAnsi"/>
              <w:noProof/>
              <w:szCs w:val="24"/>
            </w:rPr>
          </w:pPr>
          <w:hyperlink w:anchor="_Toc216369539" w:history="1">
            <w:r w:rsidRPr="006A3B2A">
              <w:rPr>
                <w:rStyle w:val="Hyperlink"/>
                <w:rFonts w:eastAsia="Times New Roman"/>
                <w:noProof/>
              </w:rPr>
              <w:t>Preventing Issues</w:t>
            </w:r>
            <w:r w:rsidRPr="006A3B2A">
              <w:rPr>
                <w:rStyle w:val="Hyperlink"/>
                <w:noProof/>
              </w:rPr>
              <w:t xml:space="preserve"> as a Manager</w:t>
            </w:r>
            <w:r w:rsidRPr="006A3B2A">
              <w:rPr>
                <w:rStyle w:val="Hyperlink"/>
                <w:rFonts w:eastAsia="Times New Roman"/>
                <w:noProof/>
              </w:rPr>
              <w:t xml:space="preserve"> in the Project with the 4C’s Model</w:t>
            </w:r>
            <w:r>
              <w:rPr>
                <w:noProof/>
                <w:webHidden/>
              </w:rPr>
              <w:tab/>
            </w:r>
            <w:r>
              <w:rPr>
                <w:noProof/>
                <w:webHidden/>
              </w:rPr>
              <w:fldChar w:fldCharType="begin"/>
            </w:r>
            <w:r>
              <w:rPr>
                <w:noProof/>
                <w:webHidden/>
              </w:rPr>
              <w:instrText xml:space="preserve"> PAGEREF _Toc216369539 \h </w:instrText>
            </w:r>
            <w:r>
              <w:rPr>
                <w:noProof/>
                <w:webHidden/>
              </w:rPr>
            </w:r>
            <w:r>
              <w:rPr>
                <w:noProof/>
                <w:webHidden/>
              </w:rPr>
              <w:fldChar w:fldCharType="separate"/>
            </w:r>
            <w:r>
              <w:rPr>
                <w:noProof/>
                <w:webHidden/>
              </w:rPr>
              <w:t>16</w:t>
            </w:r>
            <w:r>
              <w:rPr>
                <w:noProof/>
                <w:webHidden/>
              </w:rPr>
              <w:fldChar w:fldCharType="end"/>
            </w:r>
          </w:hyperlink>
        </w:p>
        <w:p w14:paraId="312255BD" w14:textId="73C22284" w:rsidR="00236CFD" w:rsidRDefault="00236CFD">
          <w:pPr>
            <w:pStyle w:val="TOC1"/>
            <w:tabs>
              <w:tab w:val="right" w:leader="dot" w:pos="9350"/>
            </w:tabs>
            <w:rPr>
              <w:rFonts w:asciiTheme="minorHAnsi" w:eastAsiaTheme="minorEastAsia" w:hAnsiTheme="minorHAnsi"/>
              <w:noProof/>
              <w:szCs w:val="24"/>
            </w:rPr>
          </w:pPr>
          <w:hyperlink w:anchor="_Toc216369540" w:history="1">
            <w:r w:rsidRPr="006A3B2A">
              <w:rPr>
                <w:rStyle w:val="Hyperlink"/>
                <w:noProof/>
              </w:rPr>
              <w:t xml:space="preserve">e) </w:t>
            </w:r>
            <w:r w:rsidRPr="006A3B2A">
              <w:rPr>
                <w:rStyle w:val="Hyperlink"/>
                <w:noProof/>
                <w:highlight w:val="white"/>
              </w:rPr>
              <w:t>Importance and Impact of Stakeholder Engagement</w:t>
            </w:r>
            <w:r>
              <w:rPr>
                <w:noProof/>
                <w:webHidden/>
              </w:rPr>
              <w:tab/>
            </w:r>
            <w:r>
              <w:rPr>
                <w:noProof/>
                <w:webHidden/>
              </w:rPr>
              <w:fldChar w:fldCharType="begin"/>
            </w:r>
            <w:r>
              <w:rPr>
                <w:noProof/>
                <w:webHidden/>
              </w:rPr>
              <w:instrText xml:space="preserve"> PAGEREF _Toc216369540 \h </w:instrText>
            </w:r>
            <w:r>
              <w:rPr>
                <w:noProof/>
                <w:webHidden/>
              </w:rPr>
            </w:r>
            <w:r>
              <w:rPr>
                <w:noProof/>
                <w:webHidden/>
              </w:rPr>
              <w:fldChar w:fldCharType="separate"/>
            </w:r>
            <w:r>
              <w:rPr>
                <w:noProof/>
                <w:webHidden/>
              </w:rPr>
              <w:t>18</w:t>
            </w:r>
            <w:r>
              <w:rPr>
                <w:noProof/>
                <w:webHidden/>
              </w:rPr>
              <w:fldChar w:fldCharType="end"/>
            </w:r>
          </w:hyperlink>
        </w:p>
        <w:p w14:paraId="0D3FF440" w14:textId="650D4E7D" w:rsidR="00236CFD" w:rsidRDefault="00236CFD">
          <w:pPr>
            <w:pStyle w:val="TOC1"/>
            <w:tabs>
              <w:tab w:val="right" w:leader="dot" w:pos="9350"/>
            </w:tabs>
            <w:rPr>
              <w:rFonts w:asciiTheme="minorHAnsi" w:eastAsiaTheme="minorEastAsia" w:hAnsiTheme="minorHAnsi"/>
              <w:noProof/>
              <w:szCs w:val="24"/>
            </w:rPr>
          </w:pPr>
          <w:hyperlink w:anchor="_Toc216369541" w:history="1">
            <w:r w:rsidRPr="006A3B2A">
              <w:rPr>
                <w:rStyle w:val="Hyperlink"/>
                <w:noProof/>
              </w:rPr>
              <w:t>f) Recommendations for Further Stakeholder Engagement</w:t>
            </w:r>
            <w:r>
              <w:rPr>
                <w:noProof/>
                <w:webHidden/>
              </w:rPr>
              <w:tab/>
            </w:r>
            <w:r>
              <w:rPr>
                <w:noProof/>
                <w:webHidden/>
              </w:rPr>
              <w:fldChar w:fldCharType="begin"/>
            </w:r>
            <w:r>
              <w:rPr>
                <w:noProof/>
                <w:webHidden/>
              </w:rPr>
              <w:instrText xml:space="preserve"> PAGEREF _Toc216369541 \h </w:instrText>
            </w:r>
            <w:r>
              <w:rPr>
                <w:noProof/>
                <w:webHidden/>
              </w:rPr>
            </w:r>
            <w:r>
              <w:rPr>
                <w:noProof/>
                <w:webHidden/>
              </w:rPr>
              <w:fldChar w:fldCharType="separate"/>
            </w:r>
            <w:r>
              <w:rPr>
                <w:noProof/>
                <w:webHidden/>
              </w:rPr>
              <w:t>20</w:t>
            </w:r>
            <w:r>
              <w:rPr>
                <w:noProof/>
                <w:webHidden/>
              </w:rPr>
              <w:fldChar w:fldCharType="end"/>
            </w:r>
          </w:hyperlink>
        </w:p>
        <w:p w14:paraId="698A04C1" w14:textId="0325B75F" w:rsidR="00236CFD" w:rsidRDefault="00236CFD">
          <w:pPr>
            <w:pStyle w:val="TOC1"/>
            <w:tabs>
              <w:tab w:val="right" w:leader="dot" w:pos="9350"/>
            </w:tabs>
            <w:rPr>
              <w:rFonts w:asciiTheme="minorHAnsi" w:eastAsiaTheme="minorEastAsia" w:hAnsiTheme="minorHAnsi"/>
              <w:noProof/>
              <w:szCs w:val="24"/>
            </w:rPr>
          </w:pPr>
          <w:hyperlink w:anchor="_Toc216369542" w:history="1">
            <w:r w:rsidRPr="006A3B2A">
              <w:rPr>
                <w:rStyle w:val="Hyperlink"/>
                <w:noProof/>
                <w:highlight w:val="white"/>
              </w:rPr>
              <w:t>Conclusion</w:t>
            </w:r>
            <w:r>
              <w:rPr>
                <w:noProof/>
                <w:webHidden/>
              </w:rPr>
              <w:tab/>
            </w:r>
            <w:r>
              <w:rPr>
                <w:noProof/>
                <w:webHidden/>
              </w:rPr>
              <w:fldChar w:fldCharType="begin"/>
            </w:r>
            <w:r>
              <w:rPr>
                <w:noProof/>
                <w:webHidden/>
              </w:rPr>
              <w:instrText xml:space="preserve"> PAGEREF _Toc216369542 \h </w:instrText>
            </w:r>
            <w:r>
              <w:rPr>
                <w:noProof/>
                <w:webHidden/>
              </w:rPr>
            </w:r>
            <w:r>
              <w:rPr>
                <w:noProof/>
                <w:webHidden/>
              </w:rPr>
              <w:fldChar w:fldCharType="separate"/>
            </w:r>
            <w:r>
              <w:rPr>
                <w:noProof/>
                <w:webHidden/>
              </w:rPr>
              <w:t>21</w:t>
            </w:r>
            <w:r>
              <w:rPr>
                <w:noProof/>
                <w:webHidden/>
              </w:rPr>
              <w:fldChar w:fldCharType="end"/>
            </w:r>
          </w:hyperlink>
        </w:p>
        <w:p w14:paraId="6EE54138" w14:textId="4E8BEDCE" w:rsidR="00236CFD" w:rsidRDefault="00236CFD">
          <w:pPr>
            <w:pStyle w:val="TOC1"/>
            <w:tabs>
              <w:tab w:val="right" w:leader="dot" w:pos="9350"/>
            </w:tabs>
            <w:rPr>
              <w:rFonts w:asciiTheme="minorHAnsi" w:eastAsiaTheme="minorEastAsia" w:hAnsiTheme="minorHAnsi"/>
              <w:noProof/>
              <w:szCs w:val="24"/>
            </w:rPr>
          </w:pPr>
          <w:hyperlink w:anchor="_Toc216369543" w:history="1">
            <w:r w:rsidRPr="006A3B2A">
              <w:rPr>
                <w:rStyle w:val="Hyperlink"/>
                <w:noProof/>
              </w:rPr>
              <w:t>References</w:t>
            </w:r>
            <w:r>
              <w:rPr>
                <w:noProof/>
                <w:webHidden/>
              </w:rPr>
              <w:tab/>
            </w:r>
            <w:r>
              <w:rPr>
                <w:noProof/>
                <w:webHidden/>
              </w:rPr>
              <w:fldChar w:fldCharType="begin"/>
            </w:r>
            <w:r>
              <w:rPr>
                <w:noProof/>
                <w:webHidden/>
              </w:rPr>
              <w:instrText xml:space="preserve"> PAGEREF _Toc216369543 \h </w:instrText>
            </w:r>
            <w:r>
              <w:rPr>
                <w:noProof/>
                <w:webHidden/>
              </w:rPr>
            </w:r>
            <w:r>
              <w:rPr>
                <w:noProof/>
                <w:webHidden/>
              </w:rPr>
              <w:fldChar w:fldCharType="separate"/>
            </w:r>
            <w:r>
              <w:rPr>
                <w:noProof/>
                <w:webHidden/>
              </w:rPr>
              <w:t>22</w:t>
            </w:r>
            <w:r>
              <w:rPr>
                <w:noProof/>
                <w:webHidden/>
              </w:rPr>
              <w:fldChar w:fldCharType="end"/>
            </w:r>
          </w:hyperlink>
        </w:p>
        <w:p w14:paraId="0CD2664F" w14:textId="692EE42E" w:rsidR="00236CFD" w:rsidRDefault="00236CFD">
          <w:r>
            <w:rPr>
              <w:b/>
              <w:bCs/>
              <w:noProof/>
            </w:rPr>
            <w:fldChar w:fldCharType="end"/>
          </w:r>
        </w:p>
      </w:sdtContent>
    </w:sdt>
    <w:p w14:paraId="5F8FE7C4" w14:textId="33BC1226" w:rsidR="00986745" w:rsidRDefault="00986745" w:rsidP="00236CFD">
      <w:pPr>
        <w:spacing w:after="0"/>
      </w:pPr>
    </w:p>
    <w:p w14:paraId="01FE6991" w14:textId="77777777" w:rsidR="008D306A" w:rsidRPr="008D306A" w:rsidRDefault="008D306A" w:rsidP="00236CFD">
      <w:pPr>
        <w:spacing w:after="0"/>
      </w:pPr>
    </w:p>
    <w:p w14:paraId="4E53FC17" w14:textId="77777777" w:rsidR="008D306A" w:rsidRDefault="008D306A" w:rsidP="00236CFD">
      <w:pPr>
        <w:spacing w:after="0" w:line="278" w:lineRule="auto"/>
        <w:jc w:val="left"/>
        <w:rPr>
          <w:b/>
          <w:bCs/>
        </w:rPr>
      </w:pPr>
      <w:r>
        <w:rPr>
          <w:b/>
          <w:bCs/>
        </w:rPr>
        <w:br w:type="page"/>
      </w:r>
    </w:p>
    <w:p w14:paraId="2E6F670D" w14:textId="1DAB43C7" w:rsidR="008D306A" w:rsidRPr="008D306A" w:rsidRDefault="008D306A" w:rsidP="00236CFD">
      <w:pPr>
        <w:pStyle w:val="Heading1"/>
      </w:pPr>
      <w:bookmarkStart w:id="0" w:name="_Toc216368032"/>
      <w:bookmarkStart w:id="1" w:name="_Toc216369531"/>
      <w:r w:rsidRPr="008D306A">
        <w:lastRenderedPageBreak/>
        <w:t>a) Introduction to the Organisation (Sky Medical Technology)</w:t>
      </w:r>
      <w:bookmarkEnd w:id="0"/>
      <w:bookmarkEnd w:id="1"/>
    </w:p>
    <w:p w14:paraId="165E76C6" w14:textId="0A9B57AB" w:rsidR="008D306A" w:rsidRDefault="008D306A" w:rsidP="00236CFD">
      <w:pPr>
        <w:spacing w:after="0"/>
      </w:pPr>
      <w:r w:rsidRPr="008D306A">
        <w:t>Sky Medical Technology is a medical device company in the UK that specialises in the development of innovative bioelectronic wearable technologies. Such devices are good to improve clinical outcomes and provide better care to the patients. Its headquarters are located in High Wycombe within England and its operation can be in the broader areas of healthcare as well as medical technology. The associated vision of this company is making non-invasive yet easy-to-use therapeutic as well as monitoring devices.</w:t>
      </w:r>
      <w:sdt>
        <w:sdtPr>
          <w:id w:val="-2022006982"/>
          <w:citation/>
        </w:sdtPr>
        <w:sdtContent>
          <w:r w:rsidR="005D0823">
            <w:fldChar w:fldCharType="begin"/>
          </w:r>
          <w:r w:rsidR="005D0823">
            <w:instrText xml:space="preserve"> CITATION sky251 \l 1033 </w:instrText>
          </w:r>
          <w:r w:rsidR="005D0823">
            <w:fldChar w:fldCharType="separate"/>
          </w:r>
          <w:r w:rsidR="005D0823">
            <w:rPr>
              <w:noProof/>
            </w:rPr>
            <w:t xml:space="preserve"> </w:t>
          </w:r>
          <w:r w:rsidR="005D0823" w:rsidRPr="005D0823">
            <w:rPr>
              <w:noProof/>
            </w:rPr>
            <w:t>(skymedtech, 2025)</w:t>
          </w:r>
          <w:r w:rsidR="005D0823">
            <w:fldChar w:fldCharType="end"/>
          </w:r>
        </w:sdtContent>
      </w:sdt>
      <w:r w:rsidRPr="008D306A">
        <w:t xml:space="preserve"> The </w:t>
      </w:r>
      <w:proofErr w:type="spellStart"/>
      <w:r w:rsidRPr="008D306A">
        <w:t>OnPulse</w:t>
      </w:r>
      <w:proofErr w:type="spellEnd"/>
      <w:r w:rsidRPr="008D306A">
        <w:t xml:space="preserve"> neuromuscular electrostimulation technology is patented by Sky Medical Technology which is among the most successful innovations of the company</w:t>
      </w:r>
      <w:sdt>
        <w:sdtPr>
          <w:id w:val="637080033"/>
          <w:citation/>
        </w:sdtPr>
        <w:sdtContent>
          <w:r w:rsidR="00392B3E">
            <w:fldChar w:fldCharType="begin"/>
          </w:r>
          <w:r w:rsidR="00392B3E">
            <w:instrText xml:space="preserve"> CITATION sky25 \l 1033 </w:instrText>
          </w:r>
          <w:r w:rsidR="00392B3E">
            <w:fldChar w:fldCharType="separate"/>
          </w:r>
          <w:r w:rsidR="00392B3E">
            <w:rPr>
              <w:noProof/>
            </w:rPr>
            <w:t xml:space="preserve"> </w:t>
          </w:r>
          <w:r w:rsidR="00392B3E" w:rsidRPr="00392B3E">
            <w:rPr>
              <w:noProof/>
            </w:rPr>
            <w:t>(skymedtech, 2025)</w:t>
          </w:r>
          <w:r w:rsidR="00392B3E">
            <w:fldChar w:fldCharType="end"/>
          </w:r>
        </w:sdtContent>
      </w:sdt>
      <w:r w:rsidRPr="008D306A">
        <w:t>. Various hospitals and medical institutes make use of this technology due to its capability to reduce swelling and also improve blood circulation to assist speed up recovery after surgery. It is associated with a number of 100 to 150 people making the workforce and partners with different hospitals, researchers and many more like commercial distributors. The company focuses significantly on its R&amp;D followed up by clinical trials, product engineering and others like commercial distribution. The demand for wearable health technologies is on the rise in the UK, this company is aiming towards consumer-oriented monitoring devices apart from the therapeutic wearables as well</w:t>
      </w:r>
      <w:sdt>
        <w:sdtPr>
          <w:id w:val="-1284494304"/>
          <w:citation/>
        </w:sdtPr>
        <w:sdtContent>
          <w:r w:rsidR="005D0823">
            <w:fldChar w:fldCharType="begin"/>
          </w:r>
          <w:r w:rsidR="005D0823">
            <w:instrText xml:space="preserve"> CITATION Sta2519 \l 1033 </w:instrText>
          </w:r>
          <w:r w:rsidR="005D0823">
            <w:fldChar w:fldCharType="separate"/>
          </w:r>
          <w:r w:rsidR="005D0823">
            <w:rPr>
              <w:noProof/>
            </w:rPr>
            <w:t xml:space="preserve"> </w:t>
          </w:r>
          <w:r w:rsidR="005D0823" w:rsidRPr="005D0823">
            <w:rPr>
              <w:noProof/>
            </w:rPr>
            <w:t>(Statista, 2025)</w:t>
          </w:r>
          <w:r w:rsidR="005D0823">
            <w:fldChar w:fldCharType="end"/>
          </w:r>
        </w:sdtContent>
      </w:sdt>
      <w:r w:rsidRPr="008D306A">
        <w:t>. The project plan is to develop a wearable, named PulseOx SleepGuard that is a user-friendly product.</w:t>
      </w:r>
    </w:p>
    <w:p w14:paraId="1550D851" w14:textId="77777777" w:rsidR="008D306A" w:rsidRDefault="008D306A" w:rsidP="00236CFD">
      <w:pPr>
        <w:spacing w:after="0" w:line="278" w:lineRule="auto"/>
        <w:jc w:val="left"/>
        <w:rPr>
          <w:b/>
          <w:bCs/>
        </w:rPr>
      </w:pPr>
      <w:r>
        <w:rPr>
          <w:b/>
          <w:bCs/>
        </w:rPr>
        <w:br w:type="page"/>
      </w:r>
    </w:p>
    <w:p w14:paraId="02D11B65" w14:textId="1BA147EC" w:rsidR="008D306A" w:rsidRPr="008D306A" w:rsidRDefault="008D306A" w:rsidP="00236CFD">
      <w:pPr>
        <w:pStyle w:val="Heading2"/>
        <w:spacing w:before="0" w:after="0"/>
      </w:pPr>
      <w:bookmarkStart w:id="2" w:name="_Toc216368033"/>
      <w:bookmarkStart w:id="3" w:name="_Toc216369532"/>
      <w:r w:rsidRPr="008D306A">
        <w:lastRenderedPageBreak/>
        <w:t>b) Project Outline and Detailed Explanation</w:t>
      </w:r>
      <w:bookmarkEnd w:id="2"/>
      <w:bookmarkEnd w:id="3"/>
    </w:p>
    <w:p w14:paraId="2B14919D" w14:textId="77777777" w:rsidR="008D306A" w:rsidRPr="008D306A" w:rsidRDefault="008D306A" w:rsidP="00236CFD">
      <w:pPr>
        <w:spacing w:after="0"/>
      </w:pPr>
      <w:r w:rsidRPr="008D306A">
        <w:t>The project manager in this case would be associated with the task of creation and introduction of product PulseOx SleepGuard, by Sky Medical Technology. It would be able to monitor heart rate followed up by blood oxygen saturation (SpO₂) and sleep cycles as well. This will be great for providing quick feedback about cardiological conditions or even respiratory equilibrium and the quality of sleep. It is to be released in the market within six months as a part of the strategic plan of this comedy that will have several stages.</w:t>
      </w:r>
    </w:p>
    <w:p w14:paraId="4F22F60C" w14:textId="77777777" w:rsidR="008D306A" w:rsidRPr="008D306A" w:rsidRDefault="008D306A" w:rsidP="00236CFD">
      <w:pPr>
        <w:spacing w:after="0"/>
      </w:pPr>
      <w:r w:rsidRPr="008D306A">
        <w:rPr>
          <w:b/>
          <w:bCs/>
          <w:i/>
          <w:iCs/>
        </w:rPr>
        <w:t>Product development phase</w:t>
      </w:r>
      <w:r w:rsidRPr="008D306A">
        <w:rPr>
          <w:i/>
          <w:iCs/>
        </w:rPr>
        <w:t> </w:t>
      </w:r>
    </w:p>
    <w:p w14:paraId="0B461C2E" w14:textId="1F3BF7AD" w:rsidR="008D306A" w:rsidRPr="008D306A" w:rsidRDefault="008D306A" w:rsidP="00236CFD">
      <w:pPr>
        <w:spacing w:after="0"/>
      </w:pPr>
      <w:r w:rsidRPr="008D306A">
        <w:t xml:space="preserve">At the starting, there will be specifications of technical aspects along with the integration </w:t>
      </w:r>
      <w:r w:rsidR="005D0823" w:rsidRPr="008D306A">
        <w:t>of sensor</w:t>
      </w:r>
      <w:r w:rsidRPr="008D306A">
        <w:t xml:space="preserve"> technology and systems for data precision in developing the product. An active collaboration with the R&amp;D along with engineering as well as clinical validation teams would be needed here, in order to meet the medical-grade standards</w:t>
      </w:r>
      <w:sdt>
        <w:sdtPr>
          <w:id w:val="1334803901"/>
          <w:citation/>
        </w:sdtPr>
        <w:sdtContent>
          <w:r w:rsidR="005D0823">
            <w:fldChar w:fldCharType="begin"/>
          </w:r>
          <w:r w:rsidR="005D0823">
            <w:instrText xml:space="preserve"> CITATION Ali24 \l 1033 </w:instrText>
          </w:r>
          <w:r w:rsidR="005D0823">
            <w:fldChar w:fldCharType="separate"/>
          </w:r>
          <w:r w:rsidR="005D0823">
            <w:rPr>
              <w:noProof/>
            </w:rPr>
            <w:t xml:space="preserve"> </w:t>
          </w:r>
          <w:r w:rsidR="005D0823" w:rsidRPr="005D0823">
            <w:rPr>
              <w:noProof/>
            </w:rPr>
            <w:t>(Raeburn, 2024)</w:t>
          </w:r>
          <w:r w:rsidR="005D0823">
            <w:fldChar w:fldCharType="end"/>
          </w:r>
        </w:sdtContent>
      </w:sdt>
      <w:r w:rsidRPr="008D306A">
        <w:t>.</w:t>
      </w:r>
    </w:p>
    <w:p w14:paraId="1BB3C0D1" w14:textId="77777777" w:rsidR="008D306A" w:rsidRPr="008D306A" w:rsidRDefault="008D306A" w:rsidP="00236CFD">
      <w:pPr>
        <w:spacing w:after="0"/>
      </w:pPr>
      <w:r w:rsidRPr="008D306A">
        <w:rPr>
          <w:b/>
          <w:bCs/>
          <w:i/>
          <w:iCs/>
        </w:rPr>
        <w:t>Software development component</w:t>
      </w:r>
      <w:r w:rsidRPr="008D306A">
        <w:rPr>
          <w:i/>
          <w:iCs/>
        </w:rPr>
        <w:t> </w:t>
      </w:r>
    </w:p>
    <w:p w14:paraId="59F8DCEE" w14:textId="77777777" w:rsidR="008D306A" w:rsidRPr="008D306A" w:rsidRDefault="008D306A" w:rsidP="00236CFD">
      <w:pPr>
        <w:spacing w:after="0"/>
      </w:pPr>
      <w:r w:rsidRPr="008D306A">
        <w:t>Efficient development of the software is another vital phase of this project process which includes designing a mobile application to assist the users. There will be dashboards, notifications for heart health, oxygen levels and any kind of inconsistency in sleep. Adherence with the GDPR regulations would also be ensured along with foresting a cloud-based and secure data storage system. </w:t>
      </w:r>
    </w:p>
    <w:p w14:paraId="3B40697B" w14:textId="77777777" w:rsidR="008D306A" w:rsidRPr="008D306A" w:rsidRDefault="008D306A" w:rsidP="00236CFD">
      <w:pPr>
        <w:spacing w:after="0"/>
      </w:pPr>
      <w:r w:rsidRPr="008D306A">
        <w:rPr>
          <w:b/>
          <w:bCs/>
          <w:i/>
          <w:iCs/>
        </w:rPr>
        <w:t>Commercial preparation stage</w:t>
      </w:r>
    </w:p>
    <w:p w14:paraId="311B776A" w14:textId="23D3B51D" w:rsidR="008D306A" w:rsidRPr="008D306A" w:rsidRDefault="008D306A" w:rsidP="00236CFD">
      <w:pPr>
        <w:spacing w:after="0"/>
      </w:pPr>
      <w:r w:rsidRPr="008D306A">
        <w:t>Marketing efforts, pricing policies, flow of distribution networks and others are some important aspects of its commercial preparation. Product marketing, coordination of the customers via sales and other strategies would be ensured in this very phase</w:t>
      </w:r>
      <w:sdt>
        <w:sdtPr>
          <w:id w:val="-776327108"/>
          <w:citation/>
        </w:sdtPr>
        <w:sdtContent>
          <w:r w:rsidR="005D0823">
            <w:fldChar w:fldCharType="begin"/>
          </w:r>
          <w:r w:rsidR="005D0823">
            <w:instrText xml:space="preserve"> CITATION For2563 \l 1033 </w:instrText>
          </w:r>
          <w:r w:rsidR="005D0823">
            <w:fldChar w:fldCharType="separate"/>
          </w:r>
          <w:r w:rsidR="005D0823">
            <w:rPr>
              <w:noProof/>
            </w:rPr>
            <w:t xml:space="preserve"> </w:t>
          </w:r>
          <w:r w:rsidR="005D0823" w:rsidRPr="005D0823">
            <w:rPr>
              <w:noProof/>
            </w:rPr>
            <w:t>(Forbes, 2025)</w:t>
          </w:r>
          <w:r w:rsidR="005D0823">
            <w:fldChar w:fldCharType="end"/>
          </w:r>
        </w:sdtContent>
      </w:sdt>
      <w:r w:rsidRPr="008D306A">
        <w:t>.</w:t>
      </w:r>
    </w:p>
    <w:p w14:paraId="05C0EE49" w14:textId="77777777" w:rsidR="008D306A" w:rsidRPr="008D306A" w:rsidRDefault="008D306A" w:rsidP="00236CFD">
      <w:pPr>
        <w:spacing w:after="0"/>
      </w:pPr>
      <w:r w:rsidRPr="008D306A">
        <w:rPr>
          <w:b/>
          <w:bCs/>
          <w:i/>
          <w:iCs/>
        </w:rPr>
        <w:t>Stakeholder engagement</w:t>
      </w:r>
      <w:r w:rsidRPr="008D306A">
        <w:rPr>
          <w:i/>
          <w:iCs/>
        </w:rPr>
        <w:t> </w:t>
      </w:r>
    </w:p>
    <w:p w14:paraId="558212A7" w14:textId="3E612801" w:rsidR="008D306A" w:rsidRPr="008D306A" w:rsidRDefault="008D306A" w:rsidP="00236CFD">
      <w:pPr>
        <w:spacing w:after="0"/>
      </w:pPr>
      <w:r w:rsidRPr="008D306A">
        <w:t>The success of the project severely depends on the engagement levels of the stakeholder</w:t>
      </w:r>
      <w:r w:rsidR="005D0823">
        <w:t xml:space="preserve"> (</w:t>
      </w:r>
      <w:r w:rsidR="005D0823" w:rsidRPr="005D0823">
        <w:t>Kujala</w:t>
      </w:r>
      <w:r w:rsidR="005D0823">
        <w:t xml:space="preserve"> </w:t>
      </w:r>
      <w:r w:rsidR="005D0823" w:rsidRPr="005D0823">
        <w:rPr>
          <w:i/>
          <w:iCs/>
        </w:rPr>
        <w:t>et al</w:t>
      </w:r>
      <w:r w:rsidR="005D0823">
        <w:t xml:space="preserve">., </w:t>
      </w:r>
      <w:r w:rsidR="005D0823" w:rsidRPr="005D0823">
        <w:t>2022</w:t>
      </w:r>
      <w:r w:rsidR="005D0823">
        <w:t>)</w:t>
      </w:r>
      <w:r w:rsidRPr="008D306A">
        <w:t>. It intends to launch PulseOx SleepGuard through structured engagement mechanisms as a competitive as well as reliable and also innovative health-monitoring wearable.</w:t>
      </w:r>
    </w:p>
    <w:p w14:paraId="637B617C" w14:textId="77777777" w:rsidR="008D306A" w:rsidRDefault="008D306A" w:rsidP="00236CFD">
      <w:pPr>
        <w:spacing w:after="0" w:line="278" w:lineRule="auto"/>
        <w:jc w:val="left"/>
        <w:rPr>
          <w:b/>
          <w:bCs/>
        </w:rPr>
      </w:pPr>
      <w:r>
        <w:rPr>
          <w:b/>
          <w:bCs/>
        </w:rPr>
        <w:br w:type="page"/>
      </w:r>
    </w:p>
    <w:p w14:paraId="7A1269FB" w14:textId="28DDE3DD" w:rsidR="008D306A" w:rsidRPr="008D306A" w:rsidRDefault="008D306A" w:rsidP="00236CFD">
      <w:pPr>
        <w:pStyle w:val="Heading1"/>
      </w:pPr>
      <w:bookmarkStart w:id="4" w:name="_Toc216368034"/>
      <w:bookmarkStart w:id="5" w:name="_Toc216369533"/>
      <w:r w:rsidRPr="008D306A">
        <w:lastRenderedPageBreak/>
        <w:t>c) Situational Analysis: SWOT, PESTLE and SMART Objectives</w:t>
      </w:r>
      <w:bookmarkEnd w:id="4"/>
      <w:bookmarkEnd w:id="5"/>
      <w:r w:rsidRPr="008D306A">
        <w:t> </w:t>
      </w:r>
    </w:p>
    <w:p w14:paraId="2F78AFCE" w14:textId="77777777" w:rsidR="008D306A" w:rsidRPr="008D306A" w:rsidRDefault="008D306A" w:rsidP="00236CFD">
      <w:pPr>
        <w:pStyle w:val="Heading2"/>
        <w:spacing w:before="0" w:after="0"/>
      </w:pPr>
      <w:bookmarkStart w:id="6" w:name="_Toc216368035"/>
      <w:bookmarkStart w:id="7" w:name="_Toc216369534"/>
      <w:r w:rsidRPr="008D306A">
        <w:t>SWOT Analysis</w:t>
      </w:r>
      <w:bookmarkEnd w:id="6"/>
      <w:bookmarkEnd w:id="7"/>
    </w:p>
    <w:tbl>
      <w:tblPr>
        <w:tblW w:w="9360" w:type="dxa"/>
        <w:tblCellMar>
          <w:top w:w="15" w:type="dxa"/>
          <w:left w:w="15" w:type="dxa"/>
          <w:bottom w:w="15" w:type="dxa"/>
          <w:right w:w="15" w:type="dxa"/>
        </w:tblCellMar>
        <w:tblLook w:val="04A0" w:firstRow="1" w:lastRow="0" w:firstColumn="1" w:lastColumn="0" w:noHBand="0" w:noVBand="1"/>
      </w:tblPr>
      <w:tblGrid>
        <w:gridCol w:w="5280"/>
        <w:gridCol w:w="4080"/>
      </w:tblGrid>
      <w:tr w:rsidR="005D0823" w:rsidRPr="008D306A" w14:paraId="33581724" w14:textId="77777777" w:rsidTr="008D306A">
        <w:tc>
          <w:tcPr>
            <w:tcW w:w="0" w:type="auto"/>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hideMark/>
          </w:tcPr>
          <w:p w14:paraId="43FD41C9" w14:textId="4BCA8DF2" w:rsidR="008D306A" w:rsidRPr="008D306A" w:rsidRDefault="008D306A" w:rsidP="00236CFD">
            <w:pPr>
              <w:tabs>
                <w:tab w:val="center" w:pos="2174"/>
                <w:tab w:val="left" w:pos="3105"/>
              </w:tabs>
              <w:spacing w:after="0"/>
              <w:jc w:val="left"/>
              <w:rPr>
                <w:b/>
                <w:bCs/>
                <w:i/>
                <w:iCs/>
              </w:rPr>
            </w:pPr>
            <w:r>
              <w:rPr>
                <w:b/>
                <w:bCs/>
                <w:i/>
                <w:iCs/>
              </w:rPr>
              <w:tab/>
            </w:r>
            <w:r w:rsidRPr="008D306A">
              <w:rPr>
                <w:b/>
                <w:bCs/>
                <w:i/>
                <w:iCs/>
              </w:rPr>
              <w:t>Strengths</w:t>
            </w:r>
            <w:r>
              <w:rPr>
                <w:b/>
                <w:bCs/>
                <w:i/>
                <w:iCs/>
              </w:rPr>
              <w:tab/>
            </w:r>
          </w:p>
        </w:tc>
        <w:tc>
          <w:tcPr>
            <w:tcW w:w="0" w:type="auto"/>
            <w:tcBorders>
              <w:top w:val="single" w:sz="8" w:space="0" w:color="000000"/>
              <w:left w:val="single" w:sz="8" w:space="0" w:color="000000"/>
              <w:bottom w:val="single" w:sz="8" w:space="0" w:color="000000"/>
              <w:right w:val="single" w:sz="8" w:space="0" w:color="000000"/>
            </w:tcBorders>
            <w:shd w:val="clear" w:color="auto" w:fill="F4B083" w:themeFill="accent2" w:themeFillTint="99"/>
            <w:tcMar>
              <w:top w:w="100" w:type="dxa"/>
              <w:left w:w="100" w:type="dxa"/>
              <w:bottom w:w="100" w:type="dxa"/>
              <w:right w:w="100" w:type="dxa"/>
            </w:tcMar>
            <w:hideMark/>
          </w:tcPr>
          <w:p w14:paraId="65D18E97" w14:textId="359A24E6" w:rsidR="008D306A" w:rsidRPr="008D306A" w:rsidRDefault="008D306A" w:rsidP="00236CFD">
            <w:pPr>
              <w:spacing w:after="0"/>
              <w:jc w:val="center"/>
              <w:rPr>
                <w:b/>
                <w:bCs/>
                <w:i/>
                <w:iCs/>
              </w:rPr>
            </w:pPr>
            <w:r w:rsidRPr="008D306A">
              <w:rPr>
                <w:b/>
                <w:bCs/>
                <w:i/>
                <w:iCs/>
              </w:rPr>
              <w:t>Weaknesses</w:t>
            </w:r>
          </w:p>
        </w:tc>
      </w:tr>
      <w:tr w:rsidR="005D0823" w:rsidRPr="008D306A" w14:paraId="4F94917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C8337" w14:textId="4FCF309D" w:rsidR="008D306A" w:rsidRPr="008D306A" w:rsidRDefault="008D306A" w:rsidP="00236CFD">
            <w:pPr>
              <w:spacing w:after="0"/>
            </w:pPr>
            <w:r w:rsidRPr="008D306A">
              <w:t>1. Sky Medical Technology is quite popular for its clinically validated wearable devices which can solidify its entrance in the market of consumer health-monitoring</w:t>
            </w:r>
            <w:sdt>
              <w:sdtPr>
                <w:id w:val="1835103822"/>
                <w:citation/>
              </w:sdtPr>
              <w:sdtContent>
                <w:r w:rsidR="005D0823">
                  <w:fldChar w:fldCharType="begin"/>
                </w:r>
                <w:r w:rsidR="005D0823">
                  <w:instrText xml:space="preserve"> CITATION sky251 \l 1033 </w:instrText>
                </w:r>
                <w:r w:rsidR="005D0823">
                  <w:fldChar w:fldCharType="separate"/>
                </w:r>
                <w:r w:rsidR="005D0823">
                  <w:rPr>
                    <w:noProof/>
                  </w:rPr>
                  <w:t xml:space="preserve"> </w:t>
                </w:r>
                <w:r w:rsidR="005D0823" w:rsidRPr="005D0823">
                  <w:rPr>
                    <w:noProof/>
                  </w:rPr>
                  <w:t>(skymedtech, 2025)</w:t>
                </w:r>
                <w:r w:rsidR="005D0823">
                  <w:fldChar w:fldCharType="end"/>
                </w:r>
              </w:sdtContent>
            </w:sdt>
            <w:r w:rsidRPr="008D306A">
              <w:t>.</w:t>
            </w:r>
          </w:p>
          <w:p w14:paraId="24C2A53B" w14:textId="77777777" w:rsidR="008D306A" w:rsidRPr="008D306A" w:rsidRDefault="008D306A" w:rsidP="00236CFD">
            <w:pPr>
              <w:spacing w:after="0"/>
            </w:pPr>
            <w:r w:rsidRPr="008D306A">
              <w:t>2. Associated proprietary technologies and also the R&amp;D abilities serve to its competitive edge to come up with medically credible products.</w:t>
            </w:r>
          </w:p>
          <w:p w14:paraId="5A499083" w14:textId="77777777" w:rsidR="008D306A" w:rsidRPr="008D306A" w:rsidRDefault="008D306A" w:rsidP="00236CFD">
            <w:pPr>
              <w:spacing w:after="0"/>
            </w:pPr>
            <w:r w:rsidRPr="008D306A">
              <w:t>3. Its long-term and secure relations with clinicians, hospitals and many more is good to ensure credibility that will be helpful in its acceptance.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39E7C0" w14:textId="77777777" w:rsidR="008D306A" w:rsidRPr="008D306A" w:rsidRDefault="008D306A" w:rsidP="00236CFD">
            <w:pPr>
              <w:spacing w:after="0"/>
            </w:pPr>
            <w:r w:rsidRPr="008D306A">
              <w:t>1. Therapeutic medical devices outline the experience of this business where mass-market consumer wearables may raise concerns. </w:t>
            </w:r>
          </w:p>
          <w:p w14:paraId="6F7C9BBF" w14:textId="77777777" w:rsidR="008D306A" w:rsidRPr="008D306A" w:rsidRDefault="008D306A" w:rsidP="00236CFD">
            <w:pPr>
              <w:spacing w:after="0"/>
            </w:pPr>
            <w:r w:rsidRPr="008D306A">
              <w:t>2. Difficulties or issues can be there in the areas of branding or the establishment of a consumer-centric distribution network. </w:t>
            </w:r>
          </w:p>
          <w:p w14:paraId="1A6FD6EA" w14:textId="6F82D461" w:rsidR="008D306A" w:rsidRPr="008D306A" w:rsidRDefault="008D306A" w:rsidP="00236CFD">
            <w:pPr>
              <w:spacing w:after="0"/>
            </w:pPr>
            <w:r w:rsidRPr="008D306A">
              <w:t>3. This company also has a disadvantage in terms of a scale of production as compared to big global competitors such as Fitbit or even Garmin</w:t>
            </w:r>
            <w:sdt>
              <w:sdtPr>
                <w:id w:val="1976714262"/>
                <w:citation/>
              </w:sdtPr>
              <w:sdtContent>
                <w:r w:rsidR="005D0823">
                  <w:fldChar w:fldCharType="begin"/>
                </w:r>
                <w:r w:rsidR="005D0823">
                  <w:instrText xml:space="preserve"> CITATION Gar25 \l 1033 </w:instrText>
                </w:r>
                <w:r w:rsidR="005D0823">
                  <w:fldChar w:fldCharType="separate"/>
                </w:r>
                <w:r w:rsidR="005D0823">
                  <w:rPr>
                    <w:noProof/>
                  </w:rPr>
                  <w:t xml:space="preserve"> </w:t>
                </w:r>
                <w:r w:rsidR="005D0823" w:rsidRPr="005D0823">
                  <w:rPr>
                    <w:noProof/>
                  </w:rPr>
                  <w:t>(Garmin, 2025)</w:t>
                </w:r>
                <w:r w:rsidR="005D0823">
                  <w:fldChar w:fldCharType="end"/>
                </w:r>
              </w:sdtContent>
            </w:sdt>
            <w:r w:rsidRPr="008D306A">
              <w:t>. </w:t>
            </w:r>
          </w:p>
        </w:tc>
      </w:tr>
      <w:tr w:rsidR="005D0823" w:rsidRPr="008D306A" w14:paraId="59D75093" w14:textId="77777777" w:rsidTr="008D306A">
        <w:tc>
          <w:tcPr>
            <w:tcW w:w="0" w:type="auto"/>
            <w:tcBorders>
              <w:top w:val="single" w:sz="8" w:space="0" w:color="000000"/>
              <w:left w:val="single" w:sz="8" w:space="0" w:color="000000"/>
              <w:bottom w:val="single" w:sz="8" w:space="0" w:color="000000"/>
              <w:right w:val="single" w:sz="8" w:space="0" w:color="000000"/>
            </w:tcBorders>
            <w:shd w:val="clear" w:color="auto" w:fill="9CC2E5" w:themeFill="accent5" w:themeFillTint="99"/>
            <w:tcMar>
              <w:top w:w="100" w:type="dxa"/>
              <w:left w:w="100" w:type="dxa"/>
              <w:bottom w:w="100" w:type="dxa"/>
              <w:right w:w="100" w:type="dxa"/>
            </w:tcMar>
            <w:hideMark/>
          </w:tcPr>
          <w:p w14:paraId="119D86DB" w14:textId="75866252" w:rsidR="008D306A" w:rsidRPr="008D306A" w:rsidRDefault="008D306A" w:rsidP="00236CFD">
            <w:pPr>
              <w:spacing w:after="0"/>
              <w:jc w:val="center"/>
              <w:rPr>
                <w:b/>
                <w:bCs/>
                <w:i/>
                <w:iCs/>
              </w:rPr>
            </w:pPr>
            <w:r w:rsidRPr="008D306A">
              <w:rPr>
                <w:b/>
                <w:bCs/>
                <w:i/>
                <w:iCs/>
              </w:rPr>
              <w:t>Opportunities</w:t>
            </w:r>
          </w:p>
        </w:tc>
        <w:tc>
          <w:tcPr>
            <w:tcW w:w="0" w:type="auto"/>
            <w:tcBorders>
              <w:top w:val="single" w:sz="8" w:space="0" w:color="000000"/>
              <w:left w:val="single" w:sz="8" w:space="0" w:color="000000"/>
              <w:bottom w:val="single" w:sz="8" w:space="0" w:color="000000"/>
              <w:right w:val="single" w:sz="8" w:space="0" w:color="000000"/>
            </w:tcBorders>
            <w:shd w:val="clear" w:color="auto" w:fill="FFD966" w:themeFill="accent4" w:themeFillTint="99"/>
            <w:tcMar>
              <w:top w:w="100" w:type="dxa"/>
              <w:left w:w="100" w:type="dxa"/>
              <w:bottom w:w="100" w:type="dxa"/>
              <w:right w:w="100" w:type="dxa"/>
            </w:tcMar>
            <w:hideMark/>
          </w:tcPr>
          <w:p w14:paraId="634B465D" w14:textId="3F76CAAA" w:rsidR="008D306A" w:rsidRPr="008D306A" w:rsidRDefault="008D306A" w:rsidP="00236CFD">
            <w:pPr>
              <w:spacing w:after="0"/>
              <w:jc w:val="center"/>
              <w:rPr>
                <w:b/>
                <w:bCs/>
                <w:i/>
                <w:iCs/>
              </w:rPr>
            </w:pPr>
            <w:r w:rsidRPr="008D306A">
              <w:rPr>
                <w:b/>
                <w:bCs/>
                <w:i/>
                <w:iCs/>
              </w:rPr>
              <w:t>Threats</w:t>
            </w:r>
          </w:p>
        </w:tc>
      </w:tr>
      <w:tr w:rsidR="005D0823" w:rsidRPr="008D306A" w14:paraId="3628ECC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AFBBB" w14:textId="6FB535C4" w:rsidR="008D306A" w:rsidRPr="008D306A" w:rsidRDefault="008D306A" w:rsidP="00236CFD">
            <w:pPr>
              <w:spacing w:after="0"/>
            </w:pPr>
            <w:r w:rsidRPr="008D306A">
              <w:t>1. The wearable health market in this country is flourishing fueled by rising demand in consumers' needs in preventive health monitoring</w:t>
            </w:r>
            <w:r w:rsidR="005D0823">
              <w:t xml:space="preserve"> (</w:t>
            </w:r>
            <w:r w:rsidR="005D0823" w:rsidRPr="005D0823">
              <w:t>Davis</w:t>
            </w:r>
            <w:r w:rsidR="005D0823">
              <w:t xml:space="preserve"> </w:t>
            </w:r>
            <w:r w:rsidR="005D0823" w:rsidRPr="005D0823">
              <w:rPr>
                <w:i/>
                <w:iCs/>
              </w:rPr>
              <w:t>et al</w:t>
            </w:r>
            <w:r w:rsidR="005D0823">
              <w:t xml:space="preserve">., </w:t>
            </w:r>
            <w:r w:rsidR="005D0823" w:rsidRPr="005D0823">
              <w:t>2022</w:t>
            </w:r>
            <w:r w:rsidR="005D0823">
              <w:t>)</w:t>
            </w:r>
            <w:r w:rsidRPr="008D306A">
              <w:t>.</w:t>
            </w:r>
          </w:p>
          <w:p w14:paraId="55D81717" w14:textId="77777777" w:rsidR="008D306A" w:rsidRPr="008D306A" w:rsidRDefault="008D306A" w:rsidP="00236CFD">
            <w:pPr>
              <w:spacing w:after="0"/>
            </w:pPr>
            <w:r w:rsidRPr="008D306A">
              <w:t>2. Its potential partnerships with NHS activities or private health insurance firms may assist to enhance acceptance. </w:t>
            </w:r>
          </w:p>
          <w:p w14:paraId="5DFAA53F" w14:textId="77777777" w:rsidR="008D306A" w:rsidRPr="008D306A" w:rsidRDefault="008D306A" w:rsidP="00236CFD">
            <w:pPr>
              <w:spacing w:after="0"/>
            </w:pPr>
            <w:r w:rsidRPr="008D306A">
              <w:t>3. The rise in AI-powered analytics is in line with the improvement of the product along with future upgrade settings.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23E32" w14:textId="77777777" w:rsidR="008D306A" w:rsidRPr="008D306A" w:rsidRDefault="008D306A" w:rsidP="00236CFD">
            <w:pPr>
              <w:spacing w:after="0"/>
            </w:pPr>
            <w:r w:rsidRPr="008D306A">
              <w:t>1. A significant level of competition would be there from popular global brands rising to a point of risk in this case. </w:t>
            </w:r>
          </w:p>
          <w:p w14:paraId="1EB32F58" w14:textId="77777777" w:rsidR="008D306A" w:rsidRDefault="008D306A" w:rsidP="00236CFD">
            <w:pPr>
              <w:spacing w:after="0"/>
            </w:pPr>
            <w:r w:rsidRPr="008D306A">
              <w:t>2. Apart from that, the chance of rapid technological alterations may impact the situation by making the products obsolete if the innovation fails to keep up with the trends. </w:t>
            </w:r>
          </w:p>
          <w:p w14:paraId="4F276A61" w14:textId="3DEF4191" w:rsidR="008D306A" w:rsidRPr="008D306A" w:rsidRDefault="008D306A" w:rsidP="00236CFD">
            <w:pPr>
              <w:spacing w:after="0"/>
            </w:pPr>
            <w:r w:rsidRPr="008D306A">
              <w:t xml:space="preserve">3. There are some concerns about the timely delivery of the products and the </w:t>
            </w:r>
            <w:r w:rsidRPr="008D306A">
              <w:lastRenderedPageBreak/>
              <w:t>trust of the users that depend on regulatory changes, cybersecurity issues and supply chain disruptions.</w:t>
            </w:r>
          </w:p>
        </w:tc>
      </w:tr>
    </w:tbl>
    <w:p w14:paraId="5B11149E" w14:textId="77777777" w:rsidR="008D306A" w:rsidRPr="008D306A" w:rsidRDefault="008D306A" w:rsidP="00236CFD">
      <w:pPr>
        <w:pStyle w:val="Heading2"/>
        <w:spacing w:before="0" w:after="0"/>
      </w:pPr>
      <w:bookmarkStart w:id="8" w:name="_Toc216368036"/>
      <w:bookmarkStart w:id="9" w:name="_Toc216369535"/>
      <w:r w:rsidRPr="008D306A">
        <w:lastRenderedPageBreak/>
        <w:t>PESTLE Analysis</w:t>
      </w:r>
      <w:bookmarkEnd w:id="8"/>
      <w:bookmarkEnd w:id="9"/>
    </w:p>
    <w:tbl>
      <w:tblPr>
        <w:tblW w:w="9360" w:type="dxa"/>
        <w:tblCellMar>
          <w:top w:w="15" w:type="dxa"/>
          <w:left w:w="15" w:type="dxa"/>
          <w:bottom w:w="15" w:type="dxa"/>
          <w:right w:w="15" w:type="dxa"/>
        </w:tblCellMar>
        <w:tblLook w:val="04A0" w:firstRow="1" w:lastRow="0" w:firstColumn="1" w:lastColumn="0" w:noHBand="0" w:noVBand="1"/>
      </w:tblPr>
      <w:tblGrid>
        <w:gridCol w:w="1854"/>
        <w:gridCol w:w="7506"/>
      </w:tblGrid>
      <w:tr w:rsidR="008D306A" w:rsidRPr="008D306A" w14:paraId="03190709" w14:textId="77777777" w:rsidTr="008D306A">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3950C851" w14:textId="0E833D4D" w:rsidR="008D306A" w:rsidRPr="008D306A" w:rsidRDefault="008D306A" w:rsidP="00236CFD">
            <w:pPr>
              <w:spacing w:after="0"/>
              <w:jc w:val="center"/>
              <w:rPr>
                <w:b/>
                <w:bCs/>
                <w:i/>
                <w:iCs/>
              </w:rPr>
            </w:pPr>
            <w:r w:rsidRPr="008D306A">
              <w:rPr>
                <w:b/>
                <w:bCs/>
                <w:i/>
                <w:iCs/>
              </w:rPr>
              <w:t>Political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199E0" w14:textId="2590BE60" w:rsidR="008D306A" w:rsidRPr="008D306A" w:rsidRDefault="008D306A" w:rsidP="00236CFD">
            <w:pPr>
              <w:spacing w:after="0"/>
            </w:pPr>
            <w:r w:rsidRPr="008D306A">
              <w:t>The UK government is always in support of the digital health sector as well as wearable tech such as the activities of the NHS and other entities</w:t>
            </w:r>
            <w:r w:rsidR="00D159D7">
              <w:t xml:space="preserve"> (</w:t>
            </w:r>
            <w:proofErr w:type="spellStart"/>
            <w:r w:rsidR="00D159D7" w:rsidRPr="00D159D7">
              <w:t>Kukoryte</w:t>
            </w:r>
            <w:proofErr w:type="spellEnd"/>
            <w:r w:rsidR="00D159D7" w:rsidRPr="00D159D7">
              <w:t>,</w:t>
            </w:r>
            <w:r w:rsidR="00D159D7">
              <w:t xml:space="preserve"> </w:t>
            </w:r>
            <w:r w:rsidR="00D159D7" w:rsidRPr="00D159D7">
              <w:t>2022</w:t>
            </w:r>
            <w:r w:rsidR="00D159D7">
              <w:t>)</w:t>
            </w:r>
            <w:r w:rsidRPr="008D306A">
              <w:t>. On the other hand, the Brexit-induced trade issues may impact import of parts as well as the regulatory alignment with European markets.</w:t>
            </w:r>
          </w:p>
        </w:tc>
      </w:tr>
      <w:tr w:rsidR="008D306A" w:rsidRPr="008D306A" w14:paraId="37D7A1FC" w14:textId="77777777" w:rsidTr="00075F4A">
        <w:tc>
          <w:tcPr>
            <w:tcW w:w="0" w:type="auto"/>
            <w:tcBorders>
              <w:top w:val="single" w:sz="8" w:space="0" w:color="000000"/>
              <w:left w:val="single" w:sz="8" w:space="0" w:color="000000"/>
              <w:bottom w:val="single" w:sz="8" w:space="0" w:color="000000"/>
              <w:right w:val="single" w:sz="8" w:space="0" w:color="000000"/>
            </w:tcBorders>
            <w:shd w:val="clear" w:color="auto" w:fill="E38DD7"/>
            <w:tcMar>
              <w:top w:w="100" w:type="dxa"/>
              <w:left w:w="100" w:type="dxa"/>
              <w:bottom w:w="100" w:type="dxa"/>
              <w:right w:w="100" w:type="dxa"/>
            </w:tcMar>
            <w:hideMark/>
          </w:tcPr>
          <w:p w14:paraId="722FA408" w14:textId="5BD371C3" w:rsidR="008D306A" w:rsidRPr="008D306A" w:rsidRDefault="008D306A" w:rsidP="00236CFD">
            <w:pPr>
              <w:spacing w:after="0"/>
              <w:jc w:val="center"/>
              <w:rPr>
                <w:b/>
                <w:bCs/>
                <w:i/>
                <w:iCs/>
              </w:rPr>
            </w:pPr>
            <w:r w:rsidRPr="008D306A">
              <w:rPr>
                <w:b/>
                <w:bCs/>
                <w:i/>
                <w:iCs/>
              </w:rPr>
              <w:t>Economic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4B6DA" w14:textId="77777777" w:rsidR="008D306A" w:rsidRPr="008D306A" w:rsidRDefault="008D306A" w:rsidP="00236CFD">
            <w:pPr>
              <w:spacing w:after="0"/>
            </w:pPr>
            <w:r w:rsidRPr="008D306A">
              <w:t>Inflation in the global economy, rising cost of materials and other such factors may negatively influence cost budgets for the production of this case. While, the rise of consumer health industry and disposable income simultaneously may complement the acceptance of wearables economically.</w:t>
            </w:r>
          </w:p>
        </w:tc>
      </w:tr>
      <w:tr w:rsidR="008D306A" w:rsidRPr="008D306A" w14:paraId="03010FF1" w14:textId="77777777" w:rsidTr="008D306A">
        <w:tc>
          <w:tcPr>
            <w:tcW w:w="0" w:type="auto"/>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666E23C0" w14:textId="59C027EB" w:rsidR="008D306A" w:rsidRPr="008D306A" w:rsidRDefault="008D306A" w:rsidP="00236CFD">
            <w:pPr>
              <w:spacing w:after="0"/>
              <w:jc w:val="center"/>
              <w:rPr>
                <w:b/>
                <w:bCs/>
                <w:i/>
                <w:iCs/>
              </w:rPr>
            </w:pPr>
            <w:r w:rsidRPr="008D306A">
              <w:rPr>
                <w:b/>
                <w:bCs/>
                <w:i/>
                <w:iCs/>
              </w:rPr>
              <w:t>Social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5E6979" w14:textId="77777777" w:rsidR="008D306A" w:rsidRPr="008D306A" w:rsidRDefault="008D306A" w:rsidP="00236CFD">
            <w:pPr>
              <w:spacing w:after="0"/>
            </w:pPr>
            <w:r w:rsidRPr="008D306A">
              <w:t>People nowadays are more health-conscious and they seek ways to treat problems like night sleep, stress or even access to preventive care in convenient ways. Apart from that, the elderly citizens are associated with a prime need of health-monitoring devices that are simple as well as user-friendly. However, privacy issues may prove to be a barrier in case of seamless adoption and use. </w:t>
            </w:r>
          </w:p>
        </w:tc>
      </w:tr>
      <w:tr w:rsidR="008D306A" w:rsidRPr="008D306A" w14:paraId="78E3D8F6" w14:textId="77777777" w:rsidTr="008D306A">
        <w:tc>
          <w:tcPr>
            <w:tcW w:w="0" w:type="auto"/>
            <w:tcBorders>
              <w:top w:val="single" w:sz="8" w:space="0" w:color="000000"/>
              <w:left w:val="single" w:sz="8" w:space="0" w:color="000000"/>
              <w:bottom w:val="single" w:sz="8" w:space="0" w:color="000000"/>
              <w:right w:val="single" w:sz="8" w:space="0" w:color="000000"/>
            </w:tcBorders>
            <w:shd w:val="clear" w:color="auto" w:fill="F7CAAC" w:themeFill="accent2" w:themeFillTint="66"/>
            <w:tcMar>
              <w:top w:w="100" w:type="dxa"/>
              <w:left w:w="100" w:type="dxa"/>
              <w:bottom w:w="100" w:type="dxa"/>
              <w:right w:w="100" w:type="dxa"/>
            </w:tcMar>
            <w:hideMark/>
          </w:tcPr>
          <w:p w14:paraId="5ACD40E1" w14:textId="3BC859A8" w:rsidR="008D306A" w:rsidRPr="008D306A" w:rsidRDefault="008D306A" w:rsidP="00236CFD">
            <w:pPr>
              <w:spacing w:after="0"/>
              <w:jc w:val="center"/>
              <w:rPr>
                <w:b/>
                <w:bCs/>
                <w:i/>
                <w:iCs/>
              </w:rPr>
            </w:pPr>
            <w:r w:rsidRPr="008D306A">
              <w:rPr>
                <w:b/>
                <w:bCs/>
                <w:i/>
                <w:iCs/>
              </w:rPr>
              <w:t>Technological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3ED7A7" w14:textId="77777777" w:rsidR="008D306A" w:rsidRPr="008D306A" w:rsidRDefault="008D306A" w:rsidP="00236CFD">
            <w:pPr>
              <w:spacing w:after="0"/>
            </w:pPr>
            <w:r w:rsidRPr="008D306A">
              <w:t>The advancement in sensor technology accompanied by AI-driven analytics or even the mobile health apps would be an assisting factor in the success of PulseOx SleepGuard. Such innovations in the technological range can provide more accurate results and enhanced user experience.</w:t>
            </w:r>
          </w:p>
        </w:tc>
      </w:tr>
      <w:tr w:rsidR="008D306A" w:rsidRPr="008D306A" w14:paraId="42DB2789" w14:textId="77777777" w:rsidTr="008D306A">
        <w:tc>
          <w:tcPr>
            <w:tcW w:w="0" w:type="auto"/>
            <w:tcBorders>
              <w:top w:val="single" w:sz="8" w:space="0" w:color="000000"/>
              <w:left w:val="single" w:sz="8" w:space="0" w:color="000000"/>
              <w:bottom w:val="single" w:sz="8" w:space="0" w:color="000000"/>
              <w:right w:val="single" w:sz="8" w:space="0" w:color="000000"/>
            </w:tcBorders>
            <w:shd w:val="clear" w:color="auto" w:fill="FFE599" w:themeFill="accent4" w:themeFillTint="66"/>
            <w:tcMar>
              <w:top w:w="100" w:type="dxa"/>
              <w:left w:w="100" w:type="dxa"/>
              <w:bottom w:w="100" w:type="dxa"/>
              <w:right w:w="100" w:type="dxa"/>
            </w:tcMar>
            <w:hideMark/>
          </w:tcPr>
          <w:p w14:paraId="58075784" w14:textId="10246278" w:rsidR="008D306A" w:rsidRPr="008D306A" w:rsidRDefault="008D306A" w:rsidP="00236CFD">
            <w:pPr>
              <w:spacing w:after="0"/>
              <w:jc w:val="center"/>
              <w:rPr>
                <w:b/>
                <w:bCs/>
                <w:i/>
                <w:iCs/>
              </w:rPr>
            </w:pPr>
            <w:r w:rsidRPr="008D306A">
              <w:rPr>
                <w:b/>
                <w:bCs/>
                <w:i/>
                <w:iCs/>
              </w:rPr>
              <w:t>Legal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5506D" w14:textId="261B4303" w:rsidR="008D306A" w:rsidRPr="008D306A" w:rsidRDefault="008D306A" w:rsidP="00236CFD">
            <w:pPr>
              <w:spacing w:after="0"/>
            </w:pPr>
            <w:r w:rsidRPr="008D306A">
              <w:t>The compliance with UK Medical Device Regulations followed up by GDPR and many more like product safety certifications is a non-negotiable criterion. Any kind of violation from those standards may deploy the product launch and retard its success</w:t>
            </w:r>
            <w:r w:rsidR="00D159D7">
              <w:t xml:space="preserve"> (</w:t>
            </w:r>
            <w:proofErr w:type="spellStart"/>
            <w:r w:rsidR="00D159D7" w:rsidRPr="005D0823">
              <w:t>Brönneke</w:t>
            </w:r>
            <w:proofErr w:type="spellEnd"/>
            <w:r w:rsidR="00D159D7">
              <w:t xml:space="preserve"> </w:t>
            </w:r>
            <w:r w:rsidR="00D159D7" w:rsidRPr="00D159D7">
              <w:rPr>
                <w:i/>
                <w:iCs/>
              </w:rPr>
              <w:t>et al</w:t>
            </w:r>
            <w:r w:rsidR="00D159D7">
              <w:t xml:space="preserve">., </w:t>
            </w:r>
            <w:r w:rsidR="00D159D7" w:rsidRPr="005D0823">
              <w:t>2021</w:t>
            </w:r>
            <w:r w:rsidR="00D159D7">
              <w:t>)</w:t>
            </w:r>
            <w:r w:rsidRPr="008D306A">
              <w:t xml:space="preserve">. Apart from that, the </w:t>
            </w:r>
            <w:r w:rsidRPr="008D306A">
              <w:lastRenderedPageBreak/>
              <w:t>protection of intellectual property is vital as well amid the vast and competitive wearables market.</w:t>
            </w:r>
          </w:p>
        </w:tc>
      </w:tr>
      <w:tr w:rsidR="008D306A" w:rsidRPr="008D306A" w14:paraId="5B3D0841" w14:textId="77777777" w:rsidTr="008D306A">
        <w:tc>
          <w:tcPr>
            <w:tcW w:w="0" w:type="auto"/>
            <w:tcBorders>
              <w:top w:val="single" w:sz="8" w:space="0" w:color="000000"/>
              <w:left w:val="single" w:sz="8" w:space="0" w:color="000000"/>
              <w:bottom w:val="single" w:sz="8" w:space="0" w:color="000000"/>
              <w:right w:val="single" w:sz="8" w:space="0" w:color="000000"/>
            </w:tcBorders>
            <w:shd w:val="clear" w:color="auto" w:fill="A8D08D" w:themeFill="accent6" w:themeFillTint="99"/>
            <w:tcMar>
              <w:top w:w="100" w:type="dxa"/>
              <w:left w:w="100" w:type="dxa"/>
              <w:bottom w:w="100" w:type="dxa"/>
              <w:right w:w="100" w:type="dxa"/>
            </w:tcMar>
            <w:hideMark/>
          </w:tcPr>
          <w:p w14:paraId="6C88869D" w14:textId="5EE2404D" w:rsidR="008D306A" w:rsidRPr="008D306A" w:rsidRDefault="008D306A" w:rsidP="00236CFD">
            <w:pPr>
              <w:spacing w:after="0"/>
              <w:jc w:val="center"/>
              <w:rPr>
                <w:b/>
                <w:bCs/>
                <w:i/>
                <w:iCs/>
              </w:rPr>
            </w:pPr>
            <w:r w:rsidRPr="008D306A">
              <w:rPr>
                <w:b/>
                <w:bCs/>
                <w:i/>
                <w:iCs/>
              </w:rPr>
              <w:lastRenderedPageBreak/>
              <w:t>Environmental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A118B0" w14:textId="77777777" w:rsidR="008D306A" w:rsidRPr="008D306A" w:rsidRDefault="008D306A" w:rsidP="00236CFD">
            <w:pPr>
              <w:spacing w:after="0"/>
            </w:pPr>
            <w:r w:rsidRPr="008D306A">
              <w:t>The eco-friendly aspects for electronics and responsible disposal of the batteries should be dealt with eco-friendly packaging and other necessary measures. This is vital as most of the consumers these days are prone to connect with brands with good environmental commitments.</w:t>
            </w:r>
          </w:p>
        </w:tc>
      </w:tr>
    </w:tbl>
    <w:p w14:paraId="4F728A2B" w14:textId="77777777" w:rsidR="008D306A" w:rsidRPr="008D306A" w:rsidRDefault="008D306A" w:rsidP="00236CFD">
      <w:pPr>
        <w:pStyle w:val="Heading2"/>
        <w:spacing w:before="0" w:after="0"/>
      </w:pPr>
      <w:bookmarkStart w:id="10" w:name="_Toc216368037"/>
      <w:bookmarkStart w:id="11" w:name="_Toc216369536"/>
      <w:r w:rsidRPr="008D306A">
        <w:t>SMART Objectives for PulseOx SleepGuard Launch</w:t>
      </w:r>
      <w:bookmarkEnd w:id="10"/>
      <w:bookmarkEnd w:id="11"/>
    </w:p>
    <w:tbl>
      <w:tblPr>
        <w:tblW w:w="9360" w:type="dxa"/>
        <w:tblCellMar>
          <w:top w:w="15" w:type="dxa"/>
          <w:left w:w="15" w:type="dxa"/>
          <w:bottom w:w="15" w:type="dxa"/>
          <w:right w:w="15" w:type="dxa"/>
        </w:tblCellMar>
        <w:tblLook w:val="04A0" w:firstRow="1" w:lastRow="0" w:firstColumn="1" w:lastColumn="0" w:noHBand="0" w:noVBand="1"/>
      </w:tblPr>
      <w:tblGrid>
        <w:gridCol w:w="1386"/>
        <w:gridCol w:w="7974"/>
      </w:tblGrid>
      <w:tr w:rsidR="008D306A" w:rsidRPr="008D306A" w14:paraId="2B3925DD" w14:textId="77777777" w:rsidTr="00075F4A">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782B6451" w14:textId="77777777" w:rsidR="008D306A" w:rsidRPr="008D306A" w:rsidRDefault="008D306A" w:rsidP="00236CFD">
            <w:pPr>
              <w:spacing w:after="0"/>
            </w:pPr>
            <w:r w:rsidRPr="008D306A">
              <w:rPr>
                <w:b/>
                <w:bCs/>
                <w:i/>
                <w:iCs/>
              </w:rPr>
              <w:t>Specific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B46951" w14:textId="77777777" w:rsidR="008D306A" w:rsidRPr="008D306A" w:rsidRDefault="008D306A" w:rsidP="00236CFD">
            <w:pPr>
              <w:spacing w:after="0"/>
            </w:pPr>
            <w:r w:rsidRPr="008D306A">
              <w:t>Design, test and then launch PulseOx SleepGuard efficiently as a medically accurate consumer wearable associated with the ability to track heart rate with oxygen saturation and sleep quality.</w:t>
            </w:r>
          </w:p>
        </w:tc>
      </w:tr>
      <w:tr w:rsidR="008D306A" w:rsidRPr="008D306A" w14:paraId="5D6B10A9" w14:textId="77777777" w:rsidTr="00075F4A">
        <w:tc>
          <w:tcPr>
            <w:tcW w:w="0" w:type="auto"/>
            <w:tcBorders>
              <w:top w:val="single" w:sz="8" w:space="0" w:color="000000"/>
              <w:left w:val="single" w:sz="8" w:space="0" w:color="000000"/>
              <w:bottom w:val="single" w:sz="8" w:space="0" w:color="000000"/>
              <w:right w:val="single" w:sz="8" w:space="0" w:color="000000"/>
            </w:tcBorders>
            <w:shd w:val="clear" w:color="auto" w:fill="00B050"/>
            <w:tcMar>
              <w:top w:w="100" w:type="dxa"/>
              <w:left w:w="100" w:type="dxa"/>
              <w:bottom w:w="100" w:type="dxa"/>
              <w:right w:w="100" w:type="dxa"/>
            </w:tcMar>
            <w:hideMark/>
          </w:tcPr>
          <w:p w14:paraId="4A6E562B" w14:textId="77777777" w:rsidR="008D306A" w:rsidRPr="008D306A" w:rsidRDefault="008D306A" w:rsidP="00236CFD">
            <w:pPr>
              <w:spacing w:after="0"/>
            </w:pPr>
            <w:r w:rsidRPr="008D306A">
              <w:rPr>
                <w:b/>
                <w:bCs/>
                <w:i/>
                <w:iCs/>
              </w:rPr>
              <w:t>Measurable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EC8305" w14:textId="77777777" w:rsidR="008D306A" w:rsidRPr="008D306A" w:rsidRDefault="008D306A" w:rsidP="00236CFD">
            <w:pPr>
              <w:spacing w:after="0"/>
            </w:pPr>
            <w:r w:rsidRPr="008D306A">
              <w:t>Get product certification along with the completion of development within six months and secure at least 3 distribution partnerships before launch.</w:t>
            </w:r>
          </w:p>
        </w:tc>
      </w:tr>
      <w:tr w:rsidR="008D306A" w:rsidRPr="008D306A" w14:paraId="6176A873" w14:textId="77777777" w:rsidTr="00075F4A">
        <w:tc>
          <w:tcPr>
            <w:tcW w:w="0" w:type="auto"/>
            <w:tcBorders>
              <w:top w:val="single" w:sz="8" w:space="0" w:color="000000"/>
              <w:left w:val="single" w:sz="8" w:space="0" w:color="000000"/>
              <w:bottom w:val="single" w:sz="8" w:space="0" w:color="000000"/>
              <w:right w:val="single" w:sz="8" w:space="0" w:color="000000"/>
            </w:tcBorders>
            <w:shd w:val="clear" w:color="auto" w:fill="0070C0"/>
            <w:tcMar>
              <w:top w:w="100" w:type="dxa"/>
              <w:left w:w="100" w:type="dxa"/>
              <w:bottom w:w="100" w:type="dxa"/>
              <w:right w:w="100" w:type="dxa"/>
            </w:tcMar>
            <w:hideMark/>
          </w:tcPr>
          <w:p w14:paraId="6F6B05EC" w14:textId="77777777" w:rsidR="008D306A" w:rsidRPr="008D306A" w:rsidRDefault="008D306A" w:rsidP="00236CFD">
            <w:pPr>
              <w:spacing w:after="0"/>
            </w:pPr>
            <w:r w:rsidRPr="008D306A">
              <w:rPr>
                <w:b/>
                <w:bCs/>
                <w:i/>
                <w:iCs/>
              </w:rPr>
              <w:t>Achievable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F2977" w14:textId="5FF9F958" w:rsidR="008D306A" w:rsidRPr="008D306A" w:rsidRDefault="008D306A" w:rsidP="00236CFD">
            <w:pPr>
              <w:spacing w:after="0"/>
            </w:pPr>
            <w:r w:rsidRPr="008D306A">
              <w:t xml:space="preserve">Leverage the capabilities of existing R&amp;D </w:t>
            </w:r>
            <w:r w:rsidR="00075F4A" w:rsidRPr="008D306A">
              <w:t>of Sky</w:t>
            </w:r>
            <w:r w:rsidRPr="008D306A">
              <w:t xml:space="preserve"> Medical Technology followed up by clinical expertise and others to meet technical with regulatory needs.</w:t>
            </w:r>
          </w:p>
        </w:tc>
      </w:tr>
      <w:tr w:rsidR="008D306A" w:rsidRPr="008D306A" w14:paraId="335DD0FF" w14:textId="77777777" w:rsidTr="00075F4A">
        <w:tc>
          <w:tcPr>
            <w:tcW w:w="0" w:type="auto"/>
            <w:tcBorders>
              <w:top w:val="single" w:sz="8" w:space="0" w:color="000000"/>
              <w:left w:val="single" w:sz="8" w:space="0" w:color="000000"/>
              <w:bottom w:val="single" w:sz="8" w:space="0" w:color="000000"/>
              <w:right w:val="single" w:sz="8" w:space="0" w:color="000000"/>
            </w:tcBorders>
            <w:shd w:val="clear" w:color="auto" w:fill="BF8F00" w:themeFill="accent4" w:themeFillShade="BF"/>
            <w:tcMar>
              <w:top w:w="100" w:type="dxa"/>
              <w:left w:w="100" w:type="dxa"/>
              <w:bottom w:w="100" w:type="dxa"/>
              <w:right w:w="100" w:type="dxa"/>
            </w:tcMar>
            <w:hideMark/>
          </w:tcPr>
          <w:p w14:paraId="2029251D" w14:textId="77777777" w:rsidR="008D306A" w:rsidRPr="008D306A" w:rsidRDefault="008D306A" w:rsidP="00236CFD">
            <w:pPr>
              <w:spacing w:after="0"/>
            </w:pPr>
            <w:r w:rsidRPr="008D306A">
              <w:rPr>
                <w:b/>
                <w:bCs/>
                <w:i/>
                <w:iCs/>
              </w:rPr>
              <w:t>Relevant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817B23" w14:textId="77777777" w:rsidR="008D306A" w:rsidRPr="008D306A" w:rsidRDefault="008D306A" w:rsidP="00236CFD">
            <w:pPr>
              <w:spacing w:after="0"/>
            </w:pPr>
            <w:r w:rsidRPr="008D306A">
              <w:t>The project is in line with the strategic aim of the company to expand into the consumer health-monitoring field and diversify its product portfolio.</w:t>
            </w:r>
          </w:p>
        </w:tc>
      </w:tr>
      <w:tr w:rsidR="008D306A" w:rsidRPr="008D306A" w14:paraId="5C828AEC" w14:textId="77777777" w:rsidTr="00075F4A">
        <w:tc>
          <w:tcPr>
            <w:tcW w:w="0" w:type="auto"/>
            <w:tcBorders>
              <w:top w:val="single" w:sz="8" w:space="0" w:color="000000"/>
              <w:left w:val="single" w:sz="8" w:space="0" w:color="000000"/>
              <w:bottom w:val="single" w:sz="8" w:space="0" w:color="000000"/>
              <w:right w:val="single" w:sz="8" w:space="0" w:color="000000"/>
            </w:tcBorders>
            <w:shd w:val="clear" w:color="auto" w:fill="C45911" w:themeFill="accent2" w:themeFillShade="BF"/>
            <w:tcMar>
              <w:top w:w="100" w:type="dxa"/>
              <w:left w:w="100" w:type="dxa"/>
              <w:bottom w:w="100" w:type="dxa"/>
              <w:right w:w="100" w:type="dxa"/>
            </w:tcMar>
            <w:hideMark/>
          </w:tcPr>
          <w:p w14:paraId="312793F7" w14:textId="77777777" w:rsidR="008D306A" w:rsidRPr="008D306A" w:rsidRDefault="008D306A" w:rsidP="00236CFD">
            <w:pPr>
              <w:spacing w:after="0"/>
            </w:pPr>
            <w:r w:rsidRPr="008D306A">
              <w:rPr>
                <w:b/>
                <w:bCs/>
                <w:i/>
                <w:iCs/>
              </w:rPr>
              <w:t>Time-bound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42F97" w14:textId="77777777" w:rsidR="008D306A" w:rsidRPr="008D306A" w:rsidRDefault="008D306A" w:rsidP="00236CFD">
            <w:pPr>
              <w:spacing w:after="0"/>
            </w:pPr>
            <w:r w:rsidRPr="008D306A">
              <w:t>Accomplish the product development fully with maintained validation and the involvement of the stakeholder engagement within the six-month deadline.</w:t>
            </w:r>
          </w:p>
        </w:tc>
      </w:tr>
    </w:tbl>
    <w:p w14:paraId="04E4A544" w14:textId="77777777" w:rsidR="00075F4A" w:rsidRDefault="00075F4A" w:rsidP="00236CFD">
      <w:pPr>
        <w:spacing w:after="0"/>
        <w:rPr>
          <w:b/>
          <w:bCs/>
        </w:rPr>
      </w:pPr>
    </w:p>
    <w:p w14:paraId="176824D6" w14:textId="77777777" w:rsidR="00075F4A" w:rsidRDefault="00075F4A" w:rsidP="00236CFD">
      <w:pPr>
        <w:spacing w:after="0" w:line="278" w:lineRule="auto"/>
        <w:jc w:val="left"/>
        <w:rPr>
          <w:b/>
          <w:bCs/>
        </w:rPr>
      </w:pPr>
      <w:r>
        <w:rPr>
          <w:b/>
          <w:bCs/>
        </w:rPr>
        <w:br w:type="page"/>
      </w:r>
    </w:p>
    <w:p w14:paraId="409A36F1" w14:textId="30551BA8" w:rsidR="00236CFD" w:rsidRPr="00236CFD" w:rsidRDefault="00282D44" w:rsidP="00236CFD">
      <w:pPr>
        <w:pStyle w:val="Heading1"/>
        <w:rPr>
          <w:rFonts w:eastAsiaTheme="minorHAnsi" w:cstheme="minorBidi"/>
          <w:szCs w:val="48"/>
        </w:rPr>
      </w:pPr>
      <w:bookmarkStart w:id="12" w:name="_aww45htmv2eh" w:colFirst="0" w:colLast="0"/>
      <w:bookmarkStart w:id="13" w:name="_Toc216368038"/>
      <w:bookmarkStart w:id="14" w:name="_Toc216369537"/>
      <w:bookmarkEnd w:id="12"/>
      <w:r>
        <w:lastRenderedPageBreak/>
        <w:t xml:space="preserve">d) </w:t>
      </w:r>
      <w:bookmarkEnd w:id="13"/>
      <w:r w:rsidR="00236CFD">
        <w:rPr>
          <w:highlight w:val="white"/>
        </w:rPr>
        <w:t xml:space="preserve">Identification of both the internal and external </w:t>
      </w:r>
      <w:r w:rsidR="00236CFD" w:rsidRPr="00236CFD">
        <w:rPr>
          <w:highlight w:val="white"/>
        </w:rPr>
        <w:t>stakeholders</w:t>
      </w:r>
      <w:r w:rsidR="00236CFD">
        <w:rPr>
          <w:highlight w:val="white"/>
        </w:rPr>
        <w:t xml:space="preserve"> through the integration of the </w:t>
      </w:r>
      <w:proofErr w:type="spellStart"/>
      <w:r w:rsidR="00236CFD">
        <w:rPr>
          <w:highlight w:val="white"/>
        </w:rPr>
        <w:t>the</w:t>
      </w:r>
      <w:proofErr w:type="spellEnd"/>
      <w:r w:rsidR="00236CFD">
        <w:rPr>
          <w:highlight w:val="white"/>
        </w:rPr>
        <w:t xml:space="preserve"> RACI Matrix, Stakeholder map, communication plan and an engagement plan</w:t>
      </w:r>
      <w:bookmarkEnd w:id="14"/>
    </w:p>
    <w:p w14:paraId="71D1B322" w14:textId="77777777" w:rsidR="00236CFD" w:rsidRDefault="00236CFD" w:rsidP="00236CFD">
      <w:pPr>
        <w:spacing w:after="0"/>
        <w:rPr>
          <w:rFonts w:eastAsia="Times New Roman" w:cs="Times New Roman"/>
          <w:b/>
          <w:bCs/>
          <w:i/>
          <w:iCs/>
          <w:szCs w:val="24"/>
          <w:highlight w:val="white"/>
        </w:rPr>
      </w:pPr>
      <w:r>
        <w:rPr>
          <w:rFonts w:eastAsia="Times New Roman" w:cs="Times New Roman"/>
          <w:b/>
          <w:bCs/>
          <w:i/>
          <w:iCs/>
          <w:szCs w:val="24"/>
          <w:highlight w:val="white"/>
        </w:rPr>
        <w:t>Key stakeholders</w:t>
      </w:r>
    </w:p>
    <w:p w14:paraId="1D81EF01" w14:textId="5ED6CF0B" w:rsidR="00236CFD" w:rsidRPr="00236CFD" w:rsidRDefault="00236CFD" w:rsidP="00236CFD">
      <w:pPr>
        <w:spacing w:after="0"/>
        <w:rPr>
          <w:rFonts w:eastAsia="Times New Roman" w:cs="Times New Roman"/>
          <w:b/>
          <w:bCs/>
          <w:i/>
          <w:iCs/>
          <w:szCs w:val="24"/>
          <w:highlight w:val="white"/>
        </w:rPr>
      </w:pPr>
      <w:r>
        <w:rPr>
          <w:rFonts w:eastAsia="Times New Roman" w:cs="Times New Roman"/>
          <w:szCs w:val="24"/>
          <w:highlight w:val="white"/>
        </w:rPr>
        <w:t xml:space="preserve">Sky Medical Technology is a UK-based healthcare firm that specialises in dealing in bioelectronic medical devices </w:t>
      </w:r>
      <w:sdt>
        <w:sdtPr>
          <w:rPr>
            <w:rFonts w:eastAsia="Times New Roman" w:cs="Times New Roman"/>
            <w:szCs w:val="24"/>
            <w:highlight w:val="white"/>
          </w:rPr>
          <w:id w:val="1055970196"/>
          <w:citation/>
        </w:sdtPr>
        <w:sdtContent>
          <w:r>
            <w:rPr>
              <w:rFonts w:eastAsia="Times New Roman" w:cs="Times New Roman"/>
              <w:szCs w:val="24"/>
              <w:highlight w:val="white"/>
            </w:rPr>
            <w:fldChar w:fldCharType="begin"/>
          </w:r>
          <w:r>
            <w:rPr>
              <w:rFonts w:eastAsia="Times New Roman" w:cs="Times New Roman"/>
              <w:szCs w:val="24"/>
              <w:highlight w:val="white"/>
            </w:rPr>
            <w:instrText xml:space="preserve"> CITATION Zoo251 \l 1033 </w:instrText>
          </w:r>
          <w:r>
            <w:rPr>
              <w:rFonts w:eastAsia="Times New Roman" w:cs="Times New Roman"/>
              <w:szCs w:val="24"/>
              <w:highlight w:val="white"/>
            </w:rPr>
            <w:fldChar w:fldCharType="separate"/>
          </w:r>
          <w:r w:rsidRPr="00514DDC">
            <w:rPr>
              <w:rFonts w:eastAsia="Times New Roman" w:cs="Times New Roman"/>
              <w:noProof/>
              <w:szCs w:val="24"/>
              <w:highlight w:val="white"/>
            </w:rPr>
            <w:t>(Zoominfo, 2025)</w:t>
          </w:r>
          <w:r>
            <w:rPr>
              <w:rFonts w:eastAsia="Times New Roman" w:cs="Times New Roman"/>
              <w:szCs w:val="24"/>
              <w:highlight w:val="white"/>
            </w:rPr>
            <w:fldChar w:fldCharType="end"/>
          </w:r>
        </w:sdtContent>
      </w:sdt>
      <w:r>
        <w:rPr>
          <w:rFonts w:eastAsia="Times New Roman" w:cs="Times New Roman"/>
          <w:szCs w:val="24"/>
          <w:highlight w:val="white"/>
        </w:rPr>
        <w:t xml:space="preserve">. It plans to launch PulseOx SleepGuard that is a wearable tracking heart rate, oxygen levels and sleep patterns within six months. Some of the key stakeholders are divided into both internal and external groups </w:t>
      </w:r>
      <w:r w:rsidRPr="00514DDC">
        <w:rPr>
          <w:rFonts w:eastAsia="Times New Roman" w:cs="Times New Roman"/>
          <w:szCs w:val="24"/>
          <w:highlight w:val="white"/>
        </w:rPr>
        <w:t>which are analysed through using the Stakeholder Matrix of power-interest dynamics</w:t>
      </w:r>
      <w:r>
        <w:rPr>
          <w:rFonts w:eastAsia="Times New Roman" w:cs="Times New Roman"/>
          <w:szCs w:val="24"/>
          <w:highlight w:val="white"/>
        </w:rPr>
        <w:t xml:space="preserve"> (</w:t>
      </w:r>
      <w:proofErr w:type="spellStart"/>
      <w:r w:rsidRPr="00514DDC">
        <w:rPr>
          <w:rFonts w:eastAsia="Times New Roman" w:cs="Times New Roman"/>
          <w:szCs w:val="24"/>
          <w:highlight w:val="white"/>
        </w:rPr>
        <w:t>Horoki</w:t>
      </w:r>
      <w:proofErr w:type="spellEnd"/>
      <w:r>
        <w:rPr>
          <w:rFonts w:eastAsia="Times New Roman" w:cs="Times New Roman"/>
          <w:szCs w:val="24"/>
          <w:highlight w:val="white"/>
        </w:rPr>
        <w:t xml:space="preserve"> </w:t>
      </w:r>
      <w:r>
        <w:rPr>
          <w:rFonts w:eastAsia="Times New Roman" w:cs="Times New Roman"/>
          <w:i/>
          <w:iCs/>
          <w:szCs w:val="24"/>
          <w:highlight w:val="white"/>
        </w:rPr>
        <w:t xml:space="preserve">et al., </w:t>
      </w:r>
      <w:r>
        <w:rPr>
          <w:rFonts w:eastAsia="Times New Roman" w:cs="Times New Roman"/>
          <w:szCs w:val="24"/>
          <w:highlight w:val="white"/>
        </w:rPr>
        <w:t>2024)</w:t>
      </w:r>
      <w:r w:rsidRPr="00514DDC">
        <w:rPr>
          <w:rFonts w:eastAsia="Times New Roman" w:cs="Times New Roman"/>
          <w:szCs w:val="24"/>
          <w:highlight w:val="white"/>
        </w:rPr>
        <w:t>.​</w:t>
      </w:r>
    </w:p>
    <w:p w14:paraId="1CBAAC8B" w14:textId="77777777" w:rsidR="00236CFD" w:rsidRDefault="00236CFD" w:rsidP="00236CFD">
      <w:pPr>
        <w:spacing w:after="0"/>
        <w:rPr>
          <w:rFonts w:eastAsia="Times New Roman" w:cs="Times New Roman"/>
          <w:b/>
          <w:bCs/>
          <w:szCs w:val="24"/>
          <w:highlight w:val="white"/>
          <w:u w:val="single"/>
        </w:rPr>
      </w:pPr>
      <w:r>
        <w:rPr>
          <w:rFonts w:eastAsia="Times New Roman" w:cs="Times New Roman"/>
          <w:b/>
          <w:bCs/>
          <w:szCs w:val="24"/>
          <w:highlight w:val="white"/>
          <w:u w:val="single"/>
        </w:rPr>
        <w:t>Internal stakeholders</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905"/>
        <w:gridCol w:w="2768"/>
        <w:gridCol w:w="4352"/>
      </w:tblGrid>
      <w:tr w:rsidR="00236CFD" w14:paraId="44228DC0" w14:textId="77777777" w:rsidTr="009B382F">
        <w:trPr>
          <w:trHeight w:val="500"/>
        </w:trPr>
        <w:tc>
          <w:tcPr>
            <w:tcW w:w="19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7A064B"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Stakeholder</w:t>
            </w:r>
          </w:p>
        </w:tc>
        <w:tc>
          <w:tcPr>
            <w:tcW w:w="27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50551F"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Role/Responsibility</w:t>
            </w:r>
          </w:p>
        </w:tc>
        <w:tc>
          <w:tcPr>
            <w:tcW w:w="4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DE52FD"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Importance</w:t>
            </w:r>
          </w:p>
        </w:tc>
      </w:tr>
      <w:tr w:rsidR="00236CFD" w14:paraId="3F952852" w14:textId="77777777" w:rsidTr="009B382F">
        <w:trPr>
          <w:trHeight w:val="770"/>
        </w:trPr>
        <w:tc>
          <w:tcPr>
            <w:tcW w:w="19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A4D06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Senior Management</w:t>
            </w:r>
          </w:p>
        </w:tc>
        <w:tc>
          <w:tcPr>
            <w:tcW w:w="27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DC989F"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Approval of budgets and setting up strategy</w:t>
            </w:r>
          </w:p>
        </w:tc>
        <w:tc>
          <w:tcPr>
            <w:tcW w:w="4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D8006C"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Alignment with the launching process with all the company goals</w:t>
            </w:r>
            <w:hyperlink r:id="rId9">
              <w:r>
                <w:rPr>
                  <w:rFonts w:eastAsia="Times New Roman" w:cs="Times New Roman"/>
                  <w:szCs w:val="24"/>
                  <w:highlight w:val="white"/>
                </w:rPr>
                <w:t xml:space="preserve"> </w:t>
              </w:r>
            </w:hyperlink>
          </w:p>
        </w:tc>
      </w:tr>
      <w:tr w:rsidR="00236CFD" w14:paraId="3F862D15" w14:textId="77777777" w:rsidTr="009B382F">
        <w:trPr>
          <w:trHeight w:val="770"/>
        </w:trPr>
        <w:tc>
          <w:tcPr>
            <w:tcW w:w="19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3899A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Project Manager</w:t>
            </w:r>
          </w:p>
        </w:tc>
        <w:tc>
          <w:tcPr>
            <w:tcW w:w="27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6B303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Oversees timeline, and manages coordination</w:t>
            </w:r>
          </w:p>
        </w:tc>
        <w:tc>
          <w:tcPr>
            <w:tcW w:w="4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24E586"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Ensures delivery accountability</w:t>
            </w:r>
          </w:p>
        </w:tc>
      </w:tr>
      <w:tr w:rsidR="00236CFD" w14:paraId="4E5AD311" w14:textId="77777777" w:rsidTr="009B382F">
        <w:trPr>
          <w:trHeight w:val="500"/>
        </w:trPr>
        <w:tc>
          <w:tcPr>
            <w:tcW w:w="19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7C4B9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Research and Development team</w:t>
            </w:r>
          </w:p>
        </w:tc>
        <w:tc>
          <w:tcPr>
            <w:tcW w:w="27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6C5B82"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Designs and tests device specs</w:t>
            </w:r>
          </w:p>
        </w:tc>
        <w:tc>
          <w:tcPr>
            <w:tcW w:w="4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FF75E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Delivers technical accuracy</w:t>
            </w:r>
          </w:p>
        </w:tc>
      </w:tr>
      <w:tr w:rsidR="00236CFD" w14:paraId="55E8487A" w14:textId="77777777" w:rsidTr="009B382F">
        <w:trPr>
          <w:trHeight w:val="500"/>
        </w:trPr>
        <w:tc>
          <w:tcPr>
            <w:tcW w:w="19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601D3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Marketing and sales</w:t>
            </w:r>
          </w:p>
        </w:tc>
        <w:tc>
          <w:tcPr>
            <w:tcW w:w="27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4D0831"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Campaigns and distribution</w:t>
            </w:r>
          </w:p>
        </w:tc>
        <w:tc>
          <w:tcPr>
            <w:tcW w:w="4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401167"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Drives consumer adoption</w:t>
            </w:r>
          </w:p>
        </w:tc>
      </w:tr>
      <w:tr w:rsidR="00236CFD" w14:paraId="120F6221" w14:textId="77777777" w:rsidTr="009B382F">
        <w:trPr>
          <w:trHeight w:val="770"/>
        </w:trPr>
        <w:tc>
          <w:tcPr>
            <w:tcW w:w="19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3142A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Finance team</w:t>
            </w:r>
          </w:p>
        </w:tc>
        <w:tc>
          <w:tcPr>
            <w:tcW w:w="27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D76580"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Budget management and ROI tracking</w:t>
            </w:r>
          </w:p>
        </w:tc>
        <w:tc>
          <w:tcPr>
            <w:tcW w:w="4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5DAF00"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Controls financial viability</w:t>
            </w:r>
          </w:p>
        </w:tc>
      </w:tr>
      <w:tr w:rsidR="00236CFD" w14:paraId="0E441D34" w14:textId="77777777" w:rsidTr="009B382F">
        <w:trPr>
          <w:trHeight w:val="770"/>
        </w:trPr>
        <w:tc>
          <w:tcPr>
            <w:tcW w:w="19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34384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HR department</w:t>
            </w:r>
          </w:p>
        </w:tc>
        <w:tc>
          <w:tcPr>
            <w:tcW w:w="27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5F9652"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Talent recruitment and training</w:t>
            </w:r>
          </w:p>
        </w:tc>
        <w:tc>
          <w:tcPr>
            <w:tcW w:w="4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1686F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Supports team efficacy</w:t>
            </w:r>
          </w:p>
        </w:tc>
      </w:tr>
    </w:tbl>
    <w:p w14:paraId="66211035" w14:textId="77777777" w:rsidR="00236CFD" w:rsidRDefault="00236CFD" w:rsidP="00236CFD">
      <w:pPr>
        <w:spacing w:after="0"/>
        <w:rPr>
          <w:rFonts w:eastAsia="Times New Roman" w:cs="Times New Roman"/>
          <w:b/>
          <w:bCs/>
          <w:szCs w:val="24"/>
          <w:highlight w:val="white"/>
          <w:u w:val="single"/>
        </w:rPr>
      </w:pPr>
      <w:bookmarkStart w:id="15" w:name="_awj8zp3d0xvu" w:colFirst="0" w:colLast="0"/>
      <w:bookmarkEnd w:id="15"/>
      <w:r>
        <w:rPr>
          <w:rFonts w:eastAsia="Times New Roman" w:cs="Times New Roman"/>
          <w:b/>
          <w:bCs/>
          <w:szCs w:val="24"/>
          <w:highlight w:val="white"/>
          <w:u w:val="single"/>
        </w:rPr>
        <w:t>External stakeholders</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792"/>
        <w:gridCol w:w="2470"/>
        <w:gridCol w:w="4763"/>
      </w:tblGrid>
      <w:tr w:rsidR="00236CFD" w14:paraId="442569FB" w14:textId="77777777" w:rsidTr="009B382F">
        <w:trPr>
          <w:trHeight w:val="500"/>
        </w:trPr>
        <w:tc>
          <w:tcPr>
            <w:tcW w:w="179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77A390"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Stakeholder</w:t>
            </w:r>
          </w:p>
        </w:tc>
        <w:tc>
          <w:tcPr>
            <w:tcW w:w="24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CA8AC8"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Role/Responsibility</w:t>
            </w:r>
          </w:p>
        </w:tc>
        <w:tc>
          <w:tcPr>
            <w:tcW w:w="47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3AC85D"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Importance</w:t>
            </w:r>
          </w:p>
        </w:tc>
      </w:tr>
      <w:tr w:rsidR="00236CFD" w14:paraId="3387A2D6" w14:textId="77777777" w:rsidTr="009B382F">
        <w:trPr>
          <w:trHeight w:val="770"/>
        </w:trPr>
        <w:tc>
          <w:tcPr>
            <w:tcW w:w="179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5FA5FC"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lastRenderedPageBreak/>
              <w:t>Consumers</w:t>
            </w:r>
          </w:p>
        </w:tc>
        <w:tc>
          <w:tcPr>
            <w:tcW w:w="24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6FB2A6"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Providing feedback and purchase</w:t>
            </w:r>
          </w:p>
        </w:tc>
        <w:tc>
          <w:tcPr>
            <w:tcW w:w="47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257F0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Market validation</w:t>
            </w:r>
            <w:hyperlink r:id="rId10">
              <w:r>
                <w:rPr>
                  <w:rFonts w:eastAsia="Times New Roman" w:cs="Times New Roman"/>
                  <w:szCs w:val="24"/>
                  <w:highlight w:val="white"/>
                </w:rPr>
                <w:t xml:space="preserve"> </w:t>
              </w:r>
            </w:hyperlink>
          </w:p>
        </w:tc>
      </w:tr>
      <w:tr w:rsidR="00236CFD" w14:paraId="1A573948" w14:textId="77777777" w:rsidTr="009B382F">
        <w:trPr>
          <w:trHeight w:val="770"/>
        </w:trPr>
        <w:tc>
          <w:tcPr>
            <w:tcW w:w="179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7EBD69"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Regulators (MHRA)</w:t>
            </w:r>
          </w:p>
        </w:tc>
        <w:tc>
          <w:tcPr>
            <w:tcW w:w="24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3564E6"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Safety approvals</w:t>
            </w:r>
          </w:p>
        </w:tc>
        <w:tc>
          <w:tcPr>
            <w:tcW w:w="47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6C99DC"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 xml:space="preserve">Enables legal market entry </w:t>
            </w:r>
          </w:p>
        </w:tc>
      </w:tr>
      <w:tr w:rsidR="00236CFD" w14:paraId="1688FFEB" w14:textId="77777777" w:rsidTr="009B382F">
        <w:trPr>
          <w:trHeight w:val="500"/>
        </w:trPr>
        <w:tc>
          <w:tcPr>
            <w:tcW w:w="179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3D470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Suppliers</w:t>
            </w:r>
          </w:p>
        </w:tc>
        <w:tc>
          <w:tcPr>
            <w:tcW w:w="24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DA1F5A"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Component delivery</w:t>
            </w:r>
          </w:p>
        </w:tc>
        <w:tc>
          <w:tcPr>
            <w:tcW w:w="47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F16A5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Ensures supply chain reliability</w:t>
            </w:r>
          </w:p>
        </w:tc>
      </w:tr>
      <w:tr w:rsidR="00236CFD" w14:paraId="503D0DC7" w14:textId="77777777" w:rsidTr="009B382F">
        <w:trPr>
          <w:trHeight w:val="770"/>
        </w:trPr>
        <w:tc>
          <w:tcPr>
            <w:tcW w:w="179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CEA753"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Healthcare partners</w:t>
            </w:r>
          </w:p>
        </w:tc>
        <w:tc>
          <w:tcPr>
            <w:tcW w:w="24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F5E389"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Clinical validation</w:t>
            </w:r>
          </w:p>
        </w:tc>
        <w:tc>
          <w:tcPr>
            <w:tcW w:w="47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26C41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Boosts credibility</w:t>
            </w:r>
          </w:p>
        </w:tc>
      </w:tr>
      <w:tr w:rsidR="00236CFD" w14:paraId="26F97110" w14:textId="77777777" w:rsidTr="009B382F">
        <w:trPr>
          <w:trHeight w:val="500"/>
        </w:trPr>
        <w:tc>
          <w:tcPr>
            <w:tcW w:w="179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467551"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Investors</w:t>
            </w:r>
          </w:p>
        </w:tc>
        <w:tc>
          <w:tcPr>
            <w:tcW w:w="24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0F7F18"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Funding provision</w:t>
            </w:r>
          </w:p>
        </w:tc>
        <w:tc>
          <w:tcPr>
            <w:tcW w:w="47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8B66F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Supports expansion</w:t>
            </w:r>
            <w:hyperlink r:id="rId11">
              <w:r>
                <w:rPr>
                  <w:rFonts w:eastAsia="Times New Roman" w:cs="Times New Roman"/>
                  <w:szCs w:val="24"/>
                  <w:highlight w:val="white"/>
                </w:rPr>
                <w:t xml:space="preserve"> </w:t>
              </w:r>
            </w:hyperlink>
          </w:p>
        </w:tc>
      </w:tr>
    </w:tbl>
    <w:p w14:paraId="4A734529" w14:textId="77777777" w:rsidR="00236CFD" w:rsidRDefault="00236CFD" w:rsidP="00236CFD">
      <w:pPr>
        <w:spacing w:after="0"/>
        <w:rPr>
          <w:rFonts w:eastAsia="Times New Roman" w:cs="Times New Roman"/>
          <w:b/>
          <w:bCs/>
          <w:szCs w:val="24"/>
          <w:highlight w:val="white"/>
          <w:u w:val="single"/>
        </w:rPr>
      </w:pPr>
      <w:bookmarkStart w:id="16" w:name="_tc8uxpsccyhw" w:colFirst="0" w:colLast="0"/>
      <w:bookmarkEnd w:id="16"/>
      <w:r>
        <w:rPr>
          <w:rFonts w:eastAsia="Times New Roman" w:cs="Times New Roman"/>
          <w:b/>
          <w:bCs/>
          <w:szCs w:val="24"/>
          <w:highlight w:val="white"/>
          <w:u w:val="single"/>
        </w:rPr>
        <w:t>Roles, Responsibilities and RACI Matrix for PulseOx SleepGuard launch</w:t>
      </w:r>
    </w:p>
    <w:p w14:paraId="43310146" w14:textId="77777777" w:rsidR="00236CFD" w:rsidRPr="00514DDC" w:rsidRDefault="00236CFD" w:rsidP="00236CFD">
      <w:pPr>
        <w:spacing w:after="0"/>
        <w:rPr>
          <w:rFonts w:eastAsia="Times New Roman" w:cs="Times New Roman"/>
          <w:szCs w:val="24"/>
          <w:highlight w:val="white"/>
        </w:rPr>
      </w:pPr>
      <w:r w:rsidRPr="00514DDC">
        <w:rPr>
          <w:rFonts w:eastAsia="Times New Roman" w:cs="Times New Roman"/>
          <w:szCs w:val="24"/>
          <w:highlight w:val="white"/>
        </w:rPr>
        <w:t>Some of the roles follow PMI standards that get largely benefitted from Stakeholder Theory</w:t>
      </w:r>
      <w:r>
        <w:rPr>
          <w:rFonts w:eastAsia="Times New Roman" w:cs="Times New Roman"/>
          <w:szCs w:val="24"/>
          <w:highlight w:val="white"/>
        </w:rPr>
        <w:t xml:space="preserve"> (</w:t>
      </w:r>
      <w:r w:rsidRPr="00514DDC">
        <w:rPr>
          <w:rFonts w:eastAsia="Times New Roman" w:cs="Times New Roman"/>
          <w:szCs w:val="24"/>
          <w:highlight w:val="white"/>
        </w:rPr>
        <w:t>Freeman</w:t>
      </w:r>
      <w:r>
        <w:rPr>
          <w:rFonts w:eastAsia="Times New Roman" w:cs="Times New Roman"/>
          <w:szCs w:val="24"/>
          <w:highlight w:val="white"/>
        </w:rPr>
        <w:t xml:space="preserve"> </w:t>
      </w:r>
      <w:r>
        <w:rPr>
          <w:rFonts w:eastAsia="Times New Roman" w:cs="Times New Roman"/>
          <w:i/>
          <w:iCs/>
          <w:szCs w:val="24"/>
          <w:highlight w:val="white"/>
        </w:rPr>
        <w:t xml:space="preserve">et al., </w:t>
      </w:r>
      <w:r>
        <w:rPr>
          <w:rFonts w:eastAsia="Times New Roman" w:cs="Times New Roman"/>
          <w:szCs w:val="24"/>
          <w:highlight w:val="white"/>
        </w:rPr>
        <w:t>2025)</w:t>
      </w:r>
      <w:r w:rsidRPr="00514DDC">
        <w:rPr>
          <w:rFonts w:eastAsia="Times New Roman" w:cs="Times New Roman"/>
          <w:szCs w:val="24"/>
          <w:highlight w:val="white"/>
        </w:rPr>
        <w:t>.</w:t>
      </w:r>
      <w:r>
        <w:rPr>
          <w:rFonts w:eastAsia="Times New Roman" w:cs="Times New Roman"/>
          <w:szCs w:val="24"/>
          <w:highlight w:val="white"/>
        </w:rPr>
        <w:t xml:space="preserve"> Further emphasis is </w:t>
      </w:r>
      <w:r w:rsidRPr="00514DDC">
        <w:rPr>
          <w:rFonts w:eastAsia="Times New Roman" w:cs="Times New Roman"/>
          <w:szCs w:val="24"/>
          <w:highlight w:val="white"/>
        </w:rPr>
        <w:t>given on the value creation and challenges from Resource Dependence Theory</w:t>
      </w:r>
      <w:r>
        <w:rPr>
          <w:rFonts w:eastAsia="Times New Roman" w:cs="Times New Roman"/>
          <w:szCs w:val="24"/>
          <w:highlight w:val="white"/>
        </w:rPr>
        <w:t xml:space="preserve"> aids in highlighting all the major dependencies (</w:t>
      </w:r>
      <w:r w:rsidRPr="00514DDC">
        <w:rPr>
          <w:rFonts w:eastAsia="Times New Roman" w:cs="Times New Roman"/>
          <w:szCs w:val="24"/>
          <w:highlight w:val="white"/>
        </w:rPr>
        <w:t>Öztürk</w:t>
      </w:r>
      <w:r>
        <w:rPr>
          <w:rFonts w:eastAsia="Times New Roman" w:cs="Times New Roman"/>
          <w:szCs w:val="24"/>
          <w:highlight w:val="white"/>
        </w:rPr>
        <w:t xml:space="preserve"> </w:t>
      </w:r>
      <w:r w:rsidRPr="00514DDC">
        <w:rPr>
          <w:rFonts w:eastAsia="Times New Roman" w:cs="Times New Roman"/>
          <w:szCs w:val="24"/>
          <w:highlight w:val="white"/>
        </w:rPr>
        <w:t xml:space="preserve">and </w:t>
      </w:r>
      <w:proofErr w:type="spellStart"/>
      <w:r w:rsidRPr="00514DDC">
        <w:rPr>
          <w:rFonts w:eastAsia="Times New Roman" w:cs="Times New Roman"/>
          <w:szCs w:val="24"/>
          <w:highlight w:val="white"/>
        </w:rPr>
        <w:t>Bağış</w:t>
      </w:r>
      <w:proofErr w:type="spellEnd"/>
      <w:r w:rsidRPr="00514DDC">
        <w:rPr>
          <w:rFonts w:eastAsia="Times New Roman" w:cs="Times New Roman"/>
          <w:szCs w:val="24"/>
          <w:highlight w:val="white"/>
        </w:rPr>
        <w:t>,</w:t>
      </w:r>
      <w:r>
        <w:rPr>
          <w:rFonts w:eastAsia="Times New Roman" w:cs="Times New Roman"/>
          <w:szCs w:val="24"/>
          <w:highlight w:val="white"/>
        </w:rPr>
        <w:t xml:space="preserve"> </w:t>
      </w:r>
      <w:r w:rsidRPr="00514DDC">
        <w:rPr>
          <w:rFonts w:eastAsia="Times New Roman" w:cs="Times New Roman"/>
          <w:szCs w:val="24"/>
          <w:highlight w:val="white"/>
        </w:rPr>
        <w:t>2025</w:t>
      </w:r>
      <w:r>
        <w:rPr>
          <w:rFonts w:eastAsia="Times New Roman" w:cs="Times New Roman"/>
          <w:szCs w:val="24"/>
          <w:highlight w:val="white"/>
        </w:rPr>
        <w:t>).</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173"/>
        <w:gridCol w:w="1512"/>
        <w:gridCol w:w="1196"/>
        <w:gridCol w:w="736"/>
        <w:gridCol w:w="750"/>
        <w:gridCol w:w="550"/>
        <w:gridCol w:w="722"/>
        <w:gridCol w:w="693"/>
        <w:gridCol w:w="693"/>
      </w:tblGrid>
      <w:tr w:rsidR="00236CFD" w14:paraId="2B9C18D6" w14:textId="77777777" w:rsidTr="009B382F">
        <w:trPr>
          <w:trHeight w:val="500"/>
        </w:trPr>
        <w:tc>
          <w:tcPr>
            <w:tcW w:w="21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0AA9EE"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Activity</w:t>
            </w:r>
          </w:p>
        </w:tc>
        <w:tc>
          <w:tcPr>
            <w:tcW w:w="15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25DE97"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Senior Management</w:t>
            </w:r>
          </w:p>
        </w:tc>
        <w:tc>
          <w:tcPr>
            <w:tcW w:w="11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D8F323"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Project Manager</w:t>
            </w:r>
          </w:p>
        </w:tc>
        <w:tc>
          <w:tcPr>
            <w:tcW w:w="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F46CF8"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R&amp;D</w:t>
            </w:r>
          </w:p>
        </w:tc>
        <w:tc>
          <w:tcPr>
            <w:tcW w:w="7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05251B"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Mktg</w:t>
            </w:r>
          </w:p>
        </w:tc>
        <w:tc>
          <w:tcPr>
            <w:tcW w:w="5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6D73CB"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Fin</w:t>
            </w:r>
          </w:p>
        </w:tc>
        <w:tc>
          <w:tcPr>
            <w:tcW w:w="7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001DAB"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Cons</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7F0AAD"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Regs</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C97BB7" w14:textId="77777777" w:rsidR="00236CFD" w:rsidRDefault="00236CFD" w:rsidP="00236CFD">
            <w:pPr>
              <w:spacing w:after="0"/>
              <w:rPr>
                <w:rFonts w:eastAsia="Times New Roman" w:cs="Times New Roman"/>
                <w:b/>
                <w:bCs/>
                <w:szCs w:val="24"/>
                <w:highlight w:val="white"/>
              </w:rPr>
            </w:pPr>
            <w:r>
              <w:rPr>
                <w:rFonts w:eastAsia="Times New Roman" w:cs="Times New Roman"/>
                <w:b/>
                <w:bCs/>
                <w:szCs w:val="24"/>
                <w:highlight w:val="white"/>
              </w:rPr>
              <w:t>Sups</w:t>
            </w:r>
          </w:p>
        </w:tc>
      </w:tr>
      <w:tr w:rsidR="00236CFD" w14:paraId="491658DB" w14:textId="77777777" w:rsidTr="009B382F">
        <w:trPr>
          <w:trHeight w:val="500"/>
        </w:trPr>
        <w:tc>
          <w:tcPr>
            <w:tcW w:w="21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719F3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Product design</w:t>
            </w:r>
          </w:p>
        </w:tc>
        <w:tc>
          <w:tcPr>
            <w:tcW w:w="15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F6A44E"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w:t>
            </w:r>
          </w:p>
        </w:tc>
        <w:tc>
          <w:tcPr>
            <w:tcW w:w="11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0A003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A</w:t>
            </w:r>
          </w:p>
        </w:tc>
        <w:tc>
          <w:tcPr>
            <w:tcW w:w="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B6A9C0"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w:t>
            </w:r>
          </w:p>
        </w:tc>
        <w:tc>
          <w:tcPr>
            <w:tcW w:w="7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9B02F0"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5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CCA960"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7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8A88D6"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B06617"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494CD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r>
      <w:tr w:rsidR="00236CFD" w14:paraId="15989952" w14:textId="77777777" w:rsidTr="009B382F">
        <w:trPr>
          <w:trHeight w:val="500"/>
        </w:trPr>
        <w:tc>
          <w:tcPr>
            <w:tcW w:w="21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5BA797"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Regulatory approval</w:t>
            </w:r>
          </w:p>
        </w:tc>
        <w:tc>
          <w:tcPr>
            <w:tcW w:w="15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394A7C"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A</w:t>
            </w:r>
          </w:p>
        </w:tc>
        <w:tc>
          <w:tcPr>
            <w:tcW w:w="11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EB4FFC"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w:t>
            </w:r>
          </w:p>
        </w:tc>
        <w:tc>
          <w:tcPr>
            <w:tcW w:w="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6867AF"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7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5EAF6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5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7C65A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7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557478"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61D22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C8ACC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r>
      <w:tr w:rsidR="00236CFD" w14:paraId="5599D989" w14:textId="77777777" w:rsidTr="009B382F">
        <w:trPr>
          <w:trHeight w:val="500"/>
        </w:trPr>
        <w:tc>
          <w:tcPr>
            <w:tcW w:w="21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3EA88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Marketing campaign</w:t>
            </w:r>
          </w:p>
        </w:tc>
        <w:tc>
          <w:tcPr>
            <w:tcW w:w="15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D3C5F6"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A</w:t>
            </w:r>
          </w:p>
        </w:tc>
        <w:tc>
          <w:tcPr>
            <w:tcW w:w="11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5E71CC"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40434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7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62B08C"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w:t>
            </w:r>
          </w:p>
        </w:tc>
        <w:tc>
          <w:tcPr>
            <w:tcW w:w="5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1BC0F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7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C61F2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A675E1"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0540F6"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r>
      <w:tr w:rsidR="00236CFD" w14:paraId="6DE1930C" w14:textId="77777777" w:rsidTr="009B382F">
        <w:trPr>
          <w:trHeight w:val="500"/>
        </w:trPr>
        <w:tc>
          <w:tcPr>
            <w:tcW w:w="21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3B312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Budget Allocation</w:t>
            </w:r>
          </w:p>
        </w:tc>
        <w:tc>
          <w:tcPr>
            <w:tcW w:w="15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D8F9C9"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w:t>
            </w:r>
          </w:p>
        </w:tc>
        <w:tc>
          <w:tcPr>
            <w:tcW w:w="11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F36756"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D04DD9"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7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473E32"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5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29DF20"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A</w:t>
            </w:r>
          </w:p>
        </w:tc>
        <w:tc>
          <w:tcPr>
            <w:tcW w:w="7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61BC18"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79CD0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BB0CA9"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r>
      <w:tr w:rsidR="00236CFD" w14:paraId="2800E1C4" w14:textId="77777777" w:rsidTr="009B382F">
        <w:trPr>
          <w:trHeight w:val="500"/>
        </w:trPr>
        <w:tc>
          <w:tcPr>
            <w:tcW w:w="21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D32388"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Launch Execution</w:t>
            </w:r>
          </w:p>
        </w:tc>
        <w:tc>
          <w:tcPr>
            <w:tcW w:w="15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06C8B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w:t>
            </w:r>
          </w:p>
        </w:tc>
        <w:tc>
          <w:tcPr>
            <w:tcW w:w="11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4FB43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w:t>
            </w:r>
          </w:p>
        </w:tc>
        <w:tc>
          <w:tcPr>
            <w:tcW w:w="7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C132EA"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7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CB16C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A</w:t>
            </w:r>
          </w:p>
        </w:tc>
        <w:tc>
          <w:tcPr>
            <w:tcW w:w="5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36572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7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B9E169"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09511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I</w:t>
            </w:r>
          </w:p>
        </w:tc>
        <w:tc>
          <w:tcPr>
            <w:tcW w:w="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79997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w:t>
            </w:r>
          </w:p>
        </w:tc>
      </w:tr>
    </w:tbl>
    <w:p w14:paraId="44E1E1E3" w14:textId="77777777" w:rsidR="00236CFD" w:rsidRDefault="00236CFD" w:rsidP="00236CFD">
      <w:pPr>
        <w:spacing w:after="0"/>
        <w:rPr>
          <w:rFonts w:eastAsia="Times New Roman" w:cs="Times New Roman"/>
          <w:b/>
          <w:bCs/>
          <w:i/>
          <w:iCs/>
          <w:szCs w:val="24"/>
          <w:highlight w:val="white"/>
        </w:rPr>
      </w:pPr>
      <w:r>
        <w:rPr>
          <w:rFonts w:eastAsia="Times New Roman" w:cs="Times New Roman"/>
          <w:b/>
          <w:bCs/>
          <w:i/>
          <w:iCs/>
          <w:szCs w:val="24"/>
          <w:highlight w:val="white"/>
        </w:rPr>
        <w:t>R=Responsible</w:t>
      </w:r>
    </w:p>
    <w:p w14:paraId="28A39875" w14:textId="77777777" w:rsidR="00236CFD" w:rsidRDefault="00236CFD" w:rsidP="00236CFD">
      <w:pPr>
        <w:spacing w:after="0"/>
        <w:rPr>
          <w:rFonts w:eastAsia="Times New Roman" w:cs="Times New Roman"/>
          <w:b/>
          <w:bCs/>
          <w:i/>
          <w:iCs/>
          <w:szCs w:val="24"/>
          <w:highlight w:val="white"/>
        </w:rPr>
      </w:pPr>
      <w:r>
        <w:rPr>
          <w:rFonts w:eastAsia="Times New Roman" w:cs="Times New Roman"/>
          <w:b/>
          <w:bCs/>
          <w:i/>
          <w:iCs/>
          <w:szCs w:val="24"/>
          <w:highlight w:val="white"/>
        </w:rPr>
        <w:t>A=Accountable</w:t>
      </w:r>
    </w:p>
    <w:p w14:paraId="271C95ED" w14:textId="77777777" w:rsidR="00236CFD" w:rsidRDefault="00236CFD" w:rsidP="00236CFD">
      <w:pPr>
        <w:spacing w:after="0"/>
        <w:rPr>
          <w:rFonts w:eastAsia="Times New Roman" w:cs="Times New Roman"/>
          <w:b/>
          <w:bCs/>
          <w:i/>
          <w:iCs/>
          <w:szCs w:val="24"/>
          <w:highlight w:val="white"/>
        </w:rPr>
      </w:pPr>
      <w:r>
        <w:rPr>
          <w:rFonts w:eastAsia="Times New Roman" w:cs="Times New Roman"/>
          <w:b/>
          <w:bCs/>
          <w:i/>
          <w:iCs/>
          <w:szCs w:val="24"/>
          <w:highlight w:val="white"/>
        </w:rPr>
        <w:lastRenderedPageBreak/>
        <w:t xml:space="preserve"> C=Consulted,</w:t>
      </w:r>
    </w:p>
    <w:p w14:paraId="0EB05B46" w14:textId="77777777" w:rsidR="00236CFD" w:rsidRDefault="00236CFD" w:rsidP="00236CFD">
      <w:pPr>
        <w:spacing w:after="0"/>
        <w:rPr>
          <w:rFonts w:eastAsia="Times New Roman" w:cs="Times New Roman"/>
          <w:b/>
          <w:bCs/>
          <w:szCs w:val="24"/>
          <w:highlight w:val="white"/>
        </w:rPr>
      </w:pPr>
      <w:r>
        <w:rPr>
          <w:rFonts w:eastAsia="Times New Roman" w:cs="Times New Roman"/>
          <w:b/>
          <w:bCs/>
          <w:i/>
          <w:iCs/>
          <w:szCs w:val="24"/>
          <w:highlight w:val="white"/>
        </w:rPr>
        <w:t>I=Informed</w:t>
      </w:r>
    </w:p>
    <w:p w14:paraId="1EAA4C6C" w14:textId="77777777" w:rsidR="00236CFD" w:rsidRDefault="00236CFD" w:rsidP="00236CFD">
      <w:pPr>
        <w:spacing w:after="0"/>
        <w:rPr>
          <w:rFonts w:eastAsia="Times New Roman" w:cs="Times New Roman"/>
          <w:b/>
          <w:bCs/>
          <w:i/>
          <w:iCs/>
          <w:szCs w:val="24"/>
          <w:highlight w:val="white"/>
        </w:rPr>
      </w:pPr>
      <w:bookmarkStart w:id="17" w:name="_l232xc1z48v4" w:colFirst="0" w:colLast="0"/>
      <w:bookmarkEnd w:id="17"/>
      <w:r>
        <w:rPr>
          <w:rFonts w:eastAsia="Times New Roman" w:cs="Times New Roman"/>
          <w:b/>
          <w:bCs/>
          <w:i/>
          <w:iCs/>
          <w:szCs w:val="24"/>
          <w:highlight w:val="white"/>
        </w:rPr>
        <w:t>Stakeholder Mapping through considering the Mendelow's Power-Interest Grid</w:t>
      </w:r>
    </w:p>
    <w:p w14:paraId="0642835C" w14:textId="77777777" w:rsidR="00236CFD" w:rsidRPr="0050621B" w:rsidRDefault="00236CFD" w:rsidP="00236CFD">
      <w:pPr>
        <w:spacing w:after="0"/>
        <w:jc w:val="center"/>
        <w:rPr>
          <w:rFonts w:cs="Times New Roman"/>
          <w:b/>
          <w:bCs/>
          <w:szCs w:val="24"/>
        </w:rPr>
      </w:pPr>
      <w:r w:rsidRPr="0050621B">
        <w:rPr>
          <w:rFonts w:cs="Times New Roman"/>
          <w:b/>
          <w:bCs/>
          <w:noProof/>
          <w:szCs w:val="24"/>
        </w:rPr>
        <w:drawing>
          <wp:inline distT="114300" distB="114300" distL="114300" distR="114300" wp14:anchorId="0380394A" wp14:editId="692288A6">
            <wp:extent cx="5731200" cy="3594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3594100"/>
                    </a:xfrm>
                    <a:prstGeom prst="rect">
                      <a:avLst/>
                    </a:prstGeom>
                    <a:ln/>
                  </pic:spPr>
                </pic:pic>
              </a:graphicData>
            </a:graphic>
          </wp:inline>
        </w:drawing>
      </w:r>
    </w:p>
    <w:p w14:paraId="40B615C5" w14:textId="77777777" w:rsidR="00236CFD" w:rsidRPr="0050621B" w:rsidRDefault="00236CFD" w:rsidP="00236CFD">
      <w:pPr>
        <w:spacing w:after="0"/>
        <w:jc w:val="center"/>
        <w:rPr>
          <w:rFonts w:cs="Times New Roman"/>
          <w:b/>
          <w:bCs/>
          <w:szCs w:val="24"/>
        </w:rPr>
      </w:pPr>
      <w:r w:rsidRPr="0050621B">
        <w:rPr>
          <w:rFonts w:cs="Times New Roman"/>
          <w:b/>
          <w:bCs/>
          <w:szCs w:val="24"/>
        </w:rPr>
        <w:t>Figure: Stakeholder mapping</w:t>
      </w:r>
    </w:p>
    <w:p w14:paraId="246E0CFF" w14:textId="77777777" w:rsidR="00236CFD" w:rsidRPr="0050621B" w:rsidRDefault="00236CFD" w:rsidP="00236CFD">
      <w:pPr>
        <w:spacing w:after="0"/>
        <w:jc w:val="center"/>
        <w:rPr>
          <w:rFonts w:cs="Times New Roman"/>
          <w:szCs w:val="24"/>
        </w:rPr>
      </w:pPr>
      <w:r w:rsidRPr="0050621B">
        <w:rPr>
          <w:rFonts w:cs="Times New Roman"/>
          <w:b/>
          <w:bCs/>
          <w:szCs w:val="24"/>
        </w:rPr>
        <w:t xml:space="preserve">Source: </w:t>
      </w:r>
      <w:r w:rsidRPr="0050621B">
        <w:rPr>
          <w:rFonts w:cs="Times New Roman"/>
          <w:szCs w:val="24"/>
        </w:rPr>
        <w:t>(Author, 2025)</w:t>
      </w:r>
    </w:p>
    <w:tbl>
      <w:tblPr>
        <w:tblW w:w="8760" w:type="dxa"/>
        <w:tblBorders>
          <w:top w:val="nil"/>
          <w:left w:val="nil"/>
          <w:bottom w:val="nil"/>
          <w:right w:val="nil"/>
          <w:insideH w:val="nil"/>
          <w:insideV w:val="nil"/>
        </w:tblBorders>
        <w:tblLayout w:type="fixed"/>
        <w:tblLook w:val="0600" w:firstRow="0" w:lastRow="0" w:firstColumn="0" w:lastColumn="0" w:noHBand="1" w:noVBand="1"/>
      </w:tblPr>
      <w:tblGrid>
        <w:gridCol w:w="2475"/>
        <w:gridCol w:w="1785"/>
        <w:gridCol w:w="2565"/>
        <w:gridCol w:w="1935"/>
      </w:tblGrid>
      <w:tr w:rsidR="00236CFD" w14:paraId="114A9D92" w14:textId="77777777" w:rsidTr="009B382F">
        <w:trPr>
          <w:trHeight w:val="500"/>
        </w:trPr>
        <w:tc>
          <w:tcPr>
            <w:tcW w:w="2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F551BA"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Stakeholders</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4D2429"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Power</w:t>
            </w:r>
          </w:p>
        </w:tc>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711FB2"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Interest</w:t>
            </w:r>
          </w:p>
        </w:tc>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D9D198"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Strategy</w:t>
            </w:r>
          </w:p>
        </w:tc>
      </w:tr>
      <w:tr w:rsidR="00236CFD" w14:paraId="7165190B" w14:textId="77777777" w:rsidTr="009B382F">
        <w:trPr>
          <w:trHeight w:val="500"/>
        </w:trPr>
        <w:tc>
          <w:tcPr>
            <w:tcW w:w="2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8BAC7F"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 xml:space="preserve">Senior </w:t>
            </w:r>
            <w:proofErr w:type="spellStart"/>
            <w:r>
              <w:rPr>
                <w:rFonts w:eastAsia="Times New Roman" w:cs="Times New Roman"/>
                <w:szCs w:val="24"/>
                <w:highlight w:val="white"/>
              </w:rPr>
              <w:t>Mgmt</w:t>
            </w:r>
            <w:proofErr w:type="spellEnd"/>
            <w:r>
              <w:rPr>
                <w:rFonts w:eastAsia="Times New Roman" w:cs="Times New Roman"/>
                <w:szCs w:val="24"/>
                <w:highlight w:val="white"/>
              </w:rPr>
              <w:t>, Regulators, Investors</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6588C2"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High</w:t>
            </w:r>
          </w:p>
        </w:tc>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3C67CC"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High</w:t>
            </w:r>
          </w:p>
        </w:tc>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66D779"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Manage Closely</w:t>
            </w:r>
          </w:p>
        </w:tc>
      </w:tr>
      <w:tr w:rsidR="00236CFD" w14:paraId="5B53B70E" w14:textId="77777777" w:rsidTr="009B382F">
        <w:trPr>
          <w:trHeight w:val="500"/>
        </w:trPr>
        <w:tc>
          <w:tcPr>
            <w:tcW w:w="2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7E9DE7"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Suppliers, Finance</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7C77C3"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High</w:t>
            </w:r>
          </w:p>
        </w:tc>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0B73A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Low</w:t>
            </w:r>
          </w:p>
        </w:tc>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613C52"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Keep Satisfied</w:t>
            </w:r>
          </w:p>
        </w:tc>
      </w:tr>
      <w:tr w:rsidR="00236CFD" w14:paraId="48E1B6B1" w14:textId="77777777" w:rsidTr="009B382F">
        <w:trPr>
          <w:trHeight w:val="500"/>
        </w:trPr>
        <w:tc>
          <w:tcPr>
            <w:tcW w:w="2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A286C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R&amp;D, Consumers, Partners</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1A43D6"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Low</w:t>
            </w:r>
          </w:p>
        </w:tc>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A928A9"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High</w:t>
            </w:r>
          </w:p>
        </w:tc>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898C8C"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Keep Informed</w:t>
            </w:r>
          </w:p>
        </w:tc>
      </w:tr>
      <w:tr w:rsidR="00236CFD" w14:paraId="40AEE73C" w14:textId="77777777" w:rsidTr="009B382F">
        <w:trPr>
          <w:trHeight w:val="500"/>
        </w:trPr>
        <w:tc>
          <w:tcPr>
            <w:tcW w:w="2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2A8A5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HR</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0A87A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Low</w:t>
            </w:r>
          </w:p>
        </w:tc>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039752"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Low</w:t>
            </w:r>
          </w:p>
        </w:tc>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D0E35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Monitor</w:t>
            </w:r>
          </w:p>
        </w:tc>
      </w:tr>
    </w:tbl>
    <w:p w14:paraId="10E9C616" w14:textId="77777777" w:rsidR="00236CFD" w:rsidRPr="0050621B" w:rsidRDefault="00236CFD" w:rsidP="00236CFD">
      <w:pPr>
        <w:spacing w:after="0"/>
        <w:rPr>
          <w:rFonts w:eastAsia="Times New Roman" w:cs="Times New Roman"/>
          <w:b/>
          <w:bCs/>
          <w:szCs w:val="24"/>
          <w:highlight w:val="white"/>
          <w:u w:val="single"/>
        </w:rPr>
      </w:pPr>
      <w:bookmarkStart w:id="18" w:name="_mf7swwt35znn" w:colFirst="0" w:colLast="0"/>
      <w:bookmarkEnd w:id="18"/>
      <w:r w:rsidRPr="0050621B">
        <w:rPr>
          <w:rFonts w:eastAsia="Times New Roman" w:cs="Times New Roman"/>
          <w:b/>
          <w:bCs/>
          <w:szCs w:val="24"/>
          <w:highlight w:val="white"/>
          <w:u w:val="single"/>
        </w:rPr>
        <w:t>Analysis</w:t>
      </w:r>
    </w:p>
    <w:p w14:paraId="7360F2EF" w14:textId="77777777" w:rsidR="00236CFD" w:rsidRPr="00514DDC" w:rsidRDefault="00236CFD" w:rsidP="00236CFD">
      <w:pPr>
        <w:spacing w:after="0"/>
        <w:rPr>
          <w:rFonts w:eastAsia="Times New Roman" w:cs="Times New Roman"/>
          <w:b/>
          <w:bCs/>
          <w:szCs w:val="24"/>
          <w:highlight w:val="white"/>
        </w:rPr>
      </w:pPr>
      <w:r>
        <w:rPr>
          <w:rFonts w:eastAsia="Times New Roman" w:cs="Times New Roman"/>
          <w:szCs w:val="24"/>
          <w:highlight w:val="white"/>
        </w:rPr>
        <w:lastRenderedPageBreak/>
        <w:t xml:space="preserve">The PulseOx SleepGuard launch will rely on lots of stakeholders that are further classified according to their levels of influence and engagement.  Therefore, the Power-Interest Grid by Mendelow works best in ranking all the stakeholders. High power and High interest stakeholders involve the senior management, regulators and investors. They will require close management by direct participation to ensure approvals. On the other hand, funding is achieved to reduce risks such as delays. High power and low interest groups of suppliers and finance need to be satisfied through the application of contracts and reports. All the stakeholders that require strong informing mainly include low power and high interest. </w:t>
      </w:r>
      <w:r w:rsidRPr="00514DDC">
        <w:rPr>
          <w:rFonts w:eastAsia="Times New Roman" w:cs="Times New Roman"/>
          <w:szCs w:val="24"/>
          <w:highlight w:val="white"/>
        </w:rPr>
        <w:t>Research and development, consumers, partners and other stakeholders are managed by maintaining the levels of motivation and receiving feedback to improve product refinement</w:t>
      </w:r>
      <w:r>
        <w:rPr>
          <w:rFonts w:eastAsia="Times New Roman" w:cs="Times New Roman"/>
          <w:szCs w:val="24"/>
          <w:highlight w:val="white"/>
        </w:rPr>
        <w:t xml:space="preserve"> (</w:t>
      </w:r>
      <w:r w:rsidRPr="00514DDC">
        <w:rPr>
          <w:rFonts w:eastAsia="Times New Roman" w:cs="Times New Roman"/>
          <w:szCs w:val="24"/>
          <w:highlight w:val="white"/>
        </w:rPr>
        <w:t>Kenyon,</w:t>
      </w:r>
      <w:r>
        <w:rPr>
          <w:rFonts w:eastAsia="Times New Roman" w:cs="Times New Roman"/>
          <w:szCs w:val="24"/>
          <w:highlight w:val="white"/>
        </w:rPr>
        <w:t xml:space="preserve"> </w:t>
      </w:r>
      <w:r w:rsidRPr="00514DDC">
        <w:rPr>
          <w:rFonts w:eastAsia="Times New Roman" w:cs="Times New Roman"/>
          <w:szCs w:val="24"/>
          <w:highlight w:val="white"/>
        </w:rPr>
        <w:t>2025</w:t>
      </w:r>
      <w:r>
        <w:rPr>
          <w:rFonts w:eastAsia="Times New Roman" w:cs="Times New Roman"/>
          <w:szCs w:val="24"/>
          <w:highlight w:val="white"/>
        </w:rPr>
        <w:t>)</w:t>
      </w:r>
      <w:r w:rsidRPr="00514DDC">
        <w:rPr>
          <w:rFonts w:eastAsia="Times New Roman" w:cs="Times New Roman"/>
          <w:szCs w:val="24"/>
          <w:highlight w:val="white"/>
        </w:rPr>
        <w:t xml:space="preserve">. </w:t>
      </w:r>
      <w:r>
        <w:rPr>
          <w:rFonts w:eastAsia="Times New Roman" w:cs="Times New Roman"/>
          <w:szCs w:val="24"/>
          <w:highlight w:val="white"/>
        </w:rPr>
        <w:t xml:space="preserve">The above mapping is based on the Stakeholder Theory which is efficient in allocating resources within the 6-month period. </w:t>
      </w:r>
      <w:r w:rsidRPr="00514DDC">
        <w:rPr>
          <w:rFonts w:eastAsia="Times New Roman" w:cs="Times New Roman"/>
          <w:szCs w:val="24"/>
          <w:highlight w:val="white"/>
        </w:rPr>
        <w:t>Balancing power to achieve project success can be demonstrated by gaining better outcomes during the use of such grids in healthcare launches</w:t>
      </w:r>
      <w:r>
        <w:rPr>
          <w:rFonts w:eastAsia="Times New Roman" w:cs="Times New Roman"/>
          <w:szCs w:val="24"/>
          <w:highlight w:val="white"/>
        </w:rPr>
        <w:t xml:space="preserve"> (</w:t>
      </w:r>
      <w:proofErr w:type="spellStart"/>
      <w:r w:rsidRPr="00514DDC">
        <w:rPr>
          <w:rFonts w:eastAsia="Times New Roman" w:cs="Times New Roman"/>
          <w:szCs w:val="24"/>
          <w:highlight w:val="white"/>
        </w:rPr>
        <w:t>Sarungu</w:t>
      </w:r>
      <w:proofErr w:type="spellEnd"/>
      <w:r>
        <w:rPr>
          <w:rFonts w:eastAsia="Times New Roman" w:cs="Times New Roman"/>
          <w:szCs w:val="24"/>
          <w:highlight w:val="white"/>
        </w:rPr>
        <w:t xml:space="preserve">, </w:t>
      </w:r>
      <w:r w:rsidRPr="00514DDC">
        <w:rPr>
          <w:rFonts w:eastAsia="Times New Roman" w:cs="Times New Roman"/>
          <w:szCs w:val="24"/>
          <w:highlight w:val="white"/>
        </w:rPr>
        <w:t>2024</w:t>
      </w:r>
      <w:r>
        <w:rPr>
          <w:rFonts w:eastAsia="Times New Roman" w:cs="Times New Roman"/>
          <w:szCs w:val="24"/>
          <w:highlight w:val="white"/>
        </w:rPr>
        <w:t>)</w:t>
      </w:r>
      <w:r w:rsidRPr="00514DDC">
        <w:rPr>
          <w:rFonts w:eastAsia="Times New Roman" w:cs="Times New Roman"/>
          <w:szCs w:val="24"/>
          <w:highlight w:val="white"/>
        </w:rPr>
        <w:t>.</w:t>
      </w:r>
    </w:p>
    <w:p w14:paraId="6954BCD3" w14:textId="77777777" w:rsidR="00236CFD" w:rsidRPr="0050621B" w:rsidRDefault="00236CFD" w:rsidP="00236CFD">
      <w:pPr>
        <w:spacing w:after="0"/>
        <w:rPr>
          <w:rFonts w:eastAsia="Times New Roman" w:cs="Times New Roman"/>
          <w:b/>
          <w:bCs/>
          <w:i/>
          <w:iCs/>
          <w:szCs w:val="24"/>
          <w:highlight w:val="white"/>
        </w:rPr>
      </w:pPr>
      <w:r w:rsidRPr="0050621B">
        <w:rPr>
          <w:rFonts w:eastAsia="Times New Roman" w:cs="Times New Roman"/>
          <w:b/>
          <w:bCs/>
          <w:i/>
          <w:iCs/>
          <w:szCs w:val="24"/>
          <w:highlight w:val="white"/>
        </w:rPr>
        <w:t>Engagement plan</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634"/>
        <w:gridCol w:w="2239"/>
        <w:gridCol w:w="5152"/>
      </w:tblGrid>
      <w:tr w:rsidR="00236CFD" w14:paraId="64871136" w14:textId="77777777" w:rsidTr="009B382F">
        <w:trPr>
          <w:trHeight w:val="500"/>
        </w:trPr>
        <w:tc>
          <w:tcPr>
            <w:tcW w:w="16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DCCA2F"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Tasks</w:t>
            </w:r>
          </w:p>
        </w:tc>
        <w:tc>
          <w:tcPr>
            <w:tcW w:w="22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455D9E"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Tactics</w:t>
            </w:r>
          </w:p>
        </w:tc>
        <w:tc>
          <w:tcPr>
            <w:tcW w:w="515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2549A5"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Timeline</w:t>
            </w:r>
          </w:p>
        </w:tc>
      </w:tr>
      <w:tr w:rsidR="00236CFD" w14:paraId="2D2309B6" w14:textId="77777777" w:rsidTr="009B382F">
        <w:trPr>
          <w:trHeight w:val="770"/>
        </w:trPr>
        <w:tc>
          <w:tcPr>
            <w:tcW w:w="16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AC2F6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Managing Closely</w:t>
            </w:r>
          </w:p>
        </w:tc>
        <w:tc>
          <w:tcPr>
            <w:tcW w:w="22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A2E2F2"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One-on-one meeting and organising workshops</w:t>
            </w:r>
          </w:p>
        </w:tc>
        <w:tc>
          <w:tcPr>
            <w:tcW w:w="515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E95307"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 xml:space="preserve">Weekly </w:t>
            </w:r>
          </w:p>
        </w:tc>
      </w:tr>
      <w:tr w:rsidR="00236CFD" w14:paraId="5CCB70B3" w14:textId="77777777" w:rsidTr="009B382F">
        <w:trPr>
          <w:trHeight w:val="500"/>
        </w:trPr>
        <w:tc>
          <w:tcPr>
            <w:tcW w:w="16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38609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Keep Satisfied</w:t>
            </w:r>
          </w:p>
        </w:tc>
        <w:tc>
          <w:tcPr>
            <w:tcW w:w="22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DF242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Reports and incentives</w:t>
            </w:r>
          </w:p>
        </w:tc>
        <w:tc>
          <w:tcPr>
            <w:tcW w:w="515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7BB495"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Bi-monthly</w:t>
            </w:r>
          </w:p>
        </w:tc>
      </w:tr>
      <w:tr w:rsidR="00236CFD" w14:paraId="464BBA55" w14:textId="77777777" w:rsidTr="009B382F">
        <w:trPr>
          <w:trHeight w:val="500"/>
        </w:trPr>
        <w:tc>
          <w:tcPr>
            <w:tcW w:w="16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AF6231"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Keep informed</w:t>
            </w:r>
          </w:p>
        </w:tc>
        <w:tc>
          <w:tcPr>
            <w:tcW w:w="22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569923"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Newsletters and portals</w:t>
            </w:r>
          </w:p>
        </w:tc>
        <w:tc>
          <w:tcPr>
            <w:tcW w:w="515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3DBB6A"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Monthly</w:t>
            </w:r>
          </w:p>
        </w:tc>
      </w:tr>
      <w:tr w:rsidR="00236CFD" w14:paraId="13544329" w14:textId="77777777" w:rsidTr="009B382F">
        <w:trPr>
          <w:trHeight w:val="500"/>
        </w:trPr>
        <w:tc>
          <w:tcPr>
            <w:tcW w:w="163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382D23"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Monitoring</w:t>
            </w:r>
          </w:p>
        </w:tc>
        <w:tc>
          <w:tcPr>
            <w:tcW w:w="22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2884E3"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Annual reviews</w:t>
            </w:r>
          </w:p>
        </w:tc>
        <w:tc>
          <w:tcPr>
            <w:tcW w:w="515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7EC4E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Quarterly</w:t>
            </w:r>
          </w:p>
        </w:tc>
      </w:tr>
    </w:tbl>
    <w:p w14:paraId="22A137B0" w14:textId="77777777" w:rsidR="00236CFD" w:rsidRDefault="00236CFD" w:rsidP="00236CFD">
      <w:pPr>
        <w:spacing w:after="0"/>
        <w:rPr>
          <w:rFonts w:eastAsia="Times New Roman" w:cs="Times New Roman"/>
          <w:b/>
          <w:bCs/>
          <w:i/>
          <w:iCs/>
          <w:szCs w:val="24"/>
          <w:highlight w:val="white"/>
        </w:rPr>
      </w:pPr>
      <w:r>
        <w:rPr>
          <w:rFonts w:eastAsia="Times New Roman" w:cs="Times New Roman"/>
          <w:b/>
          <w:bCs/>
          <w:i/>
          <w:iCs/>
          <w:szCs w:val="24"/>
          <w:highlight w:val="white"/>
        </w:rPr>
        <w:t xml:space="preserve">Analysis </w:t>
      </w:r>
    </w:p>
    <w:p w14:paraId="1DE232D5" w14:textId="77777777" w:rsidR="00236CFD" w:rsidRPr="00AB69DD" w:rsidRDefault="00236CFD" w:rsidP="00236CFD">
      <w:pPr>
        <w:spacing w:after="0"/>
        <w:rPr>
          <w:rFonts w:eastAsia="Times New Roman" w:cs="Times New Roman"/>
          <w:b/>
          <w:bCs/>
          <w:szCs w:val="24"/>
          <w:highlight w:val="white"/>
        </w:rPr>
      </w:pPr>
      <w:r w:rsidRPr="00AB69DD">
        <w:rPr>
          <w:rFonts w:eastAsia="Times New Roman" w:cs="Times New Roman"/>
          <w:szCs w:val="24"/>
          <w:highlight w:val="white"/>
        </w:rPr>
        <w:t>The overall engagement plan provides the use of some specific strategies which are based on the 4Cs (Communication, Coordination, Cooperation and Collaboration)</w:t>
      </w:r>
      <w:r>
        <w:rPr>
          <w:rFonts w:eastAsia="Times New Roman" w:cs="Times New Roman"/>
          <w:szCs w:val="24"/>
          <w:highlight w:val="white"/>
        </w:rPr>
        <w:t xml:space="preserve"> (</w:t>
      </w:r>
      <w:r w:rsidRPr="00AB69DD">
        <w:rPr>
          <w:rFonts w:eastAsia="Times New Roman" w:cs="Times New Roman"/>
          <w:szCs w:val="24"/>
          <w:highlight w:val="white"/>
        </w:rPr>
        <w:t>Ochilov</w:t>
      </w:r>
      <w:r>
        <w:rPr>
          <w:rFonts w:eastAsia="Times New Roman" w:cs="Times New Roman"/>
          <w:szCs w:val="24"/>
          <w:highlight w:val="white"/>
        </w:rPr>
        <w:t xml:space="preserve">, </w:t>
      </w:r>
      <w:r w:rsidRPr="00AB69DD">
        <w:rPr>
          <w:rFonts w:eastAsia="Times New Roman" w:cs="Times New Roman"/>
          <w:szCs w:val="24"/>
          <w:highlight w:val="white"/>
        </w:rPr>
        <w:t>2025</w:t>
      </w:r>
      <w:r>
        <w:rPr>
          <w:rFonts w:eastAsia="Times New Roman" w:cs="Times New Roman"/>
          <w:szCs w:val="24"/>
          <w:highlight w:val="white"/>
        </w:rPr>
        <w:t>)</w:t>
      </w:r>
      <w:r w:rsidRPr="00AB69DD">
        <w:rPr>
          <w:rFonts w:eastAsia="Times New Roman" w:cs="Times New Roman"/>
          <w:szCs w:val="24"/>
          <w:highlight w:val="white"/>
        </w:rPr>
        <w:t>.</w:t>
      </w:r>
      <w:r>
        <w:rPr>
          <w:rFonts w:eastAsia="Times New Roman" w:cs="Times New Roman"/>
          <w:szCs w:val="24"/>
          <w:highlight w:val="white"/>
        </w:rPr>
        <w:t xml:space="preserve"> Some of the effective gap-closing measures that should be applied in response to the gaps discovered during the preliminary stages. Close management strategies like workshops drive the executive buy-ins </w:t>
      </w:r>
      <w:r>
        <w:rPr>
          <w:rFonts w:eastAsia="Times New Roman" w:cs="Times New Roman"/>
          <w:szCs w:val="24"/>
          <w:highlight w:val="white"/>
        </w:rPr>
        <w:lastRenderedPageBreak/>
        <w:t>and reduce the rate of strategic misalignment by a significant margin according to the PMI standards. The keeping satisfied strategies help in making suppliers dependable and research and development productivity is increased through informing through portals</w:t>
      </w:r>
      <w:r w:rsidRPr="00AB69DD">
        <w:rPr>
          <w:rFonts w:eastAsia="Times New Roman" w:cs="Times New Roman"/>
          <w:b/>
          <w:bCs/>
          <w:szCs w:val="24"/>
          <w:highlight w:val="white"/>
        </w:rPr>
        <w:t xml:space="preserve">. </w:t>
      </w:r>
      <w:r w:rsidRPr="00AB69DD">
        <w:rPr>
          <w:rFonts w:eastAsia="Times New Roman" w:cs="Times New Roman"/>
          <w:szCs w:val="24"/>
          <w:highlight w:val="white"/>
        </w:rPr>
        <w:t>Talent loss is avoided by monitoring the HR and progress is monitored on a monthly basis</w:t>
      </w:r>
      <w:r>
        <w:rPr>
          <w:rFonts w:eastAsia="Times New Roman" w:cs="Times New Roman"/>
          <w:szCs w:val="24"/>
          <w:highlight w:val="white"/>
        </w:rPr>
        <w:t xml:space="preserve"> (</w:t>
      </w:r>
      <w:proofErr w:type="spellStart"/>
      <w:r w:rsidRPr="00AB69DD">
        <w:rPr>
          <w:rFonts w:eastAsia="Times New Roman" w:cs="Times New Roman"/>
          <w:szCs w:val="24"/>
          <w:highlight w:val="white"/>
        </w:rPr>
        <w:t>Perpétuo</w:t>
      </w:r>
      <w:proofErr w:type="spellEnd"/>
      <w:r>
        <w:rPr>
          <w:rFonts w:eastAsia="Times New Roman" w:cs="Times New Roman"/>
          <w:szCs w:val="24"/>
          <w:highlight w:val="white"/>
        </w:rPr>
        <w:t xml:space="preserve"> </w:t>
      </w:r>
      <w:r w:rsidRPr="00AB69DD">
        <w:rPr>
          <w:rFonts w:eastAsia="Times New Roman" w:cs="Times New Roman"/>
          <w:szCs w:val="24"/>
          <w:highlight w:val="white"/>
        </w:rPr>
        <w:t>and Pestana,</w:t>
      </w:r>
      <w:r>
        <w:rPr>
          <w:rFonts w:eastAsia="Times New Roman" w:cs="Times New Roman"/>
          <w:szCs w:val="24"/>
          <w:highlight w:val="white"/>
        </w:rPr>
        <w:t xml:space="preserve"> </w:t>
      </w:r>
      <w:r w:rsidRPr="00AB69DD">
        <w:rPr>
          <w:rFonts w:eastAsia="Times New Roman" w:cs="Times New Roman"/>
          <w:szCs w:val="24"/>
          <w:highlight w:val="white"/>
        </w:rPr>
        <w:t>2022</w:t>
      </w:r>
      <w:r>
        <w:rPr>
          <w:rFonts w:eastAsia="Times New Roman" w:cs="Times New Roman"/>
          <w:szCs w:val="24"/>
          <w:highlight w:val="white"/>
        </w:rPr>
        <w:t>)</w:t>
      </w:r>
      <w:r w:rsidRPr="00AB69DD">
        <w:rPr>
          <w:rFonts w:eastAsia="Times New Roman" w:cs="Times New Roman"/>
          <w:szCs w:val="24"/>
          <w:highlight w:val="white"/>
        </w:rPr>
        <w:t>.</w:t>
      </w:r>
    </w:p>
    <w:p w14:paraId="09C4CB55" w14:textId="77777777" w:rsidR="00236CFD" w:rsidRDefault="00236CFD" w:rsidP="00236CFD">
      <w:pPr>
        <w:spacing w:after="0"/>
        <w:rPr>
          <w:rFonts w:eastAsia="Times New Roman" w:cs="Times New Roman"/>
          <w:b/>
          <w:bCs/>
          <w:szCs w:val="24"/>
          <w:highlight w:val="white"/>
          <w:u w:val="single"/>
        </w:rPr>
      </w:pPr>
      <w:r>
        <w:rPr>
          <w:rFonts w:eastAsia="Times New Roman" w:cs="Times New Roman"/>
          <w:b/>
          <w:bCs/>
          <w:szCs w:val="24"/>
          <w:highlight w:val="white"/>
          <w:u w:val="single"/>
        </w:rPr>
        <w:t xml:space="preserve">Advantages </w:t>
      </w:r>
    </w:p>
    <w:p w14:paraId="5DB926F6" w14:textId="77777777" w:rsidR="00236CFD" w:rsidRDefault="00236CFD" w:rsidP="00236CFD">
      <w:pPr>
        <w:spacing w:after="0"/>
        <w:rPr>
          <w:rFonts w:eastAsia="Times New Roman" w:cs="Times New Roman"/>
          <w:szCs w:val="24"/>
          <w:highlight w:val="white"/>
        </w:rPr>
      </w:pPr>
      <w:r w:rsidRPr="00AB69DD">
        <w:rPr>
          <w:rFonts w:eastAsia="Times New Roman" w:cs="Times New Roman"/>
          <w:szCs w:val="24"/>
          <w:highlight w:val="white"/>
        </w:rPr>
        <w:t>Significant risk reduction and speedy innovation are achieved. However, occurrences of clashes between competing priorities are observed and effectively solved through adhering to the customised schedules</w:t>
      </w:r>
      <w:r>
        <w:rPr>
          <w:rFonts w:eastAsia="Times New Roman" w:cs="Times New Roman"/>
          <w:szCs w:val="24"/>
          <w:highlight w:val="white"/>
        </w:rPr>
        <w:t xml:space="preserve"> (</w:t>
      </w:r>
      <w:r w:rsidRPr="00AB69DD">
        <w:rPr>
          <w:rFonts w:eastAsia="Times New Roman" w:cs="Times New Roman"/>
          <w:szCs w:val="24"/>
          <w:highlight w:val="white"/>
        </w:rPr>
        <w:t>Morandini</w:t>
      </w:r>
      <w:r>
        <w:rPr>
          <w:rFonts w:eastAsia="Times New Roman" w:cs="Times New Roman"/>
          <w:szCs w:val="24"/>
          <w:highlight w:val="white"/>
        </w:rPr>
        <w:t xml:space="preserve"> </w:t>
      </w:r>
      <w:r>
        <w:rPr>
          <w:rFonts w:eastAsia="Times New Roman" w:cs="Times New Roman"/>
          <w:i/>
          <w:iCs/>
          <w:szCs w:val="24"/>
          <w:highlight w:val="white"/>
        </w:rPr>
        <w:t xml:space="preserve">et al., </w:t>
      </w:r>
      <w:r>
        <w:rPr>
          <w:rFonts w:eastAsia="Times New Roman" w:cs="Times New Roman"/>
          <w:szCs w:val="24"/>
          <w:highlight w:val="white"/>
        </w:rPr>
        <w:t>2025)</w:t>
      </w:r>
      <w:r w:rsidRPr="00AB69DD">
        <w:rPr>
          <w:rFonts w:eastAsia="Times New Roman" w:cs="Times New Roman"/>
          <w:szCs w:val="24"/>
          <w:highlight w:val="white"/>
        </w:rPr>
        <w:t>.</w:t>
      </w:r>
      <w:r>
        <w:rPr>
          <w:rFonts w:eastAsia="Times New Roman" w:cs="Times New Roman"/>
          <w:szCs w:val="24"/>
          <w:highlight w:val="white"/>
        </w:rPr>
        <w:t xml:space="preserve"> Generally, it also aids in maintaining stakeholder satisfaction which is essential in the entry of the wearable business of Sky Medical.</w:t>
      </w:r>
    </w:p>
    <w:p w14:paraId="23189638" w14:textId="77777777" w:rsidR="00236CFD" w:rsidRPr="0050621B" w:rsidRDefault="00236CFD" w:rsidP="00236CFD">
      <w:pPr>
        <w:spacing w:after="0"/>
        <w:rPr>
          <w:rFonts w:eastAsia="Times New Roman" w:cs="Times New Roman"/>
          <w:b/>
          <w:bCs/>
          <w:i/>
          <w:iCs/>
          <w:szCs w:val="24"/>
          <w:highlight w:val="white"/>
        </w:rPr>
      </w:pPr>
      <w:r w:rsidRPr="0050621B">
        <w:rPr>
          <w:rFonts w:eastAsia="Times New Roman" w:cs="Times New Roman"/>
          <w:b/>
          <w:bCs/>
          <w:i/>
          <w:iCs/>
          <w:szCs w:val="24"/>
          <w:highlight w:val="white"/>
        </w:rPr>
        <w:t>Uses 4Cs communication plan to address challenges like priorities</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377"/>
        <w:gridCol w:w="1855"/>
        <w:gridCol w:w="2430"/>
        <w:gridCol w:w="3363"/>
      </w:tblGrid>
      <w:tr w:rsidR="00236CFD" w14:paraId="104EC2F3" w14:textId="77777777" w:rsidTr="009B382F">
        <w:trPr>
          <w:trHeight w:val="500"/>
        </w:trPr>
        <w:tc>
          <w:tcPr>
            <w:tcW w:w="13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479693"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Group</w:t>
            </w:r>
          </w:p>
        </w:tc>
        <w:tc>
          <w:tcPr>
            <w:tcW w:w="18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6829AB"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Frequency</w:t>
            </w:r>
          </w:p>
        </w:tc>
        <w:tc>
          <w:tcPr>
            <w:tcW w:w="24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135BAA"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Channel</w:t>
            </w:r>
          </w:p>
        </w:tc>
        <w:tc>
          <w:tcPr>
            <w:tcW w:w="33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B0663B" w14:textId="77777777" w:rsidR="00236CFD" w:rsidRDefault="00236CFD" w:rsidP="00236CFD">
            <w:pPr>
              <w:spacing w:after="0"/>
              <w:jc w:val="center"/>
              <w:rPr>
                <w:rFonts w:eastAsia="Times New Roman" w:cs="Times New Roman"/>
                <w:b/>
                <w:bCs/>
                <w:szCs w:val="24"/>
                <w:highlight w:val="white"/>
              </w:rPr>
            </w:pPr>
            <w:r>
              <w:rPr>
                <w:rFonts w:eastAsia="Times New Roman" w:cs="Times New Roman"/>
                <w:b/>
                <w:bCs/>
                <w:szCs w:val="24"/>
                <w:highlight w:val="white"/>
              </w:rPr>
              <w:t>Purpose</w:t>
            </w:r>
          </w:p>
        </w:tc>
      </w:tr>
      <w:tr w:rsidR="00236CFD" w14:paraId="6DE41F18" w14:textId="77777777" w:rsidTr="009B382F">
        <w:trPr>
          <w:trHeight w:val="770"/>
        </w:trPr>
        <w:tc>
          <w:tcPr>
            <w:tcW w:w="13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998BC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 xml:space="preserve">Senior </w:t>
            </w:r>
            <w:proofErr w:type="spellStart"/>
            <w:r>
              <w:rPr>
                <w:rFonts w:eastAsia="Times New Roman" w:cs="Times New Roman"/>
                <w:szCs w:val="24"/>
                <w:highlight w:val="white"/>
              </w:rPr>
              <w:t>Mgmt</w:t>
            </w:r>
            <w:proofErr w:type="spellEnd"/>
          </w:p>
        </w:tc>
        <w:tc>
          <w:tcPr>
            <w:tcW w:w="18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93AD79"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Weekly</w:t>
            </w:r>
          </w:p>
        </w:tc>
        <w:tc>
          <w:tcPr>
            <w:tcW w:w="24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7301E7"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Meetings</w:t>
            </w:r>
          </w:p>
        </w:tc>
        <w:tc>
          <w:tcPr>
            <w:tcW w:w="33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1CDA02"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 xml:space="preserve">Alignment </w:t>
            </w:r>
          </w:p>
        </w:tc>
      </w:tr>
      <w:tr w:rsidR="00236CFD" w14:paraId="60807123" w14:textId="77777777" w:rsidTr="009B382F">
        <w:trPr>
          <w:trHeight w:val="500"/>
        </w:trPr>
        <w:tc>
          <w:tcPr>
            <w:tcW w:w="13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89C78A"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Research and development team</w:t>
            </w:r>
          </w:p>
        </w:tc>
        <w:tc>
          <w:tcPr>
            <w:tcW w:w="18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B8F00B"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Daily</w:t>
            </w:r>
          </w:p>
        </w:tc>
        <w:tc>
          <w:tcPr>
            <w:tcW w:w="24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DDB9F3"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Slack</w:t>
            </w:r>
          </w:p>
        </w:tc>
        <w:tc>
          <w:tcPr>
            <w:tcW w:w="33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3384F4"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Coordination</w:t>
            </w:r>
          </w:p>
        </w:tc>
      </w:tr>
      <w:tr w:rsidR="00236CFD" w14:paraId="57A6D494" w14:textId="77777777" w:rsidTr="009B382F">
        <w:trPr>
          <w:trHeight w:val="500"/>
        </w:trPr>
        <w:tc>
          <w:tcPr>
            <w:tcW w:w="13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812627"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Consumers</w:t>
            </w:r>
          </w:p>
        </w:tc>
        <w:tc>
          <w:tcPr>
            <w:tcW w:w="18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A1893A"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Monthly</w:t>
            </w:r>
          </w:p>
        </w:tc>
        <w:tc>
          <w:tcPr>
            <w:tcW w:w="24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1A2E7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Email or social</w:t>
            </w:r>
          </w:p>
        </w:tc>
        <w:tc>
          <w:tcPr>
            <w:tcW w:w="33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766900"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Feedback</w:t>
            </w:r>
          </w:p>
        </w:tc>
      </w:tr>
      <w:tr w:rsidR="00236CFD" w14:paraId="71F25ED0" w14:textId="77777777" w:rsidTr="009B382F">
        <w:trPr>
          <w:trHeight w:val="500"/>
        </w:trPr>
        <w:tc>
          <w:tcPr>
            <w:tcW w:w="13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3618B8"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Regulators</w:t>
            </w:r>
          </w:p>
        </w:tc>
        <w:tc>
          <w:tcPr>
            <w:tcW w:w="18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5F1459"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 xml:space="preserve">As required </w:t>
            </w:r>
          </w:p>
        </w:tc>
        <w:tc>
          <w:tcPr>
            <w:tcW w:w="24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9C7B70"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Submissions</w:t>
            </w:r>
          </w:p>
        </w:tc>
        <w:tc>
          <w:tcPr>
            <w:tcW w:w="336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38611D"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Compliance</w:t>
            </w:r>
          </w:p>
        </w:tc>
      </w:tr>
    </w:tbl>
    <w:p w14:paraId="3BB4C9C0" w14:textId="58B86225" w:rsidR="00236CFD" w:rsidRPr="00236CFD" w:rsidRDefault="00236CFD" w:rsidP="00236CFD">
      <w:pPr>
        <w:spacing w:after="0"/>
        <w:rPr>
          <w:rFonts w:eastAsia="Times New Roman" w:cs="Times New Roman"/>
          <w:b/>
          <w:bCs/>
          <w:szCs w:val="24"/>
          <w:highlight w:val="white"/>
        </w:rPr>
      </w:pPr>
      <w:bookmarkStart w:id="19" w:name="_2o5vvg82pm1s" w:colFirst="0" w:colLast="0"/>
      <w:bookmarkEnd w:id="19"/>
    </w:p>
    <w:p w14:paraId="49C4D19D" w14:textId="0DC9BA65" w:rsidR="00282D44" w:rsidRDefault="00282D44" w:rsidP="00236CFD">
      <w:pPr>
        <w:pStyle w:val="Heading2"/>
        <w:spacing w:before="0" w:after="0"/>
      </w:pPr>
      <w:bookmarkStart w:id="20" w:name="_Toc216368039"/>
      <w:bookmarkStart w:id="21" w:name="_Toc216369538"/>
      <w:r>
        <w:t>Exploring the Stakeholders’ Engagement Processes for the Selected Stakeholders and the Role of a Manager to Eliminate and Manage Conflict in Contrast with the 4C’s Model</w:t>
      </w:r>
      <w:bookmarkEnd w:id="20"/>
      <w:bookmarkEnd w:id="21"/>
      <w:r>
        <w:t xml:space="preserve"> </w:t>
      </w:r>
    </w:p>
    <w:p w14:paraId="1EAA4124" w14:textId="77777777" w:rsidR="00282D44" w:rsidRPr="00282D44" w:rsidRDefault="00282D44" w:rsidP="00236CFD">
      <w:pPr>
        <w:spacing w:after="0"/>
        <w:rPr>
          <w:b/>
          <w:bCs/>
          <w:u w:val="single"/>
        </w:rPr>
      </w:pPr>
      <w:bookmarkStart w:id="22" w:name="_lvoh7mjy10jn" w:colFirst="0" w:colLast="0"/>
      <w:bookmarkEnd w:id="22"/>
      <w:r w:rsidRPr="00282D44">
        <w:rPr>
          <w:b/>
          <w:bCs/>
          <w:u w:val="single"/>
        </w:rPr>
        <w:t>Demonstrating the Key Approaches for Proposing Stakeholders’ Engagement</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7170"/>
      </w:tblGrid>
      <w:tr w:rsidR="00282D44" w14:paraId="7B4A7E80" w14:textId="77777777" w:rsidTr="00753E06">
        <w:tc>
          <w:tcPr>
            <w:tcW w:w="2190" w:type="dxa"/>
            <w:tcMar>
              <w:top w:w="100" w:type="dxa"/>
              <w:left w:w="100" w:type="dxa"/>
              <w:bottom w:w="100" w:type="dxa"/>
              <w:right w:w="100" w:type="dxa"/>
            </w:tcMar>
          </w:tcPr>
          <w:p w14:paraId="0491B209" w14:textId="77777777" w:rsidR="00282D44" w:rsidRPr="002E7CBF" w:rsidRDefault="00282D44" w:rsidP="00236CFD">
            <w:pPr>
              <w:spacing w:after="0"/>
              <w:rPr>
                <w:b/>
                <w:bCs/>
                <w:i/>
                <w:iCs/>
              </w:rPr>
            </w:pPr>
            <w:r w:rsidRPr="002E7CBF">
              <w:rPr>
                <w:b/>
                <w:bCs/>
                <w:i/>
                <w:iCs/>
              </w:rPr>
              <w:t>Stakeholders</w:t>
            </w:r>
          </w:p>
        </w:tc>
        <w:tc>
          <w:tcPr>
            <w:tcW w:w="7170" w:type="dxa"/>
            <w:tcMar>
              <w:top w:w="100" w:type="dxa"/>
              <w:left w:w="100" w:type="dxa"/>
              <w:bottom w:w="100" w:type="dxa"/>
              <w:right w:w="100" w:type="dxa"/>
            </w:tcMar>
          </w:tcPr>
          <w:p w14:paraId="6467C056" w14:textId="77777777" w:rsidR="00282D44" w:rsidRPr="002E7CBF" w:rsidRDefault="00282D44" w:rsidP="00236CFD">
            <w:pPr>
              <w:spacing w:after="0"/>
              <w:rPr>
                <w:b/>
                <w:bCs/>
                <w:i/>
                <w:iCs/>
              </w:rPr>
            </w:pPr>
            <w:r w:rsidRPr="002E7CBF">
              <w:rPr>
                <w:b/>
                <w:bCs/>
                <w:i/>
                <w:iCs/>
              </w:rPr>
              <w:t>Engagement Processes</w:t>
            </w:r>
          </w:p>
        </w:tc>
      </w:tr>
      <w:tr w:rsidR="00282D44" w14:paraId="4355E8CF" w14:textId="77777777" w:rsidTr="00753E06">
        <w:tc>
          <w:tcPr>
            <w:tcW w:w="2190" w:type="dxa"/>
            <w:tcMar>
              <w:top w:w="100" w:type="dxa"/>
              <w:left w:w="100" w:type="dxa"/>
              <w:bottom w:w="100" w:type="dxa"/>
              <w:right w:w="100" w:type="dxa"/>
            </w:tcMar>
          </w:tcPr>
          <w:p w14:paraId="73E3FDD7" w14:textId="77777777" w:rsidR="00282D44" w:rsidRDefault="00282D44" w:rsidP="00236CFD">
            <w:pPr>
              <w:spacing w:after="0"/>
            </w:pPr>
            <w:r>
              <w:lastRenderedPageBreak/>
              <w:t>Senior Management</w:t>
            </w:r>
          </w:p>
        </w:tc>
        <w:tc>
          <w:tcPr>
            <w:tcW w:w="7170" w:type="dxa"/>
            <w:tcMar>
              <w:top w:w="100" w:type="dxa"/>
              <w:left w:w="100" w:type="dxa"/>
              <w:bottom w:w="100" w:type="dxa"/>
              <w:right w:w="100" w:type="dxa"/>
            </w:tcMar>
          </w:tcPr>
          <w:p w14:paraId="0C8E1F5D" w14:textId="77777777" w:rsidR="00282D44" w:rsidRDefault="00282D44" w:rsidP="00236CFD">
            <w:pPr>
              <w:spacing w:after="0"/>
            </w:pPr>
            <w:r>
              <w:t>Following the vast aspect of ensuring engagement for senior management in this key project, identification and mapping of the vital players are some major processes. Subsequently, this approach can assist in strategising the tailored communication and collaboration levels within the workplace while ensuring frequent updates.</w:t>
            </w:r>
          </w:p>
        </w:tc>
      </w:tr>
      <w:tr w:rsidR="00282D44" w14:paraId="201AB9CE" w14:textId="77777777" w:rsidTr="00753E06">
        <w:tc>
          <w:tcPr>
            <w:tcW w:w="2190" w:type="dxa"/>
            <w:tcMar>
              <w:top w:w="100" w:type="dxa"/>
              <w:left w:w="100" w:type="dxa"/>
              <w:bottom w:w="100" w:type="dxa"/>
              <w:right w:w="100" w:type="dxa"/>
            </w:tcMar>
          </w:tcPr>
          <w:p w14:paraId="51D1259D" w14:textId="77777777" w:rsidR="00282D44" w:rsidRDefault="00282D44" w:rsidP="00236CFD">
            <w:pPr>
              <w:spacing w:after="0"/>
            </w:pPr>
            <w:r>
              <w:t>Project Manager</w:t>
            </w:r>
          </w:p>
        </w:tc>
        <w:tc>
          <w:tcPr>
            <w:tcW w:w="7170" w:type="dxa"/>
            <w:tcMar>
              <w:top w:w="100" w:type="dxa"/>
              <w:left w:w="100" w:type="dxa"/>
              <w:bottom w:w="100" w:type="dxa"/>
              <w:right w:w="100" w:type="dxa"/>
            </w:tcMar>
          </w:tcPr>
          <w:p w14:paraId="5F9CDEC3" w14:textId="77777777" w:rsidR="00282D44" w:rsidRDefault="00282D44" w:rsidP="00236CFD">
            <w:pPr>
              <w:spacing w:after="0"/>
            </w:pPr>
            <w:r>
              <w:t xml:space="preserve">Identifying, analysing and strategising the correct way to communicate with different stakeholders in the task is a crucial method of engaging a project manager. Symbolically, such an efficient procedure can assist in aligning several works, gathering feedback for future use and monitoring relationships along the project </w:t>
            </w:r>
            <w:sdt>
              <w:sdtPr>
                <w:id w:val="272444689"/>
                <w:citation/>
              </w:sdtPr>
              <w:sdtContent>
                <w:r>
                  <w:fldChar w:fldCharType="begin"/>
                </w:r>
                <w:r>
                  <w:rPr>
                    <w:lang w:val="en-US"/>
                  </w:rPr>
                  <w:instrText xml:space="preserve"> CITATION Bre259 \l 1033 </w:instrText>
                </w:r>
                <w:r>
                  <w:fldChar w:fldCharType="separate"/>
                </w:r>
                <w:r w:rsidRPr="002E7CBF">
                  <w:rPr>
                    <w:noProof/>
                    <w:lang w:val="en-US"/>
                  </w:rPr>
                  <w:t>(Schwartz, 2025)</w:t>
                </w:r>
                <w:r>
                  <w:fldChar w:fldCharType="end"/>
                </w:r>
              </w:sdtContent>
            </w:sdt>
            <w:r>
              <w:t xml:space="preserve">. </w:t>
            </w:r>
          </w:p>
        </w:tc>
      </w:tr>
      <w:tr w:rsidR="00282D44" w14:paraId="67DD7A0A" w14:textId="77777777" w:rsidTr="00753E06">
        <w:tc>
          <w:tcPr>
            <w:tcW w:w="2190" w:type="dxa"/>
            <w:tcMar>
              <w:top w:w="100" w:type="dxa"/>
              <w:left w:w="100" w:type="dxa"/>
              <w:bottom w:w="100" w:type="dxa"/>
              <w:right w:w="100" w:type="dxa"/>
            </w:tcMar>
          </w:tcPr>
          <w:p w14:paraId="3C56DAF2" w14:textId="77777777" w:rsidR="00282D44" w:rsidRDefault="00282D44" w:rsidP="00236CFD">
            <w:pPr>
              <w:spacing w:after="0"/>
            </w:pPr>
            <w:r>
              <w:t>Research and Development Team</w:t>
            </w:r>
          </w:p>
        </w:tc>
        <w:tc>
          <w:tcPr>
            <w:tcW w:w="7170" w:type="dxa"/>
            <w:tcMar>
              <w:top w:w="100" w:type="dxa"/>
              <w:left w:w="100" w:type="dxa"/>
              <w:bottom w:w="100" w:type="dxa"/>
              <w:right w:w="100" w:type="dxa"/>
            </w:tcMar>
          </w:tcPr>
          <w:p w14:paraId="6B1A37D9" w14:textId="77777777" w:rsidR="00282D44" w:rsidRDefault="00282D44" w:rsidP="00236CFD">
            <w:pPr>
              <w:spacing w:after="0"/>
            </w:pPr>
            <w:r>
              <w:t xml:space="preserve">As per the critical concept of the 4C’s model, it can be observed that to ensure R&amp;D engagement, a manager must propose ideation and problem analysis. Similarly, concept validation and feasibility examination with prototype development and testing also guide in ensuring this approach. </w:t>
            </w:r>
          </w:p>
        </w:tc>
      </w:tr>
      <w:tr w:rsidR="00282D44" w14:paraId="43601D72" w14:textId="77777777" w:rsidTr="00753E06">
        <w:tc>
          <w:tcPr>
            <w:tcW w:w="2190" w:type="dxa"/>
            <w:tcMar>
              <w:top w:w="100" w:type="dxa"/>
              <w:left w:w="100" w:type="dxa"/>
              <w:bottom w:w="100" w:type="dxa"/>
              <w:right w:w="100" w:type="dxa"/>
            </w:tcMar>
          </w:tcPr>
          <w:p w14:paraId="369FB55D" w14:textId="77777777" w:rsidR="00282D44" w:rsidRDefault="00282D44" w:rsidP="00236CFD">
            <w:pPr>
              <w:spacing w:after="0"/>
            </w:pPr>
            <w:r>
              <w:t>Marketing and Sales</w:t>
            </w:r>
          </w:p>
        </w:tc>
        <w:tc>
          <w:tcPr>
            <w:tcW w:w="7170" w:type="dxa"/>
            <w:tcMar>
              <w:top w:w="100" w:type="dxa"/>
              <w:left w:w="100" w:type="dxa"/>
              <w:bottom w:w="100" w:type="dxa"/>
              <w:right w:w="100" w:type="dxa"/>
            </w:tcMar>
          </w:tcPr>
          <w:p w14:paraId="27FD818F" w14:textId="77777777" w:rsidR="00282D44" w:rsidRDefault="00282D44" w:rsidP="00236CFD">
            <w:pPr>
              <w:spacing w:after="0"/>
            </w:pPr>
            <w:r>
              <w:t xml:space="preserve">Development of this project can proactively be focused by enriching the elements of communication, cooperation, coordination and collaboration in order to engage the marketing and sales department. However, such an approachable task can be done by commencing the exchange of information, working together, achieving common goals and shared creativity.  </w:t>
            </w:r>
          </w:p>
        </w:tc>
      </w:tr>
      <w:tr w:rsidR="00282D44" w14:paraId="4B130FAD" w14:textId="77777777" w:rsidTr="00753E06">
        <w:tc>
          <w:tcPr>
            <w:tcW w:w="2190" w:type="dxa"/>
            <w:tcMar>
              <w:top w:w="100" w:type="dxa"/>
              <w:left w:w="100" w:type="dxa"/>
              <w:bottom w:w="100" w:type="dxa"/>
              <w:right w:w="100" w:type="dxa"/>
            </w:tcMar>
          </w:tcPr>
          <w:p w14:paraId="595677BA" w14:textId="77777777" w:rsidR="00282D44" w:rsidRDefault="00282D44" w:rsidP="00236CFD">
            <w:pPr>
              <w:spacing w:after="0"/>
            </w:pPr>
            <w:r>
              <w:t>Finance Team</w:t>
            </w:r>
          </w:p>
        </w:tc>
        <w:tc>
          <w:tcPr>
            <w:tcW w:w="7170" w:type="dxa"/>
            <w:tcMar>
              <w:top w:w="100" w:type="dxa"/>
              <w:left w:w="100" w:type="dxa"/>
              <w:bottom w:w="100" w:type="dxa"/>
              <w:right w:w="100" w:type="dxa"/>
            </w:tcMar>
          </w:tcPr>
          <w:p w14:paraId="653C0830" w14:textId="77777777" w:rsidR="00282D44" w:rsidRDefault="00282D44" w:rsidP="00236CFD">
            <w:pPr>
              <w:spacing w:after="0"/>
            </w:pPr>
            <w:r>
              <w:t xml:space="preserve">A structured sharing of important data with implementation of channels for exchange and basic understanding are some necessary inputs that help in engaging the finance team. Symbolically, with the help of informal arrangements, structured and systematic planning, and shared leadership, this process can be promoted </w:t>
            </w:r>
            <w:sdt>
              <w:sdtPr>
                <w:id w:val="1851365110"/>
                <w:citation/>
              </w:sdtPr>
              <w:sdtContent>
                <w:r>
                  <w:fldChar w:fldCharType="begin"/>
                </w:r>
                <w:r>
                  <w:rPr>
                    <w:lang w:val="en-US"/>
                  </w:rPr>
                  <w:instrText xml:space="preserve"> CITATION fyl25 \l 1033 </w:instrText>
                </w:r>
                <w:r>
                  <w:fldChar w:fldCharType="separate"/>
                </w:r>
                <w:r w:rsidRPr="002E7CBF">
                  <w:rPr>
                    <w:noProof/>
                    <w:lang w:val="en-US"/>
                  </w:rPr>
                  <w:t>(fylehq, 2025)</w:t>
                </w:r>
                <w:r>
                  <w:fldChar w:fldCharType="end"/>
                </w:r>
              </w:sdtContent>
            </w:sdt>
            <w:r>
              <w:t xml:space="preserve">. </w:t>
            </w:r>
          </w:p>
        </w:tc>
      </w:tr>
      <w:tr w:rsidR="00282D44" w14:paraId="551B30D6" w14:textId="77777777" w:rsidTr="00753E06">
        <w:tc>
          <w:tcPr>
            <w:tcW w:w="2190" w:type="dxa"/>
            <w:tcMar>
              <w:top w:w="100" w:type="dxa"/>
              <w:left w:w="100" w:type="dxa"/>
              <w:bottom w:w="100" w:type="dxa"/>
              <w:right w:w="100" w:type="dxa"/>
            </w:tcMar>
          </w:tcPr>
          <w:p w14:paraId="354D2B74" w14:textId="77777777" w:rsidR="00282D44" w:rsidRDefault="00282D44" w:rsidP="00236CFD">
            <w:pPr>
              <w:spacing w:after="0"/>
            </w:pPr>
            <w:r>
              <w:t>HR Department</w:t>
            </w:r>
          </w:p>
        </w:tc>
        <w:tc>
          <w:tcPr>
            <w:tcW w:w="7170" w:type="dxa"/>
            <w:tcMar>
              <w:top w:w="100" w:type="dxa"/>
              <w:left w:w="100" w:type="dxa"/>
              <w:bottom w:w="100" w:type="dxa"/>
              <w:right w:w="100" w:type="dxa"/>
            </w:tcMar>
          </w:tcPr>
          <w:p w14:paraId="6C88BF2E" w14:textId="77777777" w:rsidR="00282D44" w:rsidRDefault="00282D44" w:rsidP="00236CFD">
            <w:pPr>
              <w:spacing w:after="0"/>
            </w:pPr>
            <w:r>
              <w:t xml:space="preserve">According to the basic scenario of ensuring engagement within the HR department by following the 4C’s framework, it can easily be highlighted that the exchange of ideas is a key process. Furthermore, aligning </w:t>
            </w:r>
            <w:r>
              <w:lastRenderedPageBreak/>
              <w:t xml:space="preserve">separate actions, working alongside others, and mutual engagement are also some major aspects that support this phenomenon. </w:t>
            </w:r>
          </w:p>
        </w:tc>
      </w:tr>
      <w:tr w:rsidR="00282D44" w14:paraId="04385E9D" w14:textId="77777777" w:rsidTr="00753E06">
        <w:tc>
          <w:tcPr>
            <w:tcW w:w="2190" w:type="dxa"/>
            <w:tcMar>
              <w:top w:w="100" w:type="dxa"/>
              <w:left w:w="100" w:type="dxa"/>
              <w:bottom w:w="100" w:type="dxa"/>
              <w:right w:w="100" w:type="dxa"/>
            </w:tcMar>
          </w:tcPr>
          <w:p w14:paraId="0F2D5597" w14:textId="77777777" w:rsidR="00282D44" w:rsidRDefault="00282D44" w:rsidP="00236CFD">
            <w:pPr>
              <w:spacing w:after="0"/>
            </w:pPr>
            <w:r>
              <w:lastRenderedPageBreak/>
              <w:t>Consumers</w:t>
            </w:r>
          </w:p>
        </w:tc>
        <w:tc>
          <w:tcPr>
            <w:tcW w:w="7170" w:type="dxa"/>
            <w:tcMar>
              <w:top w:w="100" w:type="dxa"/>
              <w:left w:w="100" w:type="dxa"/>
              <w:bottom w:w="100" w:type="dxa"/>
              <w:right w:w="100" w:type="dxa"/>
            </w:tcMar>
          </w:tcPr>
          <w:p w14:paraId="59393F25" w14:textId="77777777" w:rsidR="00282D44" w:rsidRDefault="00282D44" w:rsidP="00236CFD">
            <w:pPr>
              <w:spacing w:after="0"/>
            </w:pPr>
            <w:r>
              <w:t xml:space="preserve">The establishment of an emotional connection and understanding the behavioural action are stated as some crucial elements that engage customers, as it generates a two-way dialogue. Significantly, by doing tasks in support of others' goals, aligning their activities and creating something innovative or new, this aspect can be achieved.  </w:t>
            </w:r>
          </w:p>
        </w:tc>
      </w:tr>
      <w:tr w:rsidR="00282D44" w14:paraId="2DEC416F" w14:textId="77777777" w:rsidTr="00753E06">
        <w:tc>
          <w:tcPr>
            <w:tcW w:w="2190" w:type="dxa"/>
            <w:tcMar>
              <w:top w:w="100" w:type="dxa"/>
              <w:left w:w="100" w:type="dxa"/>
              <w:bottom w:w="100" w:type="dxa"/>
              <w:right w:w="100" w:type="dxa"/>
            </w:tcMar>
          </w:tcPr>
          <w:p w14:paraId="01925D4B" w14:textId="77777777" w:rsidR="00282D44" w:rsidRDefault="00282D44" w:rsidP="00236CFD">
            <w:pPr>
              <w:spacing w:after="0"/>
            </w:pPr>
            <w:r>
              <w:t>Regulators (MHRA)</w:t>
            </w:r>
          </w:p>
        </w:tc>
        <w:tc>
          <w:tcPr>
            <w:tcW w:w="7170" w:type="dxa"/>
            <w:tcMar>
              <w:top w:w="100" w:type="dxa"/>
              <w:left w:w="100" w:type="dxa"/>
              <w:bottom w:w="100" w:type="dxa"/>
              <w:right w:w="100" w:type="dxa"/>
            </w:tcMar>
          </w:tcPr>
          <w:p w14:paraId="6711B8D2" w14:textId="77777777" w:rsidR="00282D44" w:rsidRDefault="00282D44" w:rsidP="00236CFD">
            <w:pPr>
              <w:spacing w:after="0"/>
            </w:pPr>
            <w:r>
              <w:t xml:space="preserve">Following the key aspect of this project, the Medicines and Healthcare products Regulatory Agency is one of the key stakeholders who can be engaged by proposing a strong information flow. However, by setting a goal, proposing plans and processes, and addressing risks, this approach can also be instigated </w:t>
            </w:r>
            <w:sdt>
              <w:sdtPr>
                <w:id w:val="-1933351124"/>
                <w:citation/>
              </w:sdtPr>
              <w:sdtContent>
                <w:r>
                  <w:fldChar w:fldCharType="begin"/>
                </w:r>
                <w:r>
                  <w:rPr>
                    <w:lang w:val="en-US"/>
                  </w:rPr>
                  <w:instrText xml:space="preserve"> CITATION Joh2511 \l 1033 </w:instrText>
                </w:r>
                <w:r>
                  <w:fldChar w:fldCharType="separate"/>
                </w:r>
                <w:r w:rsidRPr="002E7CBF">
                  <w:rPr>
                    <w:noProof/>
                    <w:lang w:val="en-US"/>
                  </w:rPr>
                  <w:t>(Skerritt, 2025)</w:t>
                </w:r>
                <w:r>
                  <w:fldChar w:fldCharType="end"/>
                </w:r>
              </w:sdtContent>
            </w:sdt>
            <w:r>
              <w:t xml:space="preserve">. </w:t>
            </w:r>
          </w:p>
        </w:tc>
      </w:tr>
      <w:tr w:rsidR="00282D44" w14:paraId="6BB18E93" w14:textId="77777777" w:rsidTr="00753E06">
        <w:tc>
          <w:tcPr>
            <w:tcW w:w="2190" w:type="dxa"/>
            <w:tcMar>
              <w:top w:w="100" w:type="dxa"/>
              <w:left w:w="100" w:type="dxa"/>
              <w:bottom w:w="100" w:type="dxa"/>
              <w:right w:w="100" w:type="dxa"/>
            </w:tcMar>
          </w:tcPr>
          <w:p w14:paraId="5B9708E7" w14:textId="77777777" w:rsidR="00282D44" w:rsidRDefault="00282D44" w:rsidP="00236CFD">
            <w:pPr>
              <w:spacing w:after="0"/>
            </w:pPr>
            <w:r>
              <w:t>Suppliers</w:t>
            </w:r>
          </w:p>
        </w:tc>
        <w:tc>
          <w:tcPr>
            <w:tcW w:w="7170" w:type="dxa"/>
            <w:tcMar>
              <w:top w:w="100" w:type="dxa"/>
              <w:left w:w="100" w:type="dxa"/>
              <w:bottom w:w="100" w:type="dxa"/>
              <w:right w:w="100" w:type="dxa"/>
            </w:tcMar>
          </w:tcPr>
          <w:p w14:paraId="4C3D6DFE" w14:textId="77777777" w:rsidR="00282D44" w:rsidRDefault="00282D44" w:rsidP="00236CFD">
            <w:pPr>
              <w:spacing w:after="0"/>
            </w:pPr>
            <w:r>
              <w:t xml:space="preserve">Establishment of a shared understanding of some key requirements, with maintenance of efficiency and consistency, can help in engaging the suppliers. On the other hand, to propose cooperation and collaboration through this process, the manager can avoid conflict and promote several sustainable practices. </w:t>
            </w:r>
          </w:p>
        </w:tc>
      </w:tr>
      <w:tr w:rsidR="00282D44" w14:paraId="04994210" w14:textId="77777777" w:rsidTr="00753E06">
        <w:tc>
          <w:tcPr>
            <w:tcW w:w="2190" w:type="dxa"/>
            <w:tcMar>
              <w:top w:w="100" w:type="dxa"/>
              <w:left w:w="100" w:type="dxa"/>
              <w:bottom w:w="100" w:type="dxa"/>
              <w:right w:w="100" w:type="dxa"/>
            </w:tcMar>
          </w:tcPr>
          <w:p w14:paraId="15B78D6C" w14:textId="77777777" w:rsidR="00282D44" w:rsidRDefault="00282D44" w:rsidP="00236CFD">
            <w:pPr>
              <w:spacing w:after="0"/>
            </w:pPr>
            <w:r>
              <w:t>Healthcare Partners</w:t>
            </w:r>
          </w:p>
        </w:tc>
        <w:tc>
          <w:tcPr>
            <w:tcW w:w="7170" w:type="dxa"/>
            <w:tcMar>
              <w:top w:w="100" w:type="dxa"/>
              <w:left w:w="100" w:type="dxa"/>
              <w:bottom w:w="100" w:type="dxa"/>
              <w:right w:w="100" w:type="dxa"/>
            </w:tcMar>
          </w:tcPr>
          <w:p w14:paraId="3DB930FD" w14:textId="77777777" w:rsidR="00282D44" w:rsidRDefault="00282D44" w:rsidP="00236CFD">
            <w:pPr>
              <w:spacing w:after="0"/>
            </w:pPr>
            <w:r>
              <w:t xml:space="preserve">The medical sector in the UK has some profound healthcare partners who can be engaged in this project by implementing an informal and flexible communication process. Moreover, with the help of an independent working structure, a hierarchical system and trust, this aspect can easily be commenced. </w:t>
            </w:r>
          </w:p>
        </w:tc>
      </w:tr>
      <w:tr w:rsidR="00282D44" w14:paraId="3AC91514" w14:textId="77777777" w:rsidTr="00753E06">
        <w:tc>
          <w:tcPr>
            <w:tcW w:w="2190" w:type="dxa"/>
            <w:tcMar>
              <w:top w:w="100" w:type="dxa"/>
              <w:left w:w="100" w:type="dxa"/>
              <w:bottom w:w="100" w:type="dxa"/>
              <w:right w:w="100" w:type="dxa"/>
            </w:tcMar>
          </w:tcPr>
          <w:p w14:paraId="068825B9" w14:textId="77777777" w:rsidR="00282D44" w:rsidRDefault="00282D44" w:rsidP="00236CFD">
            <w:pPr>
              <w:spacing w:after="0"/>
            </w:pPr>
            <w:r>
              <w:t>Investors</w:t>
            </w:r>
          </w:p>
        </w:tc>
        <w:tc>
          <w:tcPr>
            <w:tcW w:w="7170" w:type="dxa"/>
            <w:tcMar>
              <w:top w:w="100" w:type="dxa"/>
              <w:left w:w="100" w:type="dxa"/>
              <w:bottom w:w="100" w:type="dxa"/>
              <w:right w:w="100" w:type="dxa"/>
            </w:tcMar>
          </w:tcPr>
          <w:p w14:paraId="301BEFBE" w14:textId="77777777" w:rsidR="00282D44" w:rsidRDefault="00282D44" w:rsidP="00236CFD">
            <w:pPr>
              <w:spacing w:after="0"/>
            </w:pPr>
            <w:r>
              <w:t>Involving the investors in the transparent provision of data, with the synchronisation of different internal functions, can progressively aid in engaging these stakeholders. On the other hand, agreeing on specific rules of engagement and sharing resources can also do the same (</w:t>
            </w:r>
            <w:r w:rsidRPr="002E7CBF">
              <w:t>Adewale</w:t>
            </w:r>
            <w:r>
              <w:t xml:space="preserve"> </w:t>
            </w:r>
            <w:r w:rsidRPr="002E7CBF">
              <w:rPr>
                <w:i/>
                <w:iCs/>
              </w:rPr>
              <w:t>et al.,</w:t>
            </w:r>
            <w:r>
              <w:t xml:space="preserve"> </w:t>
            </w:r>
            <w:r w:rsidRPr="002E7CBF">
              <w:t>2022</w:t>
            </w:r>
            <w:r>
              <w:t xml:space="preserve">). </w:t>
            </w:r>
          </w:p>
        </w:tc>
      </w:tr>
    </w:tbl>
    <w:p w14:paraId="1A12E69E" w14:textId="77777777" w:rsidR="003919B6" w:rsidRDefault="003919B6" w:rsidP="00236CFD">
      <w:pPr>
        <w:pStyle w:val="Heading2"/>
        <w:spacing w:before="0" w:after="0"/>
        <w:rPr>
          <w:rFonts w:eastAsia="Times New Roman"/>
        </w:rPr>
      </w:pPr>
      <w:bookmarkStart w:id="23" w:name="_Toc216368040"/>
      <w:bookmarkStart w:id="24" w:name="_Toc216369539"/>
      <w:r>
        <w:rPr>
          <w:rFonts w:eastAsia="Times New Roman"/>
        </w:rPr>
        <w:lastRenderedPageBreak/>
        <w:t>Preventing Issues</w:t>
      </w:r>
      <w:r>
        <w:t xml:space="preserve"> as a Manager</w:t>
      </w:r>
      <w:r>
        <w:rPr>
          <w:rFonts w:eastAsia="Times New Roman"/>
        </w:rPr>
        <w:t xml:space="preserve"> in the Project with the 4C’s Model</w:t>
      </w:r>
      <w:bookmarkEnd w:id="23"/>
      <w:bookmarkEnd w:id="24"/>
    </w:p>
    <w:p w14:paraId="62260D71" w14:textId="77777777" w:rsidR="003919B6" w:rsidRDefault="003919B6" w:rsidP="00236CFD">
      <w:pPr>
        <w:spacing w:after="0"/>
        <w:rPr>
          <w:rFonts w:eastAsia="Times New Roman" w:cs="Times New Roman"/>
          <w:b/>
          <w:bCs/>
          <w:i/>
          <w:iCs/>
          <w:szCs w:val="24"/>
        </w:rPr>
      </w:pPr>
      <w:r>
        <w:rPr>
          <w:rFonts w:eastAsia="Times New Roman" w:cs="Times New Roman"/>
          <w:b/>
          <w:bCs/>
          <w:i/>
          <w:iCs/>
          <w:szCs w:val="24"/>
        </w:rPr>
        <w:t>Communication</w:t>
      </w:r>
    </w:p>
    <w:p w14:paraId="68DEA448" w14:textId="77777777" w:rsidR="003919B6" w:rsidRDefault="003919B6" w:rsidP="00236CFD">
      <w:pPr>
        <w:spacing w:after="0"/>
        <w:rPr>
          <w:rFonts w:eastAsia="Times New Roman" w:cs="Times New Roman"/>
          <w:szCs w:val="24"/>
        </w:rPr>
      </w:pPr>
      <w:r>
        <w:rPr>
          <w:rFonts w:eastAsia="Times New Roman" w:cs="Times New Roman"/>
          <w:szCs w:val="24"/>
        </w:rPr>
        <w:t>As a manager, the individual is required to fulfil several aspects in the project to ensure healthy conversation among its employees. Whether a conflict arises between two of the most crucial teams in the venture, UI designing and algorithm development can be mitigated with transparent communication and networking</w:t>
      </w:r>
      <w:sdt>
        <w:sdtPr>
          <w:rPr>
            <w:rFonts w:eastAsia="Times New Roman" w:cs="Times New Roman"/>
            <w:szCs w:val="24"/>
          </w:rPr>
          <w:id w:val="-1044744991"/>
          <w:citation/>
        </w:sdtPr>
        <w:sdtContent>
          <w:r>
            <w:rPr>
              <w:rFonts w:eastAsia="Times New Roman" w:cs="Times New Roman"/>
              <w:szCs w:val="24"/>
            </w:rPr>
            <w:fldChar w:fldCharType="begin"/>
          </w:r>
          <w:r>
            <w:rPr>
              <w:rFonts w:eastAsia="Times New Roman" w:cs="Times New Roman"/>
              <w:szCs w:val="24"/>
            </w:rPr>
            <w:instrText xml:space="preserve"> CITATION Mic2316 \l 1033 </w:instrText>
          </w:r>
          <w:r>
            <w:rPr>
              <w:rFonts w:eastAsia="Times New Roman" w:cs="Times New Roman"/>
              <w:szCs w:val="24"/>
            </w:rPr>
            <w:fldChar w:fldCharType="separate"/>
          </w:r>
          <w:r>
            <w:rPr>
              <w:rFonts w:eastAsia="Times New Roman" w:cs="Times New Roman"/>
              <w:noProof/>
              <w:szCs w:val="24"/>
            </w:rPr>
            <w:t xml:space="preserve"> </w:t>
          </w:r>
          <w:r w:rsidRPr="00710B5C">
            <w:rPr>
              <w:rFonts w:eastAsia="Times New Roman" w:cs="Times New Roman"/>
              <w:noProof/>
              <w:szCs w:val="24"/>
            </w:rPr>
            <w:t>(Shribman, 2023)</w:t>
          </w:r>
          <w:r>
            <w:rPr>
              <w:rFonts w:eastAsia="Times New Roman" w:cs="Times New Roman"/>
              <w:szCs w:val="24"/>
            </w:rPr>
            <w:fldChar w:fldCharType="end"/>
          </w:r>
        </w:sdtContent>
      </w:sdt>
      <w:r>
        <w:rPr>
          <w:rFonts w:eastAsia="Times New Roman" w:cs="Times New Roman"/>
          <w:szCs w:val="24"/>
        </w:rPr>
        <w:t xml:space="preserve">. Establishing a culture of regular meetings regarding essential subjects can mitigate the potential for risks to grow and disrupt the business flow in future. Another aspect of active listening in the work environment can disperse bias among workers. Providing major and minor information about the project in a unified platform can also help prevent challenges of communication, as everyone would have access to the decision-making process of the business. </w:t>
      </w:r>
    </w:p>
    <w:p w14:paraId="40513E24" w14:textId="77777777" w:rsidR="003919B6" w:rsidRDefault="003919B6" w:rsidP="00236CFD">
      <w:pPr>
        <w:spacing w:after="0"/>
        <w:rPr>
          <w:rFonts w:eastAsia="Times New Roman" w:cs="Times New Roman"/>
          <w:b/>
          <w:bCs/>
          <w:i/>
          <w:iCs/>
          <w:szCs w:val="24"/>
          <w:highlight w:val="white"/>
        </w:rPr>
      </w:pPr>
      <w:r>
        <w:rPr>
          <w:rFonts w:eastAsia="Times New Roman" w:cs="Times New Roman"/>
          <w:b/>
          <w:bCs/>
          <w:i/>
          <w:iCs/>
          <w:szCs w:val="24"/>
          <w:highlight w:val="white"/>
        </w:rPr>
        <w:t xml:space="preserve">Coordination </w:t>
      </w:r>
    </w:p>
    <w:p w14:paraId="07C9B8B5" w14:textId="77777777" w:rsidR="003919B6" w:rsidRDefault="003919B6" w:rsidP="00236CFD">
      <w:pPr>
        <w:spacing w:after="0"/>
        <w:rPr>
          <w:rFonts w:eastAsia="Times New Roman" w:cs="Times New Roman"/>
          <w:szCs w:val="24"/>
          <w:highlight w:val="white"/>
        </w:rPr>
      </w:pPr>
      <w:r>
        <w:rPr>
          <w:rFonts w:eastAsia="Times New Roman" w:cs="Times New Roman"/>
          <w:szCs w:val="24"/>
          <w:highlight w:val="white"/>
        </w:rPr>
        <w:t>The 4C’s model can help the manager get an idea of accountability, and it becomes clear who is responsible for what task. This can promote transparency in the workflow, and seamless operations can be maintained in the venture for a long time. Delineating the time span for each stage of the production development can help the employees understand the factors of coordination in the venture</w:t>
      </w:r>
      <w:sdt>
        <w:sdtPr>
          <w:rPr>
            <w:rFonts w:eastAsia="Times New Roman" w:cs="Times New Roman"/>
            <w:szCs w:val="24"/>
            <w:highlight w:val="white"/>
          </w:rPr>
          <w:id w:val="1853986430"/>
          <w:citation/>
        </w:sdtPr>
        <w:sdtContent>
          <w:r>
            <w:rPr>
              <w:rFonts w:eastAsia="Times New Roman" w:cs="Times New Roman"/>
              <w:szCs w:val="24"/>
              <w:highlight w:val="white"/>
            </w:rPr>
            <w:fldChar w:fldCharType="begin"/>
          </w:r>
          <w:r>
            <w:rPr>
              <w:rFonts w:eastAsia="Times New Roman" w:cs="Times New Roman"/>
              <w:szCs w:val="24"/>
              <w:highlight w:val="white"/>
            </w:rPr>
            <w:instrText xml:space="preserve"> CITATION Eri211 \l 1033 </w:instrText>
          </w:r>
          <w:r>
            <w:rPr>
              <w:rFonts w:eastAsia="Times New Roman" w:cs="Times New Roman"/>
              <w:szCs w:val="24"/>
              <w:highlight w:val="white"/>
            </w:rPr>
            <w:fldChar w:fldCharType="separate"/>
          </w:r>
          <w:r>
            <w:rPr>
              <w:rFonts w:eastAsia="Times New Roman" w:cs="Times New Roman"/>
              <w:noProof/>
              <w:szCs w:val="24"/>
              <w:highlight w:val="white"/>
            </w:rPr>
            <w:t xml:space="preserve"> </w:t>
          </w:r>
          <w:r w:rsidRPr="00710B5C">
            <w:rPr>
              <w:rFonts w:eastAsia="Times New Roman" w:cs="Times New Roman"/>
              <w:noProof/>
              <w:szCs w:val="24"/>
              <w:highlight w:val="white"/>
            </w:rPr>
            <w:t>(McDermott, 2021)</w:t>
          </w:r>
          <w:r>
            <w:rPr>
              <w:rFonts w:eastAsia="Times New Roman" w:cs="Times New Roman"/>
              <w:szCs w:val="24"/>
              <w:highlight w:val="white"/>
            </w:rPr>
            <w:fldChar w:fldCharType="end"/>
          </w:r>
        </w:sdtContent>
      </w:sdt>
      <w:r>
        <w:rPr>
          <w:rFonts w:eastAsia="Times New Roman" w:cs="Times New Roman"/>
          <w:szCs w:val="24"/>
          <w:highlight w:val="white"/>
        </w:rPr>
        <w:t xml:space="preserve">. A detailed schedule with each activity can help in the process of the element. A Gantt Chart can be beneficial for project completion, as it can show the predecessors of the imminent task at hand. This assists in the identification of potential issues in the future with the timetable or provided activities, which can be mitigated beforehand. </w:t>
      </w:r>
    </w:p>
    <w:p w14:paraId="60BFB21F" w14:textId="77777777" w:rsidR="003919B6" w:rsidRDefault="003919B6" w:rsidP="00236CFD">
      <w:pPr>
        <w:spacing w:after="0"/>
        <w:rPr>
          <w:rFonts w:eastAsia="Times New Roman" w:cs="Times New Roman"/>
          <w:b/>
          <w:bCs/>
          <w:i/>
          <w:iCs/>
          <w:szCs w:val="24"/>
          <w:highlight w:val="white"/>
        </w:rPr>
      </w:pPr>
      <w:r>
        <w:rPr>
          <w:rFonts w:eastAsia="Times New Roman" w:cs="Times New Roman"/>
          <w:b/>
          <w:bCs/>
          <w:i/>
          <w:iCs/>
          <w:szCs w:val="24"/>
          <w:highlight w:val="white"/>
        </w:rPr>
        <w:t xml:space="preserve">Cooperation </w:t>
      </w:r>
    </w:p>
    <w:p w14:paraId="35213C35" w14:textId="77777777" w:rsidR="003919B6" w:rsidRDefault="003919B6" w:rsidP="00236CFD">
      <w:pPr>
        <w:spacing w:after="0"/>
        <w:rPr>
          <w:rFonts w:eastAsia="Times New Roman" w:cs="Times New Roman"/>
          <w:szCs w:val="24"/>
          <w:highlight w:val="white"/>
        </w:rPr>
      </w:pPr>
      <w:r>
        <w:rPr>
          <w:rFonts w:eastAsia="Times New Roman" w:cs="Times New Roman"/>
          <w:szCs w:val="24"/>
          <w:highlight w:val="white"/>
        </w:rPr>
        <w:t>Cooperation is the third stage in the discussion that is intrinsically connected with the previous phases of the model. This strategy defines the need for a culture of knowledge sharing among team members. A mutual understanding is necessary in this phase, where veteran employees can help recruits get acquainted with the tasks in the project</w:t>
      </w:r>
      <w:sdt>
        <w:sdtPr>
          <w:rPr>
            <w:rFonts w:eastAsia="Times New Roman" w:cs="Times New Roman"/>
            <w:szCs w:val="24"/>
            <w:highlight w:val="white"/>
          </w:rPr>
          <w:id w:val="-271256317"/>
          <w:citation/>
        </w:sdtPr>
        <w:sdtContent>
          <w:r>
            <w:rPr>
              <w:rFonts w:eastAsia="Times New Roman" w:cs="Times New Roman"/>
              <w:szCs w:val="24"/>
              <w:highlight w:val="white"/>
            </w:rPr>
            <w:fldChar w:fldCharType="begin"/>
          </w:r>
          <w:r>
            <w:rPr>
              <w:rFonts w:eastAsia="Times New Roman" w:cs="Times New Roman"/>
              <w:szCs w:val="24"/>
              <w:highlight w:val="white"/>
            </w:rPr>
            <w:instrText xml:space="preserve"> CITATION Kir25 \l 1033 </w:instrText>
          </w:r>
          <w:r>
            <w:rPr>
              <w:rFonts w:eastAsia="Times New Roman" w:cs="Times New Roman"/>
              <w:szCs w:val="24"/>
              <w:highlight w:val="white"/>
            </w:rPr>
            <w:fldChar w:fldCharType="separate"/>
          </w:r>
          <w:r>
            <w:rPr>
              <w:rFonts w:eastAsia="Times New Roman" w:cs="Times New Roman"/>
              <w:noProof/>
              <w:szCs w:val="24"/>
              <w:highlight w:val="white"/>
            </w:rPr>
            <w:t xml:space="preserve"> </w:t>
          </w:r>
          <w:r w:rsidRPr="00710B5C">
            <w:rPr>
              <w:rFonts w:eastAsia="Times New Roman" w:cs="Times New Roman"/>
              <w:noProof/>
              <w:szCs w:val="24"/>
              <w:highlight w:val="white"/>
            </w:rPr>
            <w:t>(Rhodes, 2025)</w:t>
          </w:r>
          <w:r>
            <w:rPr>
              <w:rFonts w:eastAsia="Times New Roman" w:cs="Times New Roman"/>
              <w:szCs w:val="24"/>
              <w:highlight w:val="white"/>
            </w:rPr>
            <w:fldChar w:fldCharType="end"/>
          </w:r>
        </w:sdtContent>
      </w:sdt>
      <w:r>
        <w:rPr>
          <w:rFonts w:eastAsia="Times New Roman" w:cs="Times New Roman"/>
          <w:szCs w:val="24"/>
          <w:highlight w:val="white"/>
        </w:rPr>
        <w:t>. On the other hand, recruits can also make the veterans comprehend the complexity of technological aspects that can make enhancements in the business. Since health care is the primary focus of the product, gaining help from experts can further a mentorship system in the venture to make the promotion of the product a success. Hence, employees can voice their opinions without fear of judgment, and a proper feedback channel can be established for the benefit of the PulseOx SleepGuard project.</w:t>
      </w:r>
    </w:p>
    <w:p w14:paraId="570F9B23" w14:textId="77777777" w:rsidR="003919B6" w:rsidRDefault="003919B6" w:rsidP="00236CFD">
      <w:pPr>
        <w:spacing w:after="0"/>
        <w:rPr>
          <w:rFonts w:eastAsia="Times New Roman" w:cs="Times New Roman"/>
          <w:b/>
          <w:bCs/>
          <w:i/>
          <w:iCs/>
          <w:szCs w:val="24"/>
          <w:highlight w:val="white"/>
        </w:rPr>
      </w:pPr>
      <w:r>
        <w:rPr>
          <w:rFonts w:eastAsia="Times New Roman" w:cs="Times New Roman"/>
          <w:b/>
          <w:bCs/>
          <w:i/>
          <w:iCs/>
          <w:szCs w:val="24"/>
          <w:highlight w:val="white"/>
        </w:rPr>
        <w:t xml:space="preserve">Collaboration </w:t>
      </w:r>
    </w:p>
    <w:p w14:paraId="0CBF7E69" w14:textId="77777777" w:rsidR="003919B6" w:rsidRDefault="003919B6" w:rsidP="00236CFD">
      <w:pPr>
        <w:spacing w:after="0"/>
        <w:rPr>
          <w:rFonts w:eastAsia="Times New Roman" w:cs="Times New Roman"/>
          <w:szCs w:val="24"/>
          <w:highlight w:val="white"/>
        </w:rPr>
      </w:pPr>
      <w:r>
        <w:rPr>
          <w:rFonts w:eastAsia="Times New Roman" w:cs="Times New Roman"/>
          <w:szCs w:val="24"/>
          <w:highlight w:val="white"/>
        </w:rPr>
        <w:lastRenderedPageBreak/>
        <w:t>This is considered the last stage of the model in the business that has the ability to maintain the philosophy of working together in the company. Health care is an essential segment of business that requires concern with patient benefits before profitability</w:t>
      </w:r>
      <w:sdt>
        <w:sdtPr>
          <w:rPr>
            <w:rFonts w:eastAsia="Times New Roman" w:cs="Times New Roman"/>
            <w:szCs w:val="24"/>
            <w:highlight w:val="white"/>
          </w:rPr>
          <w:id w:val="917745900"/>
          <w:citation/>
        </w:sdtPr>
        <w:sdtContent>
          <w:r>
            <w:rPr>
              <w:rFonts w:eastAsia="Times New Roman" w:cs="Times New Roman"/>
              <w:szCs w:val="24"/>
              <w:highlight w:val="white"/>
            </w:rPr>
            <w:fldChar w:fldCharType="begin"/>
          </w:r>
          <w:r>
            <w:rPr>
              <w:rFonts w:eastAsia="Times New Roman" w:cs="Times New Roman"/>
              <w:szCs w:val="24"/>
              <w:highlight w:val="white"/>
            </w:rPr>
            <w:instrText xml:space="preserve"> CITATION Sha248 \l 1033 </w:instrText>
          </w:r>
          <w:r>
            <w:rPr>
              <w:rFonts w:eastAsia="Times New Roman" w:cs="Times New Roman"/>
              <w:szCs w:val="24"/>
              <w:highlight w:val="white"/>
            </w:rPr>
            <w:fldChar w:fldCharType="separate"/>
          </w:r>
          <w:r>
            <w:rPr>
              <w:rFonts w:eastAsia="Times New Roman" w:cs="Times New Roman"/>
              <w:noProof/>
              <w:szCs w:val="24"/>
              <w:highlight w:val="white"/>
            </w:rPr>
            <w:t xml:space="preserve"> </w:t>
          </w:r>
          <w:r w:rsidRPr="00710B5C">
            <w:rPr>
              <w:rFonts w:eastAsia="Times New Roman" w:cs="Times New Roman"/>
              <w:noProof/>
              <w:szCs w:val="24"/>
              <w:highlight w:val="white"/>
            </w:rPr>
            <w:t>(Harmon, 2024)</w:t>
          </w:r>
          <w:r>
            <w:rPr>
              <w:rFonts w:eastAsia="Times New Roman" w:cs="Times New Roman"/>
              <w:szCs w:val="24"/>
              <w:highlight w:val="white"/>
            </w:rPr>
            <w:fldChar w:fldCharType="end"/>
          </w:r>
        </w:sdtContent>
      </w:sdt>
      <w:r>
        <w:rPr>
          <w:rFonts w:eastAsia="Times New Roman" w:cs="Times New Roman"/>
          <w:szCs w:val="24"/>
          <w:highlight w:val="white"/>
        </w:rPr>
        <w:t xml:space="preserve">. This can be portrayed as an endeavour to mitigate conflicts as a joint factor that can make employees feel connected to the entity and the project. Educating workers to change their perspectives on observing a problem to think of it as an overall issue that needs to be mitigated together. Therefore, the project can succeed without many challenges in the business. </w:t>
      </w:r>
    </w:p>
    <w:p w14:paraId="4F3A7DED" w14:textId="77777777" w:rsidR="00282D44" w:rsidRDefault="00282D44" w:rsidP="00236CFD">
      <w:pPr>
        <w:spacing w:after="0"/>
      </w:pPr>
    </w:p>
    <w:p w14:paraId="24BEBC53" w14:textId="77777777" w:rsidR="00282D44" w:rsidRDefault="00282D44" w:rsidP="00236CFD">
      <w:pPr>
        <w:spacing w:after="0"/>
      </w:pPr>
    </w:p>
    <w:p w14:paraId="48BA25B3" w14:textId="77777777" w:rsidR="00282D44" w:rsidRDefault="00282D44" w:rsidP="00236CFD">
      <w:pPr>
        <w:spacing w:after="0" w:line="278" w:lineRule="auto"/>
        <w:jc w:val="left"/>
        <w:rPr>
          <w:b/>
          <w:bCs/>
          <w:kern w:val="36"/>
          <w:sz w:val="28"/>
          <w:szCs w:val="48"/>
        </w:rPr>
      </w:pPr>
      <w:r>
        <w:br w:type="page"/>
      </w:r>
    </w:p>
    <w:p w14:paraId="7F83DF61" w14:textId="77777777" w:rsidR="003919B6" w:rsidRDefault="003919B6" w:rsidP="00236CFD">
      <w:pPr>
        <w:pStyle w:val="Heading1"/>
        <w:rPr>
          <w:bCs w:val="0"/>
          <w:highlight w:val="white"/>
        </w:rPr>
      </w:pPr>
      <w:bookmarkStart w:id="25" w:name="_Toc216368041"/>
      <w:bookmarkStart w:id="26" w:name="_Toc216369540"/>
      <w:r>
        <w:lastRenderedPageBreak/>
        <w:t xml:space="preserve">e) </w:t>
      </w:r>
      <w:r>
        <w:rPr>
          <w:highlight w:val="white"/>
        </w:rPr>
        <w:t>Importance and Impact of Stakeholder Engagement</w:t>
      </w:r>
      <w:bookmarkEnd w:id="25"/>
      <w:bookmarkEnd w:id="26"/>
    </w:p>
    <w:p w14:paraId="011D8F4B" w14:textId="77777777" w:rsidR="003919B6" w:rsidRDefault="003919B6" w:rsidP="00236CFD">
      <w:pPr>
        <w:spacing w:after="0"/>
        <w:rPr>
          <w:rFonts w:eastAsia="Times New Roman" w:cs="Times New Roman"/>
          <w:b/>
          <w:bCs/>
          <w:i/>
          <w:iCs/>
          <w:szCs w:val="24"/>
          <w:highlight w:val="white"/>
        </w:rPr>
      </w:pPr>
      <w:r>
        <w:rPr>
          <w:rFonts w:eastAsia="Times New Roman" w:cs="Times New Roman"/>
          <w:b/>
          <w:bCs/>
          <w:i/>
          <w:iCs/>
          <w:szCs w:val="24"/>
          <w:highlight w:val="white"/>
        </w:rPr>
        <w:t>Significance</w:t>
      </w:r>
    </w:p>
    <w:p w14:paraId="660ED7E2" w14:textId="77777777" w:rsidR="003919B6" w:rsidRDefault="003919B6" w:rsidP="00236CFD">
      <w:pPr>
        <w:spacing w:after="0"/>
        <w:rPr>
          <w:rFonts w:eastAsia="Times New Roman" w:cs="Times New Roman"/>
          <w:b/>
          <w:bCs/>
          <w:szCs w:val="24"/>
          <w:highlight w:val="white"/>
          <w:u w:val="single"/>
        </w:rPr>
      </w:pPr>
      <w:r>
        <w:rPr>
          <w:rFonts w:eastAsia="Times New Roman" w:cs="Times New Roman"/>
          <w:b/>
          <w:bCs/>
          <w:szCs w:val="24"/>
          <w:highlight w:val="white"/>
          <w:u w:val="single"/>
        </w:rPr>
        <w:t>Enhanced Decision-making</w:t>
      </w:r>
    </w:p>
    <w:p w14:paraId="627CD650" w14:textId="77777777" w:rsidR="003919B6" w:rsidRDefault="003919B6" w:rsidP="00236CFD">
      <w:pPr>
        <w:spacing w:after="0"/>
        <w:rPr>
          <w:rFonts w:eastAsia="Times New Roman" w:cs="Times New Roman"/>
          <w:szCs w:val="24"/>
          <w:highlight w:val="white"/>
        </w:rPr>
      </w:pPr>
      <w:r>
        <w:rPr>
          <w:rFonts w:eastAsia="Times New Roman" w:cs="Times New Roman"/>
          <w:szCs w:val="24"/>
          <w:highlight w:val="white"/>
        </w:rPr>
        <w:t>Sky Medical Technology can enhance its decision-making process with the factors of stakeholder engagement. Since the individual can have expertise in a wide range of aspects that can be involved in increased engagement activities, among them (</w:t>
      </w:r>
      <w:r>
        <w:t>Ashcroft, 2017</w:t>
      </w:r>
      <w:r>
        <w:rPr>
          <w:rFonts w:eastAsia="Times New Roman" w:cs="Times New Roman"/>
          <w:szCs w:val="24"/>
          <w:highlight w:val="white"/>
        </w:rPr>
        <w:t xml:space="preserve">). Considering their opinions in the venture can help identify potential drawbacks of the venture beforehand. This can eliminate the blind spots of the project with enhanced insight in every phase of the process. Thus, the business can be more informed and developed in the industry of health care, which can also be reliable among customers. </w:t>
      </w:r>
    </w:p>
    <w:p w14:paraId="6A369EDD" w14:textId="77777777" w:rsidR="003919B6" w:rsidRDefault="003919B6" w:rsidP="00236CFD">
      <w:pPr>
        <w:spacing w:after="0"/>
        <w:rPr>
          <w:rFonts w:eastAsia="Times New Roman" w:cs="Times New Roman"/>
          <w:b/>
          <w:bCs/>
          <w:szCs w:val="24"/>
          <w:highlight w:val="white"/>
          <w:u w:val="single"/>
        </w:rPr>
      </w:pPr>
      <w:r>
        <w:rPr>
          <w:rFonts w:eastAsia="Times New Roman" w:cs="Times New Roman"/>
          <w:b/>
          <w:bCs/>
          <w:szCs w:val="24"/>
          <w:highlight w:val="white"/>
          <w:u w:val="single"/>
        </w:rPr>
        <w:t>Risk Mitigation</w:t>
      </w:r>
    </w:p>
    <w:p w14:paraId="4C798264" w14:textId="77777777" w:rsidR="003919B6" w:rsidRDefault="003919B6" w:rsidP="00236CFD">
      <w:pPr>
        <w:spacing w:after="0"/>
        <w:rPr>
          <w:rFonts w:eastAsia="Times New Roman" w:cs="Times New Roman"/>
          <w:szCs w:val="24"/>
          <w:highlight w:val="white"/>
        </w:rPr>
      </w:pPr>
      <w:r>
        <w:rPr>
          <w:rFonts w:eastAsia="Times New Roman" w:cs="Times New Roman"/>
          <w:szCs w:val="24"/>
          <w:highlight w:val="white"/>
        </w:rPr>
        <w:t>Whether managers are willing to understand the perspectives of the stakeholders can determine the success of the campaign. Since they have several resources, pursuing their values can improve the business objective as time progresses</w:t>
      </w:r>
      <w:sdt>
        <w:sdtPr>
          <w:rPr>
            <w:rFonts w:eastAsia="Times New Roman" w:cs="Times New Roman"/>
            <w:szCs w:val="24"/>
            <w:highlight w:val="white"/>
          </w:rPr>
          <w:id w:val="316773751"/>
          <w:citation/>
        </w:sdtPr>
        <w:sdtContent>
          <w:r>
            <w:rPr>
              <w:rFonts w:eastAsia="Times New Roman" w:cs="Times New Roman"/>
              <w:szCs w:val="24"/>
              <w:highlight w:val="white"/>
            </w:rPr>
            <w:fldChar w:fldCharType="begin"/>
          </w:r>
          <w:r>
            <w:rPr>
              <w:rFonts w:eastAsia="Times New Roman" w:cs="Times New Roman"/>
              <w:szCs w:val="24"/>
              <w:highlight w:val="white"/>
            </w:rPr>
            <w:instrText xml:space="preserve"> CITATION Joc232 \l 1033 </w:instrText>
          </w:r>
          <w:r>
            <w:rPr>
              <w:rFonts w:eastAsia="Times New Roman" w:cs="Times New Roman"/>
              <w:szCs w:val="24"/>
              <w:highlight w:val="white"/>
            </w:rPr>
            <w:fldChar w:fldCharType="separate"/>
          </w:r>
          <w:r>
            <w:rPr>
              <w:rFonts w:eastAsia="Times New Roman" w:cs="Times New Roman"/>
              <w:noProof/>
              <w:szCs w:val="24"/>
              <w:highlight w:val="white"/>
            </w:rPr>
            <w:t xml:space="preserve"> </w:t>
          </w:r>
          <w:r w:rsidRPr="00710B5C">
            <w:rPr>
              <w:rFonts w:eastAsia="Times New Roman" w:cs="Times New Roman"/>
              <w:noProof/>
              <w:szCs w:val="24"/>
              <w:highlight w:val="white"/>
            </w:rPr>
            <w:t>(Schwenk, 2023)</w:t>
          </w:r>
          <w:r>
            <w:rPr>
              <w:rFonts w:eastAsia="Times New Roman" w:cs="Times New Roman"/>
              <w:szCs w:val="24"/>
              <w:highlight w:val="white"/>
            </w:rPr>
            <w:fldChar w:fldCharType="end"/>
          </w:r>
        </w:sdtContent>
      </w:sdt>
      <w:r>
        <w:rPr>
          <w:rFonts w:eastAsia="Times New Roman" w:cs="Times New Roman"/>
          <w:szCs w:val="24"/>
          <w:highlight w:val="white"/>
        </w:rPr>
        <w:t>. Moreover, these individuals can identify risks from a different conceptual thinking that may be overlooked by others in the business, having a traditional perspective on business conduct. As a result, engaging with them can enhance the opportunity for negotiating potential challenges to ensure a proper launch without disruptions. Project delay is one of the most crucial negative aspects in the healthcare venture, and considering stakeholders’ opinions can mitigate such issues.</w:t>
      </w:r>
    </w:p>
    <w:p w14:paraId="6C8C04B3" w14:textId="77777777" w:rsidR="003919B6" w:rsidRDefault="003919B6" w:rsidP="00236CFD">
      <w:pPr>
        <w:spacing w:after="0"/>
        <w:rPr>
          <w:rFonts w:eastAsia="Times New Roman" w:cs="Times New Roman"/>
          <w:b/>
          <w:bCs/>
          <w:szCs w:val="24"/>
          <w:highlight w:val="white"/>
          <w:u w:val="single"/>
        </w:rPr>
      </w:pPr>
      <w:r>
        <w:rPr>
          <w:rFonts w:eastAsia="Times New Roman" w:cs="Times New Roman"/>
          <w:b/>
          <w:bCs/>
          <w:szCs w:val="24"/>
          <w:highlight w:val="white"/>
          <w:u w:val="single"/>
        </w:rPr>
        <w:t>Fostering Innovation</w:t>
      </w:r>
    </w:p>
    <w:p w14:paraId="529D4714" w14:textId="77777777" w:rsidR="003919B6" w:rsidRDefault="003919B6" w:rsidP="00236CFD">
      <w:pPr>
        <w:spacing w:after="0"/>
        <w:rPr>
          <w:rFonts w:eastAsia="Times New Roman" w:cs="Times New Roman"/>
          <w:szCs w:val="24"/>
          <w:highlight w:val="white"/>
        </w:rPr>
      </w:pPr>
      <w:r>
        <w:rPr>
          <w:rFonts w:eastAsia="Times New Roman" w:cs="Times New Roman"/>
          <w:szCs w:val="24"/>
          <w:highlight w:val="white"/>
        </w:rPr>
        <w:t>Communicating with a variety of stakeholders to engage with their thought processes can help the business to a great extent in the healthcare industry. Collaborating with several figures in the business can produce new ideas among the managers as well as other employees</w:t>
      </w:r>
      <w:sdt>
        <w:sdtPr>
          <w:rPr>
            <w:rFonts w:eastAsia="Times New Roman" w:cs="Times New Roman"/>
            <w:szCs w:val="24"/>
            <w:highlight w:val="white"/>
          </w:rPr>
          <w:id w:val="1801727447"/>
          <w:citation/>
        </w:sdtPr>
        <w:sdtContent>
          <w:r>
            <w:rPr>
              <w:rFonts w:eastAsia="Times New Roman" w:cs="Times New Roman"/>
              <w:szCs w:val="24"/>
              <w:highlight w:val="white"/>
            </w:rPr>
            <w:fldChar w:fldCharType="begin"/>
          </w:r>
          <w:r>
            <w:rPr>
              <w:rFonts w:eastAsia="Times New Roman" w:cs="Times New Roman"/>
              <w:szCs w:val="24"/>
              <w:highlight w:val="white"/>
            </w:rPr>
            <w:instrText xml:space="preserve"> CITATION Ili24 \l 1033 </w:instrText>
          </w:r>
          <w:r>
            <w:rPr>
              <w:rFonts w:eastAsia="Times New Roman" w:cs="Times New Roman"/>
              <w:szCs w:val="24"/>
              <w:highlight w:val="white"/>
            </w:rPr>
            <w:fldChar w:fldCharType="separate"/>
          </w:r>
          <w:r>
            <w:rPr>
              <w:rFonts w:eastAsia="Times New Roman" w:cs="Times New Roman"/>
              <w:noProof/>
              <w:szCs w:val="24"/>
              <w:highlight w:val="white"/>
            </w:rPr>
            <w:t xml:space="preserve"> </w:t>
          </w:r>
          <w:r w:rsidRPr="00710B5C">
            <w:rPr>
              <w:rFonts w:eastAsia="Times New Roman" w:cs="Times New Roman"/>
              <w:noProof/>
              <w:szCs w:val="24"/>
              <w:highlight w:val="white"/>
            </w:rPr>
            <w:t>(Kiselevich, 2024)</w:t>
          </w:r>
          <w:r>
            <w:rPr>
              <w:rFonts w:eastAsia="Times New Roman" w:cs="Times New Roman"/>
              <w:szCs w:val="24"/>
              <w:highlight w:val="white"/>
            </w:rPr>
            <w:fldChar w:fldCharType="end"/>
          </w:r>
        </w:sdtContent>
      </w:sdt>
      <w:r>
        <w:rPr>
          <w:rFonts w:eastAsia="Times New Roman" w:cs="Times New Roman"/>
          <w:szCs w:val="24"/>
          <w:highlight w:val="white"/>
        </w:rPr>
        <w:t xml:space="preserve">. Customers can be considered one of the most significant stakeholders who can drive creativity in a business. Consumer demand is the most prioritised factor in deciding on a product or modifying it for their benefit. Naturally, people come to rely on the company more, as they feel that their feedback is considered in the outcome of the project. </w:t>
      </w:r>
    </w:p>
    <w:p w14:paraId="76BCB470" w14:textId="77777777" w:rsidR="003919B6" w:rsidRDefault="003919B6" w:rsidP="00236CFD">
      <w:pPr>
        <w:spacing w:after="0"/>
        <w:rPr>
          <w:rFonts w:eastAsia="Times New Roman" w:cs="Times New Roman"/>
          <w:szCs w:val="24"/>
          <w:highlight w:val="white"/>
        </w:rPr>
      </w:pPr>
      <w:r>
        <w:rPr>
          <w:rFonts w:eastAsia="Times New Roman" w:cs="Times New Roman"/>
          <w:b/>
          <w:bCs/>
          <w:i/>
          <w:iCs/>
          <w:szCs w:val="24"/>
          <w:highlight w:val="white"/>
        </w:rPr>
        <w:t>Impact of Stakeholders on Business Performance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919B6" w14:paraId="5EF2AF9A" w14:textId="77777777" w:rsidTr="00312F38">
        <w:tc>
          <w:tcPr>
            <w:tcW w:w="2340" w:type="dxa"/>
            <w:tcMar>
              <w:top w:w="100" w:type="dxa"/>
              <w:left w:w="100" w:type="dxa"/>
              <w:bottom w:w="100" w:type="dxa"/>
              <w:right w:w="100" w:type="dxa"/>
            </w:tcMar>
          </w:tcPr>
          <w:p w14:paraId="4063154A" w14:textId="77777777" w:rsidR="003919B6" w:rsidRDefault="003919B6" w:rsidP="00236CFD">
            <w:pPr>
              <w:widowControl w:val="0"/>
              <w:pBdr>
                <w:top w:val="nil"/>
                <w:left w:val="nil"/>
                <w:bottom w:val="nil"/>
                <w:right w:val="nil"/>
                <w:between w:val="nil"/>
              </w:pBdr>
              <w:spacing w:after="0"/>
              <w:jc w:val="center"/>
              <w:rPr>
                <w:rFonts w:eastAsia="Times New Roman" w:cs="Times New Roman"/>
                <w:b/>
                <w:bCs/>
                <w:szCs w:val="24"/>
                <w:highlight w:val="white"/>
              </w:rPr>
            </w:pPr>
            <w:r>
              <w:rPr>
                <w:rFonts w:eastAsia="Times New Roman" w:cs="Times New Roman"/>
                <w:b/>
                <w:bCs/>
                <w:szCs w:val="24"/>
                <w:highlight w:val="white"/>
              </w:rPr>
              <w:t xml:space="preserve">Area </w:t>
            </w:r>
          </w:p>
        </w:tc>
        <w:tc>
          <w:tcPr>
            <w:tcW w:w="2340" w:type="dxa"/>
            <w:tcMar>
              <w:top w:w="100" w:type="dxa"/>
              <w:left w:w="100" w:type="dxa"/>
              <w:bottom w:w="100" w:type="dxa"/>
              <w:right w:w="100" w:type="dxa"/>
            </w:tcMar>
          </w:tcPr>
          <w:p w14:paraId="3434813D" w14:textId="77777777" w:rsidR="003919B6" w:rsidRDefault="003919B6" w:rsidP="00236CFD">
            <w:pPr>
              <w:widowControl w:val="0"/>
              <w:pBdr>
                <w:top w:val="nil"/>
                <w:left w:val="nil"/>
                <w:bottom w:val="nil"/>
                <w:right w:val="nil"/>
                <w:between w:val="nil"/>
              </w:pBdr>
              <w:spacing w:after="0"/>
              <w:jc w:val="center"/>
              <w:rPr>
                <w:rFonts w:eastAsia="Times New Roman" w:cs="Times New Roman"/>
                <w:b/>
                <w:bCs/>
                <w:szCs w:val="24"/>
                <w:highlight w:val="white"/>
              </w:rPr>
            </w:pPr>
            <w:r>
              <w:rPr>
                <w:rFonts w:eastAsia="Times New Roman" w:cs="Times New Roman"/>
                <w:b/>
                <w:bCs/>
                <w:szCs w:val="24"/>
                <w:highlight w:val="white"/>
              </w:rPr>
              <w:t>Key Performance Indicators</w:t>
            </w:r>
          </w:p>
        </w:tc>
        <w:tc>
          <w:tcPr>
            <w:tcW w:w="2340" w:type="dxa"/>
            <w:tcMar>
              <w:top w:w="100" w:type="dxa"/>
              <w:left w:w="100" w:type="dxa"/>
              <w:bottom w:w="100" w:type="dxa"/>
              <w:right w:w="100" w:type="dxa"/>
            </w:tcMar>
          </w:tcPr>
          <w:p w14:paraId="5D4ED454" w14:textId="77777777" w:rsidR="003919B6" w:rsidRDefault="003919B6" w:rsidP="00236CFD">
            <w:pPr>
              <w:widowControl w:val="0"/>
              <w:pBdr>
                <w:top w:val="nil"/>
                <w:left w:val="nil"/>
                <w:bottom w:val="nil"/>
                <w:right w:val="nil"/>
                <w:between w:val="nil"/>
              </w:pBdr>
              <w:spacing w:after="0"/>
              <w:jc w:val="center"/>
              <w:rPr>
                <w:rFonts w:eastAsia="Times New Roman" w:cs="Times New Roman"/>
                <w:b/>
                <w:bCs/>
                <w:szCs w:val="24"/>
                <w:highlight w:val="white"/>
              </w:rPr>
            </w:pPr>
            <w:r>
              <w:rPr>
                <w:rFonts w:eastAsia="Times New Roman" w:cs="Times New Roman"/>
                <w:b/>
                <w:bCs/>
                <w:szCs w:val="24"/>
                <w:highlight w:val="white"/>
              </w:rPr>
              <w:t>Corporate Social Responsibility</w:t>
            </w:r>
          </w:p>
        </w:tc>
        <w:tc>
          <w:tcPr>
            <w:tcW w:w="2340" w:type="dxa"/>
            <w:tcMar>
              <w:top w:w="100" w:type="dxa"/>
              <w:left w:w="100" w:type="dxa"/>
              <w:bottom w:w="100" w:type="dxa"/>
              <w:right w:w="100" w:type="dxa"/>
            </w:tcMar>
          </w:tcPr>
          <w:p w14:paraId="34348C2F" w14:textId="77777777" w:rsidR="003919B6" w:rsidRDefault="003919B6" w:rsidP="00236CFD">
            <w:pPr>
              <w:widowControl w:val="0"/>
              <w:pBdr>
                <w:top w:val="nil"/>
                <w:left w:val="nil"/>
                <w:bottom w:val="nil"/>
                <w:right w:val="nil"/>
                <w:between w:val="nil"/>
              </w:pBdr>
              <w:spacing w:after="0"/>
              <w:jc w:val="center"/>
              <w:rPr>
                <w:rFonts w:eastAsia="Times New Roman" w:cs="Times New Roman"/>
                <w:b/>
                <w:bCs/>
                <w:szCs w:val="24"/>
                <w:highlight w:val="white"/>
              </w:rPr>
            </w:pPr>
            <w:r>
              <w:rPr>
                <w:rFonts w:eastAsia="Times New Roman" w:cs="Times New Roman"/>
                <w:b/>
                <w:bCs/>
                <w:szCs w:val="24"/>
                <w:highlight w:val="white"/>
              </w:rPr>
              <w:t>Sustainability Goals</w:t>
            </w:r>
          </w:p>
        </w:tc>
      </w:tr>
      <w:tr w:rsidR="003919B6" w14:paraId="3E8A0640" w14:textId="77777777" w:rsidTr="00312F38">
        <w:tc>
          <w:tcPr>
            <w:tcW w:w="2340" w:type="dxa"/>
            <w:tcMar>
              <w:top w:w="100" w:type="dxa"/>
              <w:left w:w="100" w:type="dxa"/>
              <w:bottom w:w="100" w:type="dxa"/>
              <w:right w:w="100" w:type="dxa"/>
            </w:tcMar>
          </w:tcPr>
          <w:p w14:paraId="1F47A08E"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lastRenderedPageBreak/>
              <w:t>Financial Performance</w:t>
            </w:r>
          </w:p>
        </w:tc>
        <w:tc>
          <w:tcPr>
            <w:tcW w:w="2340" w:type="dxa"/>
            <w:tcMar>
              <w:top w:w="100" w:type="dxa"/>
              <w:left w:w="100" w:type="dxa"/>
              <w:bottom w:w="100" w:type="dxa"/>
              <w:right w:w="100" w:type="dxa"/>
            </w:tcMar>
          </w:tcPr>
          <w:p w14:paraId="19E739DC"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Measuring the revenue growth, profit margins, and such can be considered the major KPIs of the project</w:t>
            </w:r>
            <w:sdt>
              <w:sdtPr>
                <w:rPr>
                  <w:rFonts w:eastAsia="Times New Roman" w:cs="Times New Roman"/>
                  <w:szCs w:val="24"/>
                  <w:highlight w:val="white"/>
                </w:rPr>
                <w:id w:val="-1411388442"/>
                <w:citation/>
              </w:sdtPr>
              <w:sdtContent>
                <w:r>
                  <w:rPr>
                    <w:rFonts w:eastAsia="Times New Roman" w:cs="Times New Roman"/>
                    <w:szCs w:val="24"/>
                    <w:highlight w:val="white"/>
                  </w:rPr>
                  <w:fldChar w:fldCharType="begin"/>
                </w:r>
                <w:r>
                  <w:rPr>
                    <w:rFonts w:eastAsia="Times New Roman" w:cs="Times New Roman"/>
                    <w:szCs w:val="24"/>
                    <w:highlight w:val="white"/>
                  </w:rPr>
                  <w:instrText xml:space="preserve"> CITATION Cra242 \l 1033 </w:instrText>
                </w:r>
                <w:r>
                  <w:rPr>
                    <w:rFonts w:eastAsia="Times New Roman" w:cs="Times New Roman"/>
                    <w:szCs w:val="24"/>
                    <w:highlight w:val="white"/>
                  </w:rPr>
                  <w:fldChar w:fldCharType="separate"/>
                </w:r>
                <w:r>
                  <w:rPr>
                    <w:rFonts w:eastAsia="Times New Roman" w:cs="Times New Roman"/>
                    <w:noProof/>
                    <w:szCs w:val="24"/>
                    <w:highlight w:val="white"/>
                  </w:rPr>
                  <w:t xml:space="preserve"> </w:t>
                </w:r>
                <w:r w:rsidRPr="006F193D">
                  <w:rPr>
                    <w:rFonts w:eastAsia="Times New Roman" w:cs="Times New Roman"/>
                    <w:noProof/>
                    <w:szCs w:val="24"/>
                    <w:highlight w:val="white"/>
                  </w:rPr>
                  <w:t>(West, 2024)</w:t>
                </w:r>
                <w:r>
                  <w:rPr>
                    <w:rFonts w:eastAsia="Times New Roman" w:cs="Times New Roman"/>
                    <w:szCs w:val="24"/>
                    <w:highlight w:val="white"/>
                  </w:rPr>
                  <w:fldChar w:fldCharType="end"/>
                </w:r>
              </w:sdtContent>
            </w:sdt>
            <w:r>
              <w:rPr>
                <w:rFonts w:eastAsia="Times New Roman" w:cs="Times New Roman"/>
                <w:szCs w:val="24"/>
                <w:highlight w:val="white"/>
              </w:rPr>
              <w:t xml:space="preserve">. </w:t>
            </w:r>
          </w:p>
        </w:tc>
        <w:tc>
          <w:tcPr>
            <w:tcW w:w="2340" w:type="dxa"/>
            <w:tcMar>
              <w:top w:w="100" w:type="dxa"/>
              <w:left w:w="100" w:type="dxa"/>
              <w:bottom w:w="100" w:type="dxa"/>
              <w:right w:w="100" w:type="dxa"/>
            </w:tcMar>
          </w:tcPr>
          <w:p w14:paraId="56A37155"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 xml:space="preserve">Whether the resources adhere to the ethical principles of the business can determine its CSR protocols. </w:t>
            </w:r>
          </w:p>
        </w:tc>
        <w:tc>
          <w:tcPr>
            <w:tcW w:w="2340" w:type="dxa"/>
            <w:tcMar>
              <w:top w:w="100" w:type="dxa"/>
              <w:left w:w="100" w:type="dxa"/>
              <w:bottom w:w="100" w:type="dxa"/>
              <w:right w:w="100" w:type="dxa"/>
            </w:tcMar>
          </w:tcPr>
          <w:p w14:paraId="573F9D7F"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 xml:space="preserve">Reducing the prospects of waste production in the project can be a sustainable goal in this segment. </w:t>
            </w:r>
          </w:p>
        </w:tc>
      </w:tr>
      <w:tr w:rsidR="003919B6" w14:paraId="2CED3865" w14:textId="77777777" w:rsidTr="00312F38">
        <w:tc>
          <w:tcPr>
            <w:tcW w:w="2340" w:type="dxa"/>
            <w:tcMar>
              <w:top w:w="100" w:type="dxa"/>
              <w:left w:w="100" w:type="dxa"/>
              <w:bottom w:w="100" w:type="dxa"/>
              <w:right w:w="100" w:type="dxa"/>
            </w:tcMar>
          </w:tcPr>
          <w:p w14:paraId="501E9B6B"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Employee Engagement</w:t>
            </w:r>
          </w:p>
        </w:tc>
        <w:tc>
          <w:tcPr>
            <w:tcW w:w="2340" w:type="dxa"/>
            <w:tcMar>
              <w:top w:w="100" w:type="dxa"/>
              <w:left w:w="100" w:type="dxa"/>
              <w:bottom w:w="100" w:type="dxa"/>
              <w:right w:w="100" w:type="dxa"/>
            </w:tcMar>
          </w:tcPr>
          <w:p w14:paraId="413D2D5D"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 xml:space="preserve">It is necessary for the authority to check the employee turnover rate of retention percentage as well as their job satisfaction surveys. </w:t>
            </w:r>
          </w:p>
        </w:tc>
        <w:tc>
          <w:tcPr>
            <w:tcW w:w="2340" w:type="dxa"/>
            <w:tcMar>
              <w:top w:w="100" w:type="dxa"/>
              <w:left w:w="100" w:type="dxa"/>
              <w:bottom w:w="100" w:type="dxa"/>
              <w:right w:w="100" w:type="dxa"/>
            </w:tcMar>
          </w:tcPr>
          <w:p w14:paraId="63022C4A"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 xml:space="preserve">CSR initiatives can be measured with individuals who are volunteering for the project and whether equality is fostered. </w:t>
            </w:r>
          </w:p>
        </w:tc>
        <w:tc>
          <w:tcPr>
            <w:tcW w:w="2340" w:type="dxa"/>
            <w:tcMar>
              <w:top w:w="100" w:type="dxa"/>
              <w:left w:w="100" w:type="dxa"/>
              <w:bottom w:w="100" w:type="dxa"/>
              <w:right w:w="100" w:type="dxa"/>
            </w:tcMar>
          </w:tcPr>
          <w:p w14:paraId="6569F51D"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 xml:space="preserve">Diversity can attract talented people to work in a business. </w:t>
            </w:r>
          </w:p>
        </w:tc>
      </w:tr>
      <w:tr w:rsidR="003919B6" w14:paraId="64B2879C" w14:textId="77777777" w:rsidTr="00312F38">
        <w:tc>
          <w:tcPr>
            <w:tcW w:w="2340" w:type="dxa"/>
            <w:tcMar>
              <w:top w:w="100" w:type="dxa"/>
              <w:left w:w="100" w:type="dxa"/>
              <w:bottom w:w="100" w:type="dxa"/>
              <w:right w:w="100" w:type="dxa"/>
            </w:tcMar>
          </w:tcPr>
          <w:p w14:paraId="239952E2"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Operational Efficiency</w:t>
            </w:r>
          </w:p>
        </w:tc>
        <w:tc>
          <w:tcPr>
            <w:tcW w:w="2340" w:type="dxa"/>
            <w:tcMar>
              <w:top w:w="100" w:type="dxa"/>
              <w:left w:w="100" w:type="dxa"/>
              <w:bottom w:w="100" w:type="dxa"/>
              <w:right w:w="100" w:type="dxa"/>
            </w:tcMar>
          </w:tcPr>
          <w:p w14:paraId="4C0D79EC"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 xml:space="preserve">Operational efficiency can be measured with supply chain proficiency and the inventory management process. </w:t>
            </w:r>
          </w:p>
        </w:tc>
        <w:tc>
          <w:tcPr>
            <w:tcW w:w="2340" w:type="dxa"/>
            <w:tcMar>
              <w:top w:w="100" w:type="dxa"/>
              <w:left w:w="100" w:type="dxa"/>
              <w:bottom w:w="100" w:type="dxa"/>
              <w:right w:w="100" w:type="dxa"/>
            </w:tcMar>
          </w:tcPr>
          <w:p w14:paraId="3C0B3A10"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Maintaining equity and safety can be a CSR goal for businesses</w:t>
            </w:r>
            <w:sdt>
              <w:sdtPr>
                <w:rPr>
                  <w:rFonts w:eastAsia="Times New Roman" w:cs="Times New Roman"/>
                  <w:szCs w:val="24"/>
                  <w:highlight w:val="white"/>
                </w:rPr>
                <w:id w:val="-1689901261"/>
                <w:citation/>
              </w:sdtPr>
              <w:sdtContent>
                <w:r>
                  <w:rPr>
                    <w:rFonts w:eastAsia="Times New Roman" w:cs="Times New Roman"/>
                    <w:szCs w:val="24"/>
                    <w:highlight w:val="white"/>
                  </w:rPr>
                  <w:fldChar w:fldCharType="begin"/>
                </w:r>
                <w:r>
                  <w:rPr>
                    <w:rFonts w:eastAsia="Times New Roman" w:cs="Times New Roman"/>
                    <w:szCs w:val="24"/>
                    <w:highlight w:val="white"/>
                  </w:rPr>
                  <w:instrText xml:space="preserve"> CITATION Jef246 \l 1033 </w:instrText>
                </w:r>
                <w:r>
                  <w:rPr>
                    <w:rFonts w:eastAsia="Times New Roman" w:cs="Times New Roman"/>
                    <w:szCs w:val="24"/>
                    <w:highlight w:val="white"/>
                  </w:rPr>
                  <w:fldChar w:fldCharType="separate"/>
                </w:r>
                <w:r>
                  <w:rPr>
                    <w:rFonts w:eastAsia="Times New Roman" w:cs="Times New Roman"/>
                    <w:noProof/>
                    <w:szCs w:val="24"/>
                    <w:highlight w:val="white"/>
                  </w:rPr>
                  <w:t xml:space="preserve"> </w:t>
                </w:r>
                <w:r w:rsidRPr="006F193D">
                  <w:rPr>
                    <w:rFonts w:eastAsia="Times New Roman" w:cs="Times New Roman"/>
                    <w:noProof/>
                    <w:szCs w:val="24"/>
                    <w:highlight w:val="white"/>
                  </w:rPr>
                  <w:t>(Bartel, 2024)</w:t>
                </w:r>
                <w:r>
                  <w:rPr>
                    <w:rFonts w:eastAsia="Times New Roman" w:cs="Times New Roman"/>
                    <w:szCs w:val="24"/>
                    <w:highlight w:val="white"/>
                  </w:rPr>
                  <w:fldChar w:fldCharType="end"/>
                </w:r>
              </w:sdtContent>
            </w:sdt>
            <w:r>
              <w:rPr>
                <w:rFonts w:eastAsia="Times New Roman" w:cs="Times New Roman"/>
                <w:szCs w:val="24"/>
                <w:highlight w:val="white"/>
              </w:rPr>
              <w:t xml:space="preserve">. </w:t>
            </w:r>
          </w:p>
        </w:tc>
        <w:tc>
          <w:tcPr>
            <w:tcW w:w="2340" w:type="dxa"/>
            <w:tcMar>
              <w:top w:w="100" w:type="dxa"/>
              <w:left w:w="100" w:type="dxa"/>
              <w:bottom w:w="100" w:type="dxa"/>
              <w:right w:w="100" w:type="dxa"/>
            </w:tcMar>
          </w:tcPr>
          <w:p w14:paraId="15BF3DCC"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 xml:space="preserve">The project aims to offer a zero-carbon footprint in the near future. </w:t>
            </w:r>
          </w:p>
        </w:tc>
      </w:tr>
      <w:tr w:rsidR="003919B6" w14:paraId="5527885D" w14:textId="77777777" w:rsidTr="00312F38">
        <w:tc>
          <w:tcPr>
            <w:tcW w:w="2340" w:type="dxa"/>
            <w:tcMar>
              <w:top w:w="100" w:type="dxa"/>
              <w:left w:w="100" w:type="dxa"/>
              <w:bottom w:w="100" w:type="dxa"/>
              <w:right w:w="100" w:type="dxa"/>
            </w:tcMar>
          </w:tcPr>
          <w:p w14:paraId="300956F8"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Regulatory Compliance</w:t>
            </w:r>
          </w:p>
        </w:tc>
        <w:tc>
          <w:tcPr>
            <w:tcW w:w="2340" w:type="dxa"/>
            <w:tcMar>
              <w:top w:w="100" w:type="dxa"/>
              <w:left w:w="100" w:type="dxa"/>
              <w:bottom w:w="100" w:type="dxa"/>
              <w:right w:w="100" w:type="dxa"/>
            </w:tcMar>
          </w:tcPr>
          <w:p w14:paraId="715A4620"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Analysing previous incidents that may include violence can ensure whether the entity abides by the norms.</w:t>
            </w:r>
          </w:p>
        </w:tc>
        <w:tc>
          <w:tcPr>
            <w:tcW w:w="2340" w:type="dxa"/>
            <w:tcMar>
              <w:top w:w="100" w:type="dxa"/>
              <w:left w:w="100" w:type="dxa"/>
              <w:bottom w:w="100" w:type="dxa"/>
              <w:right w:w="100" w:type="dxa"/>
            </w:tcMar>
          </w:tcPr>
          <w:p w14:paraId="2F413841"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 xml:space="preserve">Complying with data privacy as well as environmental regulations can be considered a CSR objective. </w:t>
            </w:r>
          </w:p>
        </w:tc>
        <w:tc>
          <w:tcPr>
            <w:tcW w:w="2340" w:type="dxa"/>
            <w:tcMar>
              <w:top w:w="100" w:type="dxa"/>
              <w:left w:w="100" w:type="dxa"/>
              <w:bottom w:w="100" w:type="dxa"/>
              <w:right w:w="100" w:type="dxa"/>
            </w:tcMar>
          </w:tcPr>
          <w:p w14:paraId="7417EE8D" w14:textId="77777777" w:rsidR="003919B6" w:rsidRDefault="003919B6" w:rsidP="00236CFD">
            <w:pPr>
              <w:widowControl w:val="0"/>
              <w:pBdr>
                <w:top w:val="nil"/>
                <w:left w:val="nil"/>
                <w:bottom w:val="nil"/>
                <w:right w:val="nil"/>
                <w:between w:val="nil"/>
              </w:pBdr>
              <w:spacing w:after="0"/>
              <w:rPr>
                <w:rFonts w:eastAsia="Times New Roman" w:cs="Times New Roman"/>
                <w:szCs w:val="24"/>
                <w:highlight w:val="white"/>
              </w:rPr>
            </w:pPr>
            <w:r>
              <w:rPr>
                <w:rFonts w:eastAsia="Times New Roman" w:cs="Times New Roman"/>
                <w:szCs w:val="24"/>
                <w:highlight w:val="white"/>
              </w:rPr>
              <w:t>Adhering to the ethical rules and regulations is a viable objective for the project.</w:t>
            </w:r>
          </w:p>
        </w:tc>
      </w:tr>
    </w:tbl>
    <w:p w14:paraId="79A2932B" w14:textId="68A73C69" w:rsidR="003919B6" w:rsidRDefault="003919B6" w:rsidP="00236CFD">
      <w:pPr>
        <w:spacing w:after="0" w:line="278" w:lineRule="auto"/>
        <w:jc w:val="left"/>
        <w:rPr>
          <w:b/>
          <w:bCs/>
          <w:kern w:val="36"/>
          <w:sz w:val="28"/>
          <w:szCs w:val="48"/>
        </w:rPr>
      </w:pPr>
      <w:r>
        <w:br w:type="page"/>
      </w:r>
    </w:p>
    <w:p w14:paraId="1C92E9AE" w14:textId="0EC6BF38" w:rsidR="008D306A" w:rsidRPr="008D306A" w:rsidRDefault="008D306A" w:rsidP="00236CFD">
      <w:pPr>
        <w:pStyle w:val="Heading1"/>
      </w:pPr>
      <w:bookmarkStart w:id="27" w:name="_Toc216368042"/>
      <w:bookmarkStart w:id="28" w:name="_Toc216369541"/>
      <w:r w:rsidRPr="008D306A">
        <w:lastRenderedPageBreak/>
        <w:t>f) Recommendations for Further Stakeholder Engagement</w:t>
      </w:r>
      <w:bookmarkEnd w:id="27"/>
      <w:bookmarkEnd w:id="28"/>
    </w:p>
    <w:tbl>
      <w:tblPr>
        <w:tblW w:w="9360" w:type="dxa"/>
        <w:tblCellMar>
          <w:top w:w="15" w:type="dxa"/>
          <w:left w:w="15" w:type="dxa"/>
          <w:bottom w:w="15" w:type="dxa"/>
          <w:right w:w="15" w:type="dxa"/>
        </w:tblCellMar>
        <w:tblLook w:val="04A0" w:firstRow="1" w:lastRow="0" w:firstColumn="1" w:lastColumn="0" w:noHBand="0" w:noVBand="1"/>
      </w:tblPr>
      <w:tblGrid>
        <w:gridCol w:w="2120"/>
        <w:gridCol w:w="7240"/>
      </w:tblGrid>
      <w:tr w:rsidR="008D306A" w:rsidRPr="008D306A" w14:paraId="6C7C2F41" w14:textId="77777777" w:rsidTr="00075F4A">
        <w:tc>
          <w:tcPr>
            <w:tcW w:w="0" w:type="auto"/>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hideMark/>
          </w:tcPr>
          <w:p w14:paraId="4B1B7893" w14:textId="77777777" w:rsidR="008D306A" w:rsidRPr="008D306A" w:rsidRDefault="008D306A" w:rsidP="00236CFD">
            <w:pPr>
              <w:spacing w:after="0"/>
              <w:jc w:val="center"/>
              <w:rPr>
                <w:i/>
                <w:iCs/>
              </w:rPr>
            </w:pPr>
            <w:r w:rsidRPr="008D306A">
              <w:rPr>
                <w:b/>
                <w:bCs/>
                <w:i/>
                <w:iCs/>
              </w:rPr>
              <w:t>Continuous engagement framework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D7A5D" w14:textId="10D1F41A" w:rsidR="008D306A" w:rsidRPr="008D306A" w:rsidRDefault="008D306A" w:rsidP="00236CFD">
            <w:pPr>
              <w:spacing w:after="0"/>
            </w:pPr>
            <w:r w:rsidRPr="008D306A">
              <w:t>The partnerships for the PulseOx SleepGuard should be strong and reliable for a long-term success where Sky Medical Technology may come up with a systematic and proactive approach to engage stakeholders</w:t>
            </w:r>
            <w:r w:rsidR="000C4D0F">
              <w:t xml:space="preserve"> (Christopher </w:t>
            </w:r>
            <w:r w:rsidR="000C4D0F" w:rsidRPr="000C4D0F">
              <w:rPr>
                <w:i/>
                <w:iCs/>
              </w:rPr>
              <w:t>et al</w:t>
            </w:r>
            <w:r w:rsidR="000C4D0F">
              <w:t>., 2013)</w:t>
            </w:r>
            <w:r w:rsidRPr="008D306A">
              <w:t>. An introduction of a continuous involvement framework, can be useful in this case. Consistent and multi-departmental meetings with the presence of digital dashboards and progress briefings are suggested here to foster transparency and alignment. </w:t>
            </w:r>
          </w:p>
        </w:tc>
      </w:tr>
      <w:tr w:rsidR="008D306A" w:rsidRPr="008D306A" w14:paraId="7D7224AF" w14:textId="77777777" w:rsidTr="00075F4A">
        <w:tc>
          <w:tcPr>
            <w:tcW w:w="0" w:type="auto"/>
            <w:tcBorders>
              <w:top w:val="single" w:sz="8" w:space="0" w:color="000000"/>
              <w:left w:val="single" w:sz="8" w:space="0" w:color="000000"/>
              <w:bottom w:val="single" w:sz="8" w:space="0" w:color="000000"/>
              <w:right w:val="single" w:sz="8" w:space="0" w:color="000000"/>
            </w:tcBorders>
            <w:shd w:val="clear" w:color="auto" w:fill="BDD6EE" w:themeFill="accent5" w:themeFillTint="66"/>
            <w:tcMar>
              <w:top w:w="100" w:type="dxa"/>
              <w:left w:w="100" w:type="dxa"/>
              <w:bottom w:w="100" w:type="dxa"/>
              <w:right w:w="100" w:type="dxa"/>
            </w:tcMar>
            <w:hideMark/>
          </w:tcPr>
          <w:p w14:paraId="732DB8FC" w14:textId="77777777" w:rsidR="008D306A" w:rsidRPr="008D306A" w:rsidRDefault="008D306A" w:rsidP="00236CFD">
            <w:pPr>
              <w:spacing w:after="0"/>
              <w:jc w:val="center"/>
              <w:rPr>
                <w:i/>
                <w:iCs/>
              </w:rPr>
            </w:pPr>
            <w:r w:rsidRPr="008D306A">
              <w:rPr>
                <w:b/>
                <w:bCs/>
                <w:i/>
                <w:iCs/>
              </w:rPr>
              <w:t>Co-creation and user involvement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E9CCC" w14:textId="2F0CF980" w:rsidR="008D306A" w:rsidRPr="008D306A" w:rsidRDefault="008D306A" w:rsidP="00236CFD">
            <w:pPr>
              <w:spacing w:after="0"/>
            </w:pPr>
            <w:r w:rsidRPr="008D306A">
              <w:t>The company may think of investing in co-creation to induce user involvement in this scenario</w:t>
            </w:r>
            <w:r w:rsidR="00D159D7">
              <w:t xml:space="preserve"> (</w:t>
            </w:r>
            <w:r w:rsidR="00D159D7" w:rsidRPr="00D159D7">
              <w:t>Roberts</w:t>
            </w:r>
            <w:r w:rsidR="00D159D7">
              <w:t xml:space="preserve"> </w:t>
            </w:r>
            <w:r w:rsidR="00D159D7" w:rsidRPr="00D159D7">
              <w:rPr>
                <w:i/>
                <w:iCs/>
              </w:rPr>
              <w:t>et al</w:t>
            </w:r>
            <w:r w:rsidR="00D159D7">
              <w:t xml:space="preserve">., </w:t>
            </w:r>
            <w:r w:rsidR="00D159D7" w:rsidRPr="00D159D7">
              <w:t>2022</w:t>
            </w:r>
            <w:r w:rsidR="00D159D7">
              <w:t>)</w:t>
            </w:r>
            <w:r w:rsidRPr="008D306A">
              <w:t>. Collaborating and connecting to the users along with sleep clinicians would be fruitful in this case. Different trails, focus groups and dynamic feedback surveys should be there to enhance usability and trust as well. </w:t>
            </w:r>
          </w:p>
        </w:tc>
      </w:tr>
      <w:tr w:rsidR="008D306A" w:rsidRPr="008D306A" w14:paraId="18CBA5D1" w14:textId="77777777" w:rsidTr="00075F4A">
        <w:tc>
          <w:tcPr>
            <w:tcW w:w="0" w:type="auto"/>
            <w:tcBorders>
              <w:top w:val="single" w:sz="8" w:space="0" w:color="000000"/>
              <w:left w:val="single" w:sz="8" w:space="0" w:color="000000"/>
              <w:bottom w:val="single" w:sz="8" w:space="0" w:color="000000"/>
              <w:right w:val="single" w:sz="8" w:space="0" w:color="000000"/>
            </w:tcBorders>
            <w:shd w:val="clear" w:color="auto" w:fill="F7CAAC" w:themeFill="accent2" w:themeFillTint="66"/>
            <w:tcMar>
              <w:top w:w="100" w:type="dxa"/>
              <w:left w:w="100" w:type="dxa"/>
              <w:bottom w:w="100" w:type="dxa"/>
              <w:right w:w="100" w:type="dxa"/>
            </w:tcMar>
            <w:hideMark/>
          </w:tcPr>
          <w:p w14:paraId="1EF640F7" w14:textId="77777777" w:rsidR="008D306A" w:rsidRPr="008D306A" w:rsidRDefault="008D306A" w:rsidP="00236CFD">
            <w:pPr>
              <w:spacing w:after="0"/>
              <w:jc w:val="center"/>
              <w:rPr>
                <w:i/>
                <w:iCs/>
              </w:rPr>
            </w:pPr>
            <w:r w:rsidRPr="008D306A">
              <w:rPr>
                <w:b/>
                <w:bCs/>
                <w:i/>
                <w:iCs/>
              </w:rPr>
              <w:t>Digital communication tools</w:t>
            </w:r>
          </w:p>
          <w:p w14:paraId="68271314" w14:textId="77777777" w:rsidR="008D306A" w:rsidRPr="008D306A" w:rsidRDefault="008D306A" w:rsidP="00236CFD">
            <w:pPr>
              <w:spacing w:after="0"/>
              <w:jc w:val="center"/>
              <w:rPr>
                <w:i/>
                <w:iC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13CDD1" w14:textId="6053ADF6" w:rsidR="008D306A" w:rsidRPr="008D306A" w:rsidRDefault="008D306A" w:rsidP="00236CFD">
            <w:pPr>
              <w:spacing w:after="0"/>
            </w:pPr>
            <w:r w:rsidRPr="008D306A">
              <w:t>They must think of improving digital communication tools for ensuring the interaction across multiple departments. Using platforms like Slack and many more like Asana or Microsoft Teams can be helpful in this case to facilitate real-time updates with reduced risks of delays and potential conflicts</w:t>
            </w:r>
            <w:sdt>
              <w:sdtPr>
                <w:id w:val="-379627807"/>
                <w:citation/>
              </w:sdtPr>
              <w:sdtContent>
                <w:r w:rsidR="00D159D7">
                  <w:fldChar w:fldCharType="begin"/>
                </w:r>
                <w:r w:rsidR="00D159D7">
                  <w:instrText xml:space="preserve"> CITATION Sla24 \l 1033 </w:instrText>
                </w:r>
                <w:r w:rsidR="00D159D7">
                  <w:fldChar w:fldCharType="separate"/>
                </w:r>
                <w:r w:rsidR="00D159D7">
                  <w:rPr>
                    <w:noProof/>
                  </w:rPr>
                  <w:t xml:space="preserve"> </w:t>
                </w:r>
                <w:r w:rsidR="00D159D7" w:rsidRPr="00D159D7">
                  <w:rPr>
                    <w:noProof/>
                  </w:rPr>
                  <w:t>(Slack, 2024)</w:t>
                </w:r>
                <w:r w:rsidR="00D159D7">
                  <w:fldChar w:fldCharType="end"/>
                </w:r>
              </w:sdtContent>
            </w:sdt>
            <w:r w:rsidRPr="008D306A">
              <w:t>. Efficient and consistent training of staff is also recommended here around collaborative practices as well as conflict resolution for a powerful teamwork. </w:t>
            </w:r>
          </w:p>
        </w:tc>
      </w:tr>
      <w:tr w:rsidR="008D306A" w:rsidRPr="008D306A" w14:paraId="1698F645" w14:textId="77777777" w:rsidTr="00075F4A">
        <w:tc>
          <w:tcPr>
            <w:tcW w:w="0" w:type="auto"/>
            <w:tcBorders>
              <w:top w:val="single" w:sz="8" w:space="0" w:color="000000"/>
              <w:left w:val="single" w:sz="8" w:space="0" w:color="000000"/>
              <w:bottom w:val="single" w:sz="8" w:space="0" w:color="000000"/>
              <w:right w:val="single" w:sz="8" w:space="0" w:color="000000"/>
            </w:tcBorders>
            <w:shd w:val="clear" w:color="auto" w:fill="FFE599" w:themeFill="accent4" w:themeFillTint="66"/>
            <w:tcMar>
              <w:top w:w="100" w:type="dxa"/>
              <w:left w:w="100" w:type="dxa"/>
              <w:bottom w:w="100" w:type="dxa"/>
              <w:right w:w="100" w:type="dxa"/>
            </w:tcMar>
            <w:hideMark/>
          </w:tcPr>
          <w:p w14:paraId="57A50310" w14:textId="77777777" w:rsidR="008D306A" w:rsidRPr="008D306A" w:rsidRDefault="008D306A" w:rsidP="00236CFD">
            <w:pPr>
              <w:spacing w:after="0"/>
              <w:jc w:val="center"/>
              <w:rPr>
                <w:i/>
                <w:iCs/>
              </w:rPr>
            </w:pPr>
            <w:r w:rsidRPr="008D306A">
              <w:rPr>
                <w:b/>
                <w:bCs/>
                <w:i/>
                <w:iCs/>
              </w:rPr>
              <w:t>Strategic partnerships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3693B" w14:textId="77777777" w:rsidR="008D306A" w:rsidRPr="008D306A" w:rsidRDefault="008D306A" w:rsidP="00236CFD">
            <w:pPr>
              <w:spacing w:after="0"/>
            </w:pPr>
            <w:r w:rsidRPr="008D306A">
              <w:t>Strategically the company can collaborate with different healthcare firms, retailers and also the tech partners for future resilience. Such partnerships should also be evaluated in annual frequency via performance indicators to keep up on shared value.</w:t>
            </w:r>
          </w:p>
        </w:tc>
      </w:tr>
    </w:tbl>
    <w:p w14:paraId="0556E11D" w14:textId="3780C1B5" w:rsidR="000C4D0F" w:rsidRDefault="000C4D0F" w:rsidP="00236CFD">
      <w:pPr>
        <w:spacing w:after="0"/>
      </w:pPr>
    </w:p>
    <w:p w14:paraId="47795927" w14:textId="77777777" w:rsidR="00236CFD" w:rsidRDefault="00236CFD" w:rsidP="00236CFD">
      <w:pPr>
        <w:spacing w:after="0" w:line="278" w:lineRule="auto"/>
        <w:jc w:val="left"/>
      </w:pPr>
      <w:r>
        <w:br w:type="page"/>
      </w:r>
    </w:p>
    <w:p w14:paraId="155E0E81" w14:textId="77777777" w:rsidR="00236CFD" w:rsidRDefault="00236CFD" w:rsidP="00236CFD">
      <w:pPr>
        <w:pStyle w:val="Heading1"/>
        <w:rPr>
          <w:highlight w:val="white"/>
        </w:rPr>
      </w:pPr>
      <w:bookmarkStart w:id="29" w:name="_Toc216369542"/>
      <w:r>
        <w:rPr>
          <w:highlight w:val="white"/>
        </w:rPr>
        <w:lastRenderedPageBreak/>
        <w:t>Conclusion</w:t>
      </w:r>
      <w:bookmarkEnd w:id="29"/>
    </w:p>
    <w:p w14:paraId="545F1C77" w14:textId="77777777" w:rsidR="00236CFD" w:rsidRDefault="00236CFD" w:rsidP="00236CFD">
      <w:pPr>
        <w:spacing w:after="0"/>
        <w:rPr>
          <w:rFonts w:eastAsia="Times New Roman" w:cs="Times New Roman"/>
          <w:szCs w:val="24"/>
          <w:highlight w:val="white"/>
        </w:rPr>
      </w:pPr>
      <w:r>
        <w:rPr>
          <w:rFonts w:eastAsia="Times New Roman" w:cs="Times New Roman"/>
          <w:szCs w:val="24"/>
          <w:highlight w:val="white"/>
        </w:rPr>
        <w:t>Stakeholder engagement has been depicted through the inclusion of the RACI matrix, stakeholder mapping and communication plans. It has played a major role in ensuring PulseOx SleepGuard's timely launch at Sky Medical Technology. Enhancing the UK market positioning and internal execution pairs has been paired with external validation and mitigating risks as per the Stakeholder Theory. ​4Cs communication plan has resolved the conflicts and ended up fostering a strong collaboration for superior performance. This particular strategy has driven the level of adoption, innovation leadership and long-term growth. All the stakeholders have been effectively engaged through structured processes and transparent channels have been deployed for taking into account knowledge-sharing cultures. They have also prevented the cause of further disruptions and ended up ensuring PulseOx SleepGuard's successful launch at Sky Medical Technology. This report has analysed Sky Medical Technology's PulseOx SleepGuard launch that includes the situational SWOT/PESTLE analyses, SMART objectives and strong stakeholder engagement. Practical recommendations have been provided for successfully using continuous frameworks, co-creation, digital tools, and partnerships. They have ensured a high level of project success and gained long-term stakeholder alignment.</w:t>
      </w:r>
    </w:p>
    <w:p w14:paraId="619413F8" w14:textId="0CAD1C8C" w:rsidR="000C4D0F" w:rsidRPr="00236CFD" w:rsidRDefault="000C4D0F" w:rsidP="00236CFD">
      <w:pPr>
        <w:spacing w:after="0"/>
        <w:rPr>
          <w:rFonts w:eastAsia="Times New Roman" w:cs="Times New Roman"/>
          <w:szCs w:val="24"/>
          <w:highlight w:val="white"/>
        </w:rPr>
      </w:pPr>
      <w:r>
        <w:br w:type="page"/>
      </w:r>
    </w:p>
    <w:p w14:paraId="3855328B" w14:textId="3D09D48D" w:rsidR="000D15DD" w:rsidRDefault="000C4D0F" w:rsidP="00236CFD">
      <w:pPr>
        <w:pStyle w:val="Heading1"/>
      </w:pPr>
      <w:bookmarkStart w:id="30" w:name="_Toc216368043"/>
      <w:bookmarkStart w:id="31" w:name="_Toc216369543"/>
      <w:r>
        <w:lastRenderedPageBreak/>
        <w:t>References</w:t>
      </w:r>
      <w:bookmarkEnd w:id="30"/>
      <w:bookmarkEnd w:id="31"/>
      <w:r>
        <w:t xml:space="preserve"> </w:t>
      </w:r>
    </w:p>
    <w:p w14:paraId="2C406E4D" w14:textId="77777777" w:rsidR="00236CFD" w:rsidRDefault="00236CFD" w:rsidP="00236CFD">
      <w:pPr>
        <w:spacing w:after="0"/>
      </w:pPr>
      <w:r w:rsidRPr="002E7CBF">
        <w:t xml:space="preserve">Adewale, T.T., Olorunyomi, T.D. and </w:t>
      </w:r>
      <w:proofErr w:type="spellStart"/>
      <w:r w:rsidRPr="002E7CBF">
        <w:t>Odonkor</w:t>
      </w:r>
      <w:proofErr w:type="spellEnd"/>
      <w:r w:rsidRPr="002E7CBF">
        <w:t xml:space="preserve">, T.N., </w:t>
      </w:r>
      <w:r>
        <w:t>(</w:t>
      </w:r>
      <w:r w:rsidRPr="002E7CBF">
        <w:t>2022</w:t>
      </w:r>
      <w:r>
        <w:t>)</w:t>
      </w:r>
      <w:r w:rsidRPr="002E7CBF">
        <w:t xml:space="preserve">. </w:t>
      </w:r>
      <w:r>
        <w:t>‘</w:t>
      </w:r>
      <w:r w:rsidRPr="002E7CBF">
        <w:t>Blockchain-enhanced financial transparency: A conceptual approach to reporting and compliance.</w:t>
      </w:r>
      <w:r>
        <w:t>’</w:t>
      </w:r>
      <w:r w:rsidRPr="002E7CBF">
        <w:t> </w:t>
      </w:r>
      <w:r w:rsidRPr="002E7CBF">
        <w:rPr>
          <w:i/>
          <w:iCs/>
        </w:rPr>
        <w:t>International Journal of Frontiers in Science and Technology Research</w:t>
      </w:r>
      <w:r w:rsidRPr="002E7CBF">
        <w:t>, </w:t>
      </w:r>
      <w:r w:rsidRPr="002E7CBF">
        <w:rPr>
          <w:i/>
          <w:iCs/>
        </w:rPr>
        <w:t>2</w:t>
      </w:r>
      <w:r w:rsidRPr="002E7CBF">
        <w:t>(1), pp.024-045.</w:t>
      </w:r>
    </w:p>
    <w:p w14:paraId="3ED43985" w14:textId="77777777" w:rsidR="00236CFD" w:rsidRDefault="00236CFD" w:rsidP="00236CFD">
      <w:pPr>
        <w:spacing w:after="0"/>
      </w:pPr>
      <w:r>
        <w:t>Ashcroft, J. (2017) The relational lens: understanding, measuring, and managing stakeholder relationships. Cambridge: Cambridge University Press. Available at: https://www-cambridge-</w:t>
      </w:r>
    </w:p>
    <w:p w14:paraId="6EAF7579" w14:textId="77777777" w:rsidR="00236CFD" w:rsidRDefault="00236CFD" w:rsidP="00236CFD">
      <w:pPr>
        <w:spacing w:after="0"/>
      </w:pPr>
      <w:r>
        <w:t xml:space="preserve">Bartel, J., (2024). </w:t>
      </w:r>
      <w:r w:rsidRPr="006F193D">
        <w:rPr>
          <w:i/>
          <w:iCs/>
        </w:rPr>
        <w:t xml:space="preserve">Why Strong Corporate Social Responsibility Is </w:t>
      </w:r>
      <w:proofErr w:type="gramStart"/>
      <w:r w:rsidRPr="006F193D">
        <w:rPr>
          <w:i/>
          <w:iCs/>
        </w:rPr>
        <w:t>A</w:t>
      </w:r>
      <w:proofErr w:type="gramEnd"/>
      <w:r w:rsidRPr="006F193D">
        <w:rPr>
          <w:i/>
          <w:iCs/>
        </w:rPr>
        <w:t xml:space="preserve"> Competitive Advantage</w:t>
      </w:r>
      <w:r>
        <w:t>. [Online] Available at: https://www.forbes.com/councils/forbesfinancecouncil/2024/11/25/why-strong-corporate-social-responsibility-is-a-competitive-advantage/ [Accessed 5 December 2025].</w:t>
      </w:r>
    </w:p>
    <w:p w14:paraId="5C3A967F" w14:textId="77777777" w:rsidR="00236CFD" w:rsidRDefault="00236CFD" w:rsidP="00236CFD">
      <w:pPr>
        <w:spacing w:after="0"/>
      </w:pPr>
      <w:proofErr w:type="spellStart"/>
      <w:r w:rsidRPr="005D0823">
        <w:t>Brönneke</w:t>
      </w:r>
      <w:proofErr w:type="spellEnd"/>
      <w:r w:rsidRPr="005D0823">
        <w:t xml:space="preserve">, J.B., Müller, J., </w:t>
      </w:r>
      <w:proofErr w:type="spellStart"/>
      <w:r w:rsidRPr="005D0823">
        <w:t>Mouratis</w:t>
      </w:r>
      <w:proofErr w:type="spellEnd"/>
      <w:r w:rsidRPr="005D0823">
        <w:t xml:space="preserve">, K., Hagen, J. and Stern, A.D., </w:t>
      </w:r>
      <w:r>
        <w:t>(</w:t>
      </w:r>
      <w:r w:rsidRPr="005D0823">
        <w:t>2021</w:t>
      </w:r>
      <w:r>
        <w:t>)</w:t>
      </w:r>
      <w:r w:rsidRPr="005D0823">
        <w:t>. Regulatory, legal, and market aspects of smart wearables for cardiac monitoring. </w:t>
      </w:r>
      <w:r w:rsidRPr="0083319F">
        <w:rPr>
          <w:i/>
          <w:iCs/>
        </w:rPr>
        <w:t>Sensors</w:t>
      </w:r>
      <w:r w:rsidRPr="005D0823">
        <w:t>, </w:t>
      </w:r>
      <w:r w:rsidRPr="0083319F">
        <w:rPr>
          <w:i/>
          <w:iCs/>
        </w:rPr>
        <w:t>21</w:t>
      </w:r>
      <w:r w:rsidRPr="005D0823">
        <w:t>(14), p.4937.</w:t>
      </w:r>
    </w:p>
    <w:p w14:paraId="4EAC6392" w14:textId="77777777" w:rsidR="00236CFD" w:rsidRDefault="00236CFD" w:rsidP="00236CFD">
      <w:pPr>
        <w:spacing w:after="0"/>
      </w:pPr>
      <w:r>
        <w:t>Christopher, M., Payne, A., and Ballantyne, D. (2013). Relationship Marketing: Creating Stakeholder Value. Saint Louis: Taylor and Francis</w:t>
      </w:r>
    </w:p>
    <w:p w14:paraId="4674C549" w14:textId="77777777" w:rsidR="00236CFD" w:rsidRDefault="00236CFD" w:rsidP="00236CFD">
      <w:pPr>
        <w:spacing w:after="0"/>
      </w:pPr>
      <w:r w:rsidRPr="005D0823">
        <w:t xml:space="preserve">Davis, M., Kirwan, M., Maclay, W. and Pappas, H. eds., </w:t>
      </w:r>
      <w:r>
        <w:t>(</w:t>
      </w:r>
      <w:r w:rsidRPr="005D0823">
        <w:t>2022</w:t>
      </w:r>
      <w:r>
        <w:t>)</w:t>
      </w:r>
      <w:r w:rsidRPr="005D0823">
        <w:t>. </w:t>
      </w:r>
      <w:r w:rsidRPr="0083319F">
        <w:rPr>
          <w:i/>
          <w:iCs/>
        </w:rPr>
        <w:t>Closing the care gap with wearable devices: Innovating healthcare with wearable patient monitoring</w:t>
      </w:r>
      <w:r w:rsidRPr="005D0823">
        <w:t>. CRC Press.</w:t>
      </w:r>
    </w:p>
    <w:p w14:paraId="08C154EB" w14:textId="77777777" w:rsidR="00236CFD" w:rsidRDefault="00236CFD" w:rsidP="00236CFD">
      <w:pPr>
        <w:spacing w:after="0"/>
      </w:pPr>
      <w:r>
        <w:t xml:space="preserve">Forbes, (2025). How To Leverage Marketing </w:t>
      </w:r>
      <w:proofErr w:type="gramStart"/>
      <w:r>
        <w:t>And</w:t>
      </w:r>
      <w:proofErr w:type="gramEnd"/>
      <w:r>
        <w:t xml:space="preserve"> Design </w:t>
      </w:r>
      <w:proofErr w:type="gramStart"/>
      <w:r>
        <w:t>For</w:t>
      </w:r>
      <w:proofErr w:type="gramEnd"/>
      <w:r>
        <w:t xml:space="preserve"> </w:t>
      </w:r>
      <w:proofErr w:type="gramStart"/>
      <w:r>
        <w:t>A</w:t>
      </w:r>
      <w:proofErr w:type="gramEnd"/>
      <w:r>
        <w:t xml:space="preserve"> Successful Product Launch. [Online] Available at: https://www.forbes.com/sites/esade/2025/09/16/how-to-leverage-marketing-and-design-for-a-successful-product-launch/ [Accessed 5 December 2025].</w:t>
      </w:r>
    </w:p>
    <w:p w14:paraId="7BE37536" w14:textId="77777777" w:rsidR="00236CFD" w:rsidRPr="009D456D" w:rsidRDefault="00236CFD" w:rsidP="00236CFD">
      <w:pPr>
        <w:spacing w:after="0"/>
        <w:rPr>
          <w:rFonts w:eastAsia="Times New Roman" w:cs="Times New Roman"/>
          <w:szCs w:val="24"/>
          <w:highlight w:val="white"/>
        </w:rPr>
      </w:pPr>
      <w:r w:rsidRPr="009D456D">
        <w:rPr>
          <w:rFonts w:eastAsia="Times New Roman" w:cs="Times New Roman"/>
          <w:szCs w:val="24"/>
          <w:highlight w:val="white"/>
        </w:rPr>
        <w:t xml:space="preserve">Freeman, R.E., </w:t>
      </w:r>
      <w:proofErr w:type="spellStart"/>
      <w:r w:rsidRPr="009D456D">
        <w:rPr>
          <w:rFonts w:eastAsia="Times New Roman" w:cs="Times New Roman"/>
          <w:szCs w:val="24"/>
          <w:highlight w:val="white"/>
        </w:rPr>
        <w:t>Menghwar</w:t>
      </w:r>
      <w:proofErr w:type="spellEnd"/>
      <w:r w:rsidRPr="009D456D">
        <w:rPr>
          <w:rFonts w:eastAsia="Times New Roman" w:cs="Times New Roman"/>
          <w:szCs w:val="24"/>
          <w:highlight w:val="white"/>
        </w:rPr>
        <w:t xml:space="preserve">, P.S. and </w:t>
      </w:r>
      <w:proofErr w:type="spellStart"/>
      <w:r w:rsidRPr="009D456D">
        <w:rPr>
          <w:rFonts w:eastAsia="Times New Roman" w:cs="Times New Roman"/>
          <w:szCs w:val="24"/>
          <w:highlight w:val="white"/>
        </w:rPr>
        <w:t>Grushka</w:t>
      </w:r>
      <w:proofErr w:type="spellEnd"/>
      <w:r w:rsidRPr="009D456D">
        <w:rPr>
          <w:rFonts w:eastAsia="Times New Roman" w:cs="Times New Roman"/>
          <w:szCs w:val="24"/>
          <w:highlight w:val="white"/>
        </w:rPr>
        <w:t>-Cockayne, Y., (2025). A stakeholder theory perspective for project management. </w:t>
      </w:r>
      <w:r w:rsidRPr="009D456D">
        <w:rPr>
          <w:rFonts w:eastAsia="Times New Roman" w:cs="Times New Roman"/>
          <w:i/>
          <w:iCs/>
          <w:szCs w:val="24"/>
          <w:highlight w:val="white"/>
        </w:rPr>
        <w:t>International Journal of Project Management</w:t>
      </w:r>
      <w:r w:rsidRPr="009D456D">
        <w:rPr>
          <w:rFonts w:eastAsia="Times New Roman" w:cs="Times New Roman"/>
          <w:szCs w:val="24"/>
          <w:highlight w:val="white"/>
        </w:rPr>
        <w:t>, p.102764.</w:t>
      </w:r>
    </w:p>
    <w:p w14:paraId="6014A182" w14:textId="77777777" w:rsidR="00236CFD" w:rsidRDefault="00236CFD" w:rsidP="00236CFD">
      <w:pPr>
        <w:spacing w:after="0"/>
      </w:pPr>
      <w:proofErr w:type="spellStart"/>
      <w:r>
        <w:t>fylehq</w:t>
      </w:r>
      <w:proofErr w:type="spellEnd"/>
      <w:r>
        <w:t xml:space="preserve">, (2025). </w:t>
      </w:r>
      <w:r w:rsidRPr="002E7CBF">
        <w:rPr>
          <w:i/>
          <w:iCs/>
        </w:rPr>
        <w:t>8 Tips to Improve Collaboration for Finance Teams</w:t>
      </w:r>
      <w:r>
        <w:t>. [Online] Available at: https://www.fylehq.com/blog/tips-to-improve-collaboration-for-finance-teams [Accessed 5 December 2025].</w:t>
      </w:r>
    </w:p>
    <w:p w14:paraId="1284F30A" w14:textId="77777777" w:rsidR="00236CFD" w:rsidRDefault="00236CFD" w:rsidP="00236CFD">
      <w:pPr>
        <w:spacing w:after="0"/>
      </w:pPr>
      <w:r>
        <w:t xml:space="preserve">Garmin, (2025). </w:t>
      </w:r>
      <w:r w:rsidRPr="0083319F">
        <w:rPr>
          <w:i/>
          <w:iCs/>
        </w:rPr>
        <w:t>ABOUT US</w:t>
      </w:r>
      <w:r>
        <w:t>. [Online] Available at: https://www.garmin.com/en-US/company/about-garmin/ [Accessed 5 December 2025].</w:t>
      </w:r>
    </w:p>
    <w:p w14:paraId="116C6EF3" w14:textId="77777777" w:rsidR="00236CFD" w:rsidRDefault="00236CFD" w:rsidP="00236CFD">
      <w:pPr>
        <w:spacing w:after="0"/>
      </w:pPr>
      <w:r>
        <w:t xml:space="preserve">Harmon, S., (2024). </w:t>
      </w:r>
      <w:r w:rsidRPr="006F193D">
        <w:rPr>
          <w:i/>
          <w:iCs/>
        </w:rPr>
        <w:t xml:space="preserve">Capturing the Elusive Benefits </w:t>
      </w:r>
      <w:proofErr w:type="gramStart"/>
      <w:r w:rsidRPr="006F193D">
        <w:rPr>
          <w:i/>
          <w:iCs/>
        </w:rPr>
        <w:t>Of</w:t>
      </w:r>
      <w:proofErr w:type="gramEnd"/>
      <w:r w:rsidRPr="006F193D">
        <w:rPr>
          <w:i/>
          <w:iCs/>
        </w:rPr>
        <w:t xml:space="preserve"> Collaboration</w:t>
      </w:r>
      <w:r>
        <w:t>. [Online] Available at: https://www.forbes.com/sites/harmoncullinan/2024/03/20/capturing-the-elusive-benefits-of-collaboration/ [Accessed 5 December 2025].</w:t>
      </w:r>
    </w:p>
    <w:p w14:paraId="07E9091E" w14:textId="77777777" w:rsidR="00236CFD" w:rsidRPr="009D456D" w:rsidRDefault="00236CFD" w:rsidP="00236CFD">
      <w:pPr>
        <w:spacing w:after="0"/>
        <w:rPr>
          <w:rFonts w:eastAsia="Times New Roman" w:cs="Times New Roman"/>
          <w:szCs w:val="24"/>
          <w:highlight w:val="white"/>
        </w:rPr>
      </w:pPr>
      <w:proofErr w:type="spellStart"/>
      <w:r w:rsidRPr="009D456D">
        <w:rPr>
          <w:rFonts w:eastAsia="Times New Roman" w:cs="Times New Roman"/>
          <w:szCs w:val="24"/>
          <w:highlight w:val="white"/>
        </w:rPr>
        <w:t>Horoki</w:t>
      </w:r>
      <w:proofErr w:type="spellEnd"/>
      <w:r w:rsidRPr="009D456D">
        <w:rPr>
          <w:rFonts w:eastAsia="Times New Roman" w:cs="Times New Roman"/>
          <w:szCs w:val="24"/>
          <w:highlight w:val="white"/>
        </w:rPr>
        <w:t xml:space="preserve">, A.Z., </w:t>
      </w:r>
      <w:proofErr w:type="spellStart"/>
      <w:r w:rsidRPr="009D456D">
        <w:rPr>
          <w:rFonts w:eastAsia="Times New Roman" w:cs="Times New Roman"/>
          <w:szCs w:val="24"/>
          <w:highlight w:val="white"/>
        </w:rPr>
        <w:t>Abolhasani</w:t>
      </w:r>
      <w:proofErr w:type="spellEnd"/>
      <w:r w:rsidRPr="009D456D">
        <w:rPr>
          <w:rFonts w:eastAsia="Times New Roman" w:cs="Times New Roman"/>
          <w:szCs w:val="24"/>
          <w:highlight w:val="white"/>
        </w:rPr>
        <w:t xml:space="preserve">, M.S., </w:t>
      </w:r>
      <w:proofErr w:type="spellStart"/>
      <w:r w:rsidRPr="009D456D">
        <w:rPr>
          <w:rFonts w:eastAsia="Times New Roman" w:cs="Times New Roman"/>
          <w:szCs w:val="24"/>
          <w:highlight w:val="white"/>
        </w:rPr>
        <w:t>Khah</w:t>
      </w:r>
      <w:proofErr w:type="spellEnd"/>
      <w:r w:rsidRPr="009D456D">
        <w:rPr>
          <w:rFonts w:eastAsia="Times New Roman" w:cs="Times New Roman"/>
          <w:szCs w:val="24"/>
          <w:highlight w:val="white"/>
        </w:rPr>
        <w:t xml:space="preserve">, E.S., </w:t>
      </w:r>
      <w:proofErr w:type="spellStart"/>
      <w:r w:rsidRPr="009D456D">
        <w:rPr>
          <w:rFonts w:eastAsia="Times New Roman" w:cs="Times New Roman"/>
          <w:szCs w:val="24"/>
          <w:highlight w:val="white"/>
        </w:rPr>
        <w:t>Heydaripour</w:t>
      </w:r>
      <w:proofErr w:type="spellEnd"/>
      <w:r w:rsidRPr="009D456D">
        <w:rPr>
          <w:rFonts w:eastAsia="Times New Roman" w:cs="Times New Roman"/>
          <w:szCs w:val="24"/>
          <w:highlight w:val="white"/>
        </w:rPr>
        <w:t xml:space="preserve">, M. and </w:t>
      </w:r>
      <w:proofErr w:type="spellStart"/>
      <w:r w:rsidRPr="009D456D">
        <w:rPr>
          <w:rFonts w:eastAsia="Times New Roman" w:cs="Times New Roman"/>
          <w:szCs w:val="24"/>
          <w:highlight w:val="white"/>
        </w:rPr>
        <w:t>Zarezadeh</w:t>
      </w:r>
      <w:proofErr w:type="spellEnd"/>
      <w:r w:rsidRPr="009D456D">
        <w:rPr>
          <w:rFonts w:eastAsia="Times New Roman" w:cs="Times New Roman"/>
          <w:szCs w:val="24"/>
          <w:highlight w:val="white"/>
        </w:rPr>
        <w:t>, M., (2024). Identifying Barriers to the Adoption of Electronic Prescribing: A Stakeholder Analysis Approach Using a Power-Interest Matrix. </w:t>
      </w:r>
      <w:r w:rsidRPr="009D456D">
        <w:rPr>
          <w:rFonts w:eastAsia="Times New Roman" w:cs="Times New Roman"/>
          <w:i/>
          <w:iCs/>
          <w:szCs w:val="24"/>
          <w:highlight w:val="white"/>
        </w:rPr>
        <w:t>Evidence Based Health Policy, Management and Economics</w:t>
      </w:r>
      <w:r w:rsidRPr="009D456D">
        <w:rPr>
          <w:rFonts w:eastAsia="Times New Roman" w:cs="Times New Roman"/>
          <w:szCs w:val="24"/>
          <w:highlight w:val="white"/>
        </w:rPr>
        <w:t xml:space="preserve">. </w:t>
      </w:r>
    </w:p>
    <w:p w14:paraId="120F7727" w14:textId="77777777" w:rsidR="00236CFD" w:rsidRPr="009D456D" w:rsidRDefault="00236CFD" w:rsidP="00236CFD">
      <w:pPr>
        <w:spacing w:after="0"/>
        <w:rPr>
          <w:rFonts w:eastAsia="Times New Roman" w:cs="Times New Roman"/>
          <w:szCs w:val="24"/>
          <w:highlight w:val="white"/>
        </w:rPr>
      </w:pPr>
      <w:r w:rsidRPr="009D456D">
        <w:rPr>
          <w:rFonts w:eastAsia="Times New Roman" w:cs="Times New Roman"/>
          <w:szCs w:val="24"/>
          <w:highlight w:val="white"/>
        </w:rPr>
        <w:lastRenderedPageBreak/>
        <w:t>Kenyon, G.N., (2025). Supply Chain Dimensions of Quality. In </w:t>
      </w:r>
      <w:r w:rsidRPr="009D456D">
        <w:rPr>
          <w:rFonts w:eastAsia="Times New Roman" w:cs="Times New Roman"/>
          <w:i/>
          <w:iCs/>
          <w:szCs w:val="24"/>
          <w:highlight w:val="white"/>
        </w:rPr>
        <w:t>The Perception of Quality: Establishing a Competitive Advantage Through Quality, Value, and Perception</w:t>
      </w:r>
      <w:r w:rsidRPr="009D456D">
        <w:rPr>
          <w:rFonts w:eastAsia="Times New Roman" w:cs="Times New Roman"/>
          <w:szCs w:val="24"/>
          <w:highlight w:val="white"/>
        </w:rPr>
        <w:t> (pp. 291-364). London: Springer London.</w:t>
      </w:r>
    </w:p>
    <w:p w14:paraId="765ACFEF" w14:textId="77777777" w:rsidR="00236CFD" w:rsidRDefault="00236CFD" w:rsidP="00236CFD">
      <w:pPr>
        <w:spacing w:after="0"/>
      </w:pPr>
      <w:r>
        <w:t xml:space="preserve">Kiselevich, I., (2024). </w:t>
      </w:r>
      <w:r w:rsidRPr="006F193D">
        <w:rPr>
          <w:i/>
          <w:iCs/>
        </w:rPr>
        <w:t xml:space="preserve">Stakeholder Engagement </w:t>
      </w:r>
      <w:proofErr w:type="gramStart"/>
      <w:r w:rsidRPr="006F193D">
        <w:rPr>
          <w:i/>
          <w:iCs/>
        </w:rPr>
        <w:t>At</w:t>
      </w:r>
      <w:proofErr w:type="gramEnd"/>
      <w:r w:rsidRPr="006F193D">
        <w:rPr>
          <w:i/>
          <w:iCs/>
        </w:rPr>
        <w:t xml:space="preserve"> Startups: Determining </w:t>
      </w:r>
      <w:proofErr w:type="gramStart"/>
      <w:r w:rsidRPr="006F193D">
        <w:rPr>
          <w:i/>
          <w:iCs/>
        </w:rPr>
        <w:t>The</w:t>
      </w:r>
      <w:proofErr w:type="gramEnd"/>
      <w:r w:rsidRPr="006F193D">
        <w:rPr>
          <w:i/>
          <w:iCs/>
        </w:rPr>
        <w:t xml:space="preserve"> Success </w:t>
      </w:r>
      <w:proofErr w:type="gramStart"/>
      <w:r w:rsidRPr="006F193D">
        <w:rPr>
          <w:i/>
          <w:iCs/>
        </w:rPr>
        <w:t>Or</w:t>
      </w:r>
      <w:proofErr w:type="gramEnd"/>
      <w:r w:rsidRPr="006F193D">
        <w:rPr>
          <w:i/>
          <w:iCs/>
        </w:rPr>
        <w:t xml:space="preserve"> Failure </w:t>
      </w:r>
      <w:proofErr w:type="gramStart"/>
      <w:r w:rsidRPr="006F193D">
        <w:rPr>
          <w:i/>
          <w:iCs/>
        </w:rPr>
        <w:t>Of</w:t>
      </w:r>
      <w:proofErr w:type="gramEnd"/>
      <w:r w:rsidRPr="006F193D">
        <w:rPr>
          <w:i/>
          <w:iCs/>
        </w:rPr>
        <w:t xml:space="preserve"> Mobile App Projects</w:t>
      </w:r>
      <w:r>
        <w:t>. [Online] Available at: https://www.forbes.com/councils/forbestechcouncil/2024/01/12/stakeholder-engagement-at-startups-determining-the-success-or-failure-of-mobile-app-projects/ [Accessed 5 December 2025].</w:t>
      </w:r>
    </w:p>
    <w:p w14:paraId="14E7E994" w14:textId="77777777" w:rsidR="00236CFD" w:rsidRDefault="00236CFD" w:rsidP="00236CFD">
      <w:pPr>
        <w:spacing w:after="0"/>
      </w:pPr>
      <w:r w:rsidRPr="005D0823">
        <w:t xml:space="preserve">Kujala, J., Sachs, S., Leinonen, H., Heikkinen, A. and Laude, D., </w:t>
      </w:r>
      <w:r>
        <w:t>(</w:t>
      </w:r>
      <w:r w:rsidRPr="005D0823">
        <w:t>2022</w:t>
      </w:r>
      <w:r>
        <w:t>)</w:t>
      </w:r>
      <w:r w:rsidRPr="005D0823">
        <w:t>. Stakeholder engagement: Past, present, and future. </w:t>
      </w:r>
      <w:r w:rsidRPr="0083319F">
        <w:rPr>
          <w:i/>
          <w:iCs/>
        </w:rPr>
        <w:t>Business &amp; Society</w:t>
      </w:r>
      <w:r w:rsidRPr="005D0823">
        <w:t>, </w:t>
      </w:r>
      <w:r w:rsidRPr="0083319F">
        <w:rPr>
          <w:i/>
          <w:iCs/>
        </w:rPr>
        <w:t>61</w:t>
      </w:r>
      <w:r w:rsidRPr="005D0823">
        <w:t>(5), pp.1136-1196.</w:t>
      </w:r>
    </w:p>
    <w:p w14:paraId="1FF8A005" w14:textId="77777777" w:rsidR="00236CFD" w:rsidRDefault="00236CFD" w:rsidP="00236CFD">
      <w:pPr>
        <w:spacing w:after="0"/>
      </w:pPr>
      <w:proofErr w:type="spellStart"/>
      <w:r w:rsidRPr="00D159D7">
        <w:t>Kukoryte</w:t>
      </w:r>
      <w:proofErr w:type="spellEnd"/>
      <w:r w:rsidRPr="00D159D7">
        <w:t xml:space="preserve">, E., </w:t>
      </w:r>
      <w:r>
        <w:t>(</w:t>
      </w:r>
      <w:r w:rsidRPr="00D159D7">
        <w:t>2022</w:t>
      </w:r>
      <w:r>
        <w:t>)</w:t>
      </w:r>
      <w:r w:rsidRPr="00D159D7">
        <w:t>. The impact of digital technologies on the UK Healthcare: A Human-Centered Study.</w:t>
      </w:r>
    </w:p>
    <w:p w14:paraId="201F9DB6" w14:textId="77777777" w:rsidR="00236CFD" w:rsidRDefault="00236CFD" w:rsidP="00236CFD">
      <w:pPr>
        <w:spacing w:after="0"/>
      </w:pPr>
      <w:r>
        <w:t xml:space="preserve">McDermott, E., (2021). </w:t>
      </w:r>
      <w:r w:rsidRPr="006F193D">
        <w:rPr>
          <w:i/>
          <w:iCs/>
        </w:rPr>
        <w:t xml:space="preserve">How To Quickly Pivot Teams </w:t>
      </w:r>
      <w:proofErr w:type="gramStart"/>
      <w:r w:rsidRPr="006F193D">
        <w:rPr>
          <w:i/>
          <w:iCs/>
        </w:rPr>
        <w:t>To</w:t>
      </w:r>
      <w:proofErr w:type="gramEnd"/>
      <w:r w:rsidRPr="006F193D">
        <w:rPr>
          <w:i/>
          <w:iCs/>
        </w:rPr>
        <w:t xml:space="preserve"> </w:t>
      </w:r>
      <w:proofErr w:type="gramStart"/>
      <w:r w:rsidRPr="006F193D">
        <w:rPr>
          <w:i/>
          <w:iCs/>
        </w:rPr>
        <w:t>A</w:t>
      </w:r>
      <w:proofErr w:type="gramEnd"/>
      <w:r w:rsidRPr="006F193D">
        <w:rPr>
          <w:i/>
          <w:iCs/>
        </w:rPr>
        <w:t xml:space="preserve"> Culture </w:t>
      </w:r>
      <w:proofErr w:type="gramStart"/>
      <w:r w:rsidRPr="006F193D">
        <w:rPr>
          <w:i/>
          <w:iCs/>
        </w:rPr>
        <w:t>Of</w:t>
      </w:r>
      <w:proofErr w:type="gramEnd"/>
      <w:r w:rsidRPr="006F193D">
        <w:rPr>
          <w:i/>
          <w:iCs/>
        </w:rPr>
        <w:t xml:space="preserve"> High-Coordination</w:t>
      </w:r>
      <w:r>
        <w:t>. [Online] Available at: https://www.forbes.com/councils/forbesbusinesscouncil/2021/05/24/how-to-quickly-pivot-teams-to-a-culture-of-high-coordination/ [Accessed 5 December 2025].</w:t>
      </w:r>
    </w:p>
    <w:p w14:paraId="77F203F0" w14:textId="77777777" w:rsidR="00236CFD" w:rsidRPr="009D456D" w:rsidRDefault="00236CFD" w:rsidP="00236CFD">
      <w:pPr>
        <w:spacing w:after="0"/>
        <w:rPr>
          <w:rFonts w:eastAsia="Times New Roman" w:cs="Times New Roman"/>
          <w:szCs w:val="24"/>
          <w:highlight w:val="white"/>
        </w:rPr>
      </w:pPr>
      <w:r w:rsidRPr="009D456D">
        <w:rPr>
          <w:rFonts w:eastAsia="Times New Roman" w:cs="Times New Roman"/>
          <w:szCs w:val="24"/>
          <w:highlight w:val="white"/>
        </w:rPr>
        <w:t xml:space="preserve">Morandini, S., Fraboni, F., Hall, M., </w:t>
      </w:r>
      <w:proofErr w:type="spellStart"/>
      <w:r w:rsidRPr="009D456D">
        <w:rPr>
          <w:rFonts w:eastAsia="Times New Roman" w:cs="Times New Roman"/>
          <w:szCs w:val="24"/>
          <w:highlight w:val="white"/>
        </w:rPr>
        <w:t>Quintana</w:t>
      </w:r>
      <w:proofErr w:type="spellEnd"/>
      <w:r w:rsidRPr="009D456D">
        <w:rPr>
          <w:rFonts w:eastAsia="Times New Roman" w:cs="Times New Roman"/>
          <w:szCs w:val="24"/>
          <w:highlight w:val="white"/>
        </w:rPr>
        <w:t>-Amate, S. and Pietrantoni, L., (2025). Human factors and emerging needs in aerospace manufacturing planning and scheduling. </w:t>
      </w:r>
      <w:r w:rsidRPr="009D456D">
        <w:rPr>
          <w:rFonts w:eastAsia="Times New Roman" w:cs="Times New Roman"/>
          <w:i/>
          <w:iCs/>
          <w:szCs w:val="24"/>
          <w:highlight w:val="white"/>
        </w:rPr>
        <w:t>Cognition, technology &amp; work</w:t>
      </w:r>
      <w:r w:rsidRPr="009D456D">
        <w:rPr>
          <w:rFonts w:eastAsia="Times New Roman" w:cs="Times New Roman"/>
          <w:szCs w:val="24"/>
          <w:highlight w:val="white"/>
        </w:rPr>
        <w:t>, </w:t>
      </w:r>
      <w:r w:rsidRPr="009D456D">
        <w:rPr>
          <w:rFonts w:eastAsia="Times New Roman" w:cs="Times New Roman"/>
          <w:i/>
          <w:iCs/>
          <w:szCs w:val="24"/>
          <w:highlight w:val="white"/>
        </w:rPr>
        <w:t>27</w:t>
      </w:r>
      <w:r w:rsidRPr="009D456D">
        <w:rPr>
          <w:rFonts w:eastAsia="Times New Roman" w:cs="Times New Roman"/>
          <w:szCs w:val="24"/>
          <w:highlight w:val="white"/>
        </w:rPr>
        <w:t xml:space="preserve">(1), pp.59-77. </w:t>
      </w:r>
    </w:p>
    <w:p w14:paraId="1A8E1091" w14:textId="77777777" w:rsidR="00236CFD" w:rsidRPr="009D456D" w:rsidRDefault="00236CFD" w:rsidP="00236CFD">
      <w:pPr>
        <w:spacing w:after="0"/>
        <w:rPr>
          <w:rFonts w:eastAsia="Times New Roman" w:cs="Times New Roman"/>
          <w:szCs w:val="24"/>
          <w:highlight w:val="white"/>
        </w:rPr>
      </w:pPr>
      <w:r w:rsidRPr="009D456D">
        <w:rPr>
          <w:rFonts w:eastAsia="Times New Roman" w:cs="Times New Roman"/>
          <w:szCs w:val="24"/>
          <w:highlight w:val="white"/>
        </w:rPr>
        <w:t>Ochilov, V., (2025). AN OVERVIEW OF THE 4C MODEL. </w:t>
      </w:r>
      <w:r w:rsidRPr="009D456D">
        <w:rPr>
          <w:rFonts w:eastAsia="Times New Roman" w:cs="Times New Roman"/>
          <w:i/>
          <w:iCs/>
          <w:szCs w:val="24"/>
          <w:highlight w:val="white"/>
        </w:rPr>
        <w:t>Journal of Multidisciplinary Sciences and Innovations</w:t>
      </w:r>
      <w:r w:rsidRPr="009D456D">
        <w:rPr>
          <w:rFonts w:eastAsia="Times New Roman" w:cs="Times New Roman"/>
          <w:szCs w:val="24"/>
          <w:highlight w:val="white"/>
        </w:rPr>
        <w:t>, </w:t>
      </w:r>
      <w:r w:rsidRPr="009D456D">
        <w:rPr>
          <w:rFonts w:eastAsia="Times New Roman" w:cs="Times New Roman"/>
          <w:i/>
          <w:iCs/>
          <w:szCs w:val="24"/>
          <w:highlight w:val="white"/>
        </w:rPr>
        <w:t>1</w:t>
      </w:r>
      <w:r w:rsidRPr="009D456D">
        <w:rPr>
          <w:rFonts w:eastAsia="Times New Roman" w:cs="Times New Roman"/>
          <w:szCs w:val="24"/>
          <w:highlight w:val="white"/>
        </w:rPr>
        <w:t>(3), pp.129-131.</w:t>
      </w:r>
    </w:p>
    <w:p w14:paraId="571E4040" w14:textId="77777777" w:rsidR="00236CFD" w:rsidRPr="00047F8D" w:rsidRDefault="00236CFD" w:rsidP="00236CFD">
      <w:pPr>
        <w:spacing w:after="0"/>
        <w:rPr>
          <w:rFonts w:eastAsia="Arial" w:cs="Arial"/>
        </w:rPr>
      </w:pPr>
      <w:r>
        <w:t xml:space="preserve">org.ezproxy.uwtsd.ac.uk/core/books/relational-lens/value-and-importance-of-relationships/718C31032061BDFA3F480BA2A53F45D4#CN-bp-1 </w:t>
      </w:r>
    </w:p>
    <w:p w14:paraId="3E93AC38" w14:textId="77777777" w:rsidR="00236CFD" w:rsidRPr="009D456D" w:rsidRDefault="00236CFD" w:rsidP="00236CFD">
      <w:pPr>
        <w:spacing w:after="0"/>
        <w:rPr>
          <w:rFonts w:eastAsia="Times New Roman" w:cs="Times New Roman"/>
          <w:szCs w:val="24"/>
          <w:highlight w:val="white"/>
        </w:rPr>
      </w:pPr>
      <w:r w:rsidRPr="009D456D">
        <w:rPr>
          <w:rFonts w:eastAsia="Times New Roman" w:cs="Times New Roman"/>
          <w:szCs w:val="24"/>
          <w:highlight w:val="white"/>
        </w:rPr>
        <w:t xml:space="preserve">Öztürk, O. and </w:t>
      </w:r>
      <w:proofErr w:type="spellStart"/>
      <w:r w:rsidRPr="009D456D">
        <w:rPr>
          <w:rFonts w:eastAsia="Times New Roman" w:cs="Times New Roman"/>
          <w:szCs w:val="24"/>
          <w:highlight w:val="white"/>
        </w:rPr>
        <w:t>Bağış</w:t>
      </w:r>
      <w:proofErr w:type="spellEnd"/>
      <w:r w:rsidRPr="009D456D">
        <w:rPr>
          <w:rFonts w:eastAsia="Times New Roman" w:cs="Times New Roman"/>
          <w:szCs w:val="24"/>
          <w:highlight w:val="white"/>
        </w:rPr>
        <w:t>, M., (2025). Bridging resource dependence theory and resource-based view: a theoretical synthesis. </w:t>
      </w:r>
      <w:r w:rsidRPr="009D456D">
        <w:rPr>
          <w:rFonts w:eastAsia="Times New Roman" w:cs="Times New Roman"/>
          <w:i/>
          <w:iCs/>
          <w:szCs w:val="24"/>
          <w:highlight w:val="white"/>
        </w:rPr>
        <w:t>Management Decision</w:t>
      </w:r>
      <w:r w:rsidRPr="009D456D">
        <w:rPr>
          <w:rFonts w:eastAsia="Times New Roman" w:cs="Times New Roman"/>
          <w:szCs w:val="24"/>
          <w:highlight w:val="white"/>
        </w:rPr>
        <w:t>.</w:t>
      </w:r>
    </w:p>
    <w:p w14:paraId="4242B96F" w14:textId="77777777" w:rsidR="00236CFD" w:rsidRPr="009D456D" w:rsidRDefault="00236CFD" w:rsidP="00236CFD">
      <w:pPr>
        <w:spacing w:after="0"/>
        <w:rPr>
          <w:rFonts w:eastAsia="Times New Roman" w:cs="Times New Roman"/>
          <w:szCs w:val="24"/>
          <w:highlight w:val="white"/>
        </w:rPr>
      </w:pPr>
      <w:proofErr w:type="spellStart"/>
      <w:r w:rsidRPr="009D456D">
        <w:rPr>
          <w:rFonts w:eastAsia="Times New Roman" w:cs="Times New Roman"/>
          <w:szCs w:val="24"/>
          <w:highlight w:val="white"/>
        </w:rPr>
        <w:t>Perpétuo</w:t>
      </w:r>
      <w:proofErr w:type="spellEnd"/>
      <w:r w:rsidRPr="009D456D">
        <w:rPr>
          <w:rFonts w:eastAsia="Times New Roman" w:cs="Times New Roman"/>
          <w:szCs w:val="24"/>
          <w:highlight w:val="white"/>
        </w:rPr>
        <w:t>, R. and Pestana, G., (2022). Dynamics of monitoring and talent management. In </w:t>
      </w:r>
      <w:r w:rsidRPr="009D456D">
        <w:rPr>
          <w:rFonts w:eastAsia="Times New Roman" w:cs="Times New Roman"/>
          <w:i/>
          <w:iCs/>
          <w:szCs w:val="24"/>
          <w:highlight w:val="white"/>
        </w:rPr>
        <w:t>World Conference on Information Systems and Technologies</w:t>
      </w:r>
      <w:r w:rsidRPr="009D456D">
        <w:rPr>
          <w:rFonts w:eastAsia="Times New Roman" w:cs="Times New Roman"/>
          <w:szCs w:val="24"/>
          <w:highlight w:val="white"/>
        </w:rPr>
        <w:t> (pp. 3-14). Cham: Springer International Publishing.</w:t>
      </w:r>
    </w:p>
    <w:p w14:paraId="14D0B00B" w14:textId="77777777" w:rsidR="00236CFD" w:rsidRDefault="00236CFD" w:rsidP="00236CFD">
      <w:pPr>
        <w:spacing w:after="0"/>
      </w:pPr>
      <w:r>
        <w:t xml:space="preserve">Raeburn, A., (2024). </w:t>
      </w:r>
      <w:r w:rsidRPr="0083319F">
        <w:rPr>
          <w:i/>
          <w:iCs/>
        </w:rPr>
        <w:t>Product development process: The 6 stages (with examples)</w:t>
      </w:r>
      <w:r>
        <w:t>. [Online] Available at: https://asana.com/resources/product-development-process [Accessed 5 December 2025].</w:t>
      </w:r>
    </w:p>
    <w:p w14:paraId="24FE4BDF" w14:textId="77777777" w:rsidR="00236CFD" w:rsidRDefault="00236CFD" w:rsidP="00236CFD">
      <w:pPr>
        <w:spacing w:after="0"/>
      </w:pPr>
      <w:r>
        <w:lastRenderedPageBreak/>
        <w:t xml:space="preserve">Rhodes, K., (2025). </w:t>
      </w:r>
      <w:r w:rsidRPr="006F193D">
        <w:rPr>
          <w:i/>
          <w:iCs/>
        </w:rPr>
        <w:t xml:space="preserve">How Relationships Can Anchor Business </w:t>
      </w:r>
      <w:proofErr w:type="gramStart"/>
      <w:r w:rsidRPr="006F193D">
        <w:rPr>
          <w:i/>
          <w:iCs/>
        </w:rPr>
        <w:t>In</w:t>
      </w:r>
      <w:proofErr w:type="gramEnd"/>
      <w:r w:rsidRPr="006F193D">
        <w:rPr>
          <w:i/>
          <w:iCs/>
        </w:rPr>
        <w:t xml:space="preserve"> Uncertain Times</w:t>
      </w:r>
      <w:r>
        <w:t>. [Online] Available at: https://www.forbes.com/councils/forbesbusinessdevelopmentcouncil/2025/12/10/how-relationships-can-anchor-business-in-uncertain-times/ [Accessed 5 December 2025].</w:t>
      </w:r>
    </w:p>
    <w:p w14:paraId="4AB1747D" w14:textId="77777777" w:rsidR="00236CFD" w:rsidRDefault="00236CFD" w:rsidP="00236CFD">
      <w:pPr>
        <w:spacing w:after="0"/>
      </w:pPr>
      <w:r w:rsidRPr="00D159D7">
        <w:t xml:space="preserve">Roberts, D.L., Palmer, R. and Hughes, M., </w:t>
      </w:r>
      <w:r>
        <w:t>(</w:t>
      </w:r>
      <w:r w:rsidRPr="00D159D7">
        <w:t>2022</w:t>
      </w:r>
      <w:r>
        <w:t>)</w:t>
      </w:r>
      <w:r w:rsidRPr="00D159D7">
        <w:t>. Innovating the product innovation process to enable co‐creation. </w:t>
      </w:r>
      <w:r w:rsidRPr="0083319F">
        <w:rPr>
          <w:i/>
          <w:iCs/>
        </w:rPr>
        <w:t>R&amp;D Management</w:t>
      </w:r>
      <w:r w:rsidRPr="00D159D7">
        <w:t>, </w:t>
      </w:r>
      <w:r w:rsidRPr="0083319F">
        <w:rPr>
          <w:i/>
          <w:iCs/>
        </w:rPr>
        <w:t>52</w:t>
      </w:r>
      <w:r w:rsidRPr="00D159D7">
        <w:t>(3), pp.484-497.</w:t>
      </w:r>
    </w:p>
    <w:p w14:paraId="14CECE62" w14:textId="77777777" w:rsidR="00236CFD" w:rsidRPr="009D456D" w:rsidRDefault="00236CFD" w:rsidP="00236CFD">
      <w:pPr>
        <w:spacing w:after="0"/>
        <w:rPr>
          <w:rFonts w:eastAsia="Times New Roman" w:cs="Times New Roman"/>
          <w:szCs w:val="24"/>
          <w:highlight w:val="white"/>
        </w:rPr>
      </w:pPr>
      <w:proofErr w:type="spellStart"/>
      <w:r w:rsidRPr="009D456D">
        <w:rPr>
          <w:rFonts w:eastAsia="Times New Roman" w:cs="Times New Roman"/>
          <w:szCs w:val="24"/>
          <w:highlight w:val="white"/>
        </w:rPr>
        <w:t>Sarungu</w:t>
      </w:r>
      <w:proofErr w:type="spellEnd"/>
      <w:r w:rsidRPr="009D456D">
        <w:rPr>
          <w:rFonts w:eastAsia="Times New Roman" w:cs="Times New Roman"/>
          <w:szCs w:val="24"/>
          <w:highlight w:val="white"/>
        </w:rPr>
        <w:t xml:space="preserve">, C.M., (2024). Stakeholder Analysis Using </w:t>
      </w:r>
      <w:proofErr w:type="gramStart"/>
      <w:r w:rsidRPr="009D456D">
        <w:rPr>
          <w:rFonts w:eastAsia="Times New Roman" w:cs="Times New Roman"/>
          <w:szCs w:val="24"/>
          <w:highlight w:val="white"/>
        </w:rPr>
        <w:t>The</w:t>
      </w:r>
      <w:proofErr w:type="gramEnd"/>
      <w:r w:rsidRPr="009D456D">
        <w:rPr>
          <w:rFonts w:eastAsia="Times New Roman" w:cs="Times New Roman"/>
          <w:szCs w:val="24"/>
          <w:highlight w:val="white"/>
        </w:rPr>
        <w:t xml:space="preserve"> Vectorized Salience Model, Enhanced Power-Interest Grid, And Stakeholder Cube Diagrams. </w:t>
      </w:r>
      <w:r w:rsidRPr="009D456D">
        <w:rPr>
          <w:rFonts w:eastAsia="Times New Roman" w:cs="Times New Roman"/>
          <w:i/>
          <w:iCs/>
          <w:szCs w:val="24"/>
          <w:highlight w:val="white"/>
        </w:rPr>
        <w:t xml:space="preserve">Ultima Infosys: </w:t>
      </w:r>
      <w:proofErr w:type="spellStart"/>
      <w:r w:rsidRPr="009D456D">
        <w:rPr>
          <w:rFonts w:eastAsia="Times New Roman" w:cs="Times New Roman"/>
          <w:i/>
          <w:iCs/>
          <w:szCs w:val="24"/>
          <w:highlight w:val="white"/>
        </w:rPr>
        <w:t>Jurnal</w:t>
      </w:r>
      <w:proofErr w:type="spellEnd"/>
      <w:r w:rsidRPr="009D456D">
        <w:rPr>
          <w:rFonts w:eastAsia="Times New Roman" w:cs="Times New Roman"/>
          <w:i/>
          <w:iCs/>
          <w:szCs w:val="24"/>
          <w:highlight w:val="white"/>
        </w:rPr>
        <w:t xml:space="preserve"> </w:t>
      </w:r>
      <w:proofErr w:type="spellStart"/>
      <w:r w:rsidRPr="009D456D">
        <w:rPr>
          <w:rFonts w:eastAsia="Times New Roman" w:cs="Times New Roman"/>
          <w:i/>
          <w:iCs/>
          <w:szCs w:val="24"/>
          <w:highlight w:val="white"/>
        </w:rPr>
        <w:t>Ilmu</w:t>
      </w:r>
      <w:proofErr w:type="spellEnd"/>
      <w:r w:rsidRPr="009D456D">
        <w:rPr>
          <w:rFonts w:eastAsia="Times New Roman" w:cs="Times New Roman"/>
          <w:i/>
          <w:iCs/>
          <w:szCs w:val="24"/>
          <w:highlight w:val="white"/>
        </w:rPr>
        <w:t xml:space="preserve"> </w:t>
      </w:r>
      <w:proofErr w:type="spellStart"/>
      <w:r w:rsidRPr="009D456D">
        <w:rPr>
          <w:rFonts w:eastAsia="Times New Roman" w:cs="Times New Roman"/>
          <w:i/>
          <w:iCs/>
          <w:szCs w:val="24"/>
          <w:highlight w:val="white"/>
        </w:rPr>
        <w:t>Sistem</w:t>
      </w:r>
      <w:proofErr w:type="spellEnd"/>
      <w:r w:rsidRPr="009D456D">
        <w:rPr>
          <w:rFonts w:eastAsia="Times New Roman" w:cs="Times New Roman"/>
          <w:i/>
          <w:iCs/>
          <w:szCs w:val="24"/>
          <w:highlight w:val="white"/>
        </w:rPr>
        <w:t xml:space="preserve"> </w:t>
      </w:r>
      <w:proofErr w:type="spellStart"/>
      <w:r w:rsidRPr="009D456D">
        <w:rPr>
          <w:rFonts w:eastAsia="Times New Roman" w:cs="Times New Roman"/>
          <w:i/>
          <w:iCs/>
          <w:szCs w:val="24"/>
          <w:highlight w:val="white"/>
        </w:rPr>
        <w:t>Informasi</w:t>
      </w:r>
      <w:proofErr w:type="spellEnd"/>
      <w:r w:rsidRPr="009D456D">
        <w:rPr>
          <w:rFonts w:eastAsia="Times New Roman" w:cs="Times New Roman"/>
          <w:szCs w:val="24"/>
          <w:highlight w:val="white"/>
        </w:rPr>
        <w:t>, </w:t>
      </w:r>
      <w:r w:rsidRPr="009D456D">
        <w:rPr>
          <w:rFonts w:eastAsia="Times New Roman" w:cs="Times New Roman"/>
          <w:i/>
          <w:iCs/>
          <w:szCs w:val="24"/>
          <w:highlight w:val="white"/>
        </w:rPr>
        <w:t>15</w:t>
      </w:r>
      <w:r w:rsidRPr="009D456D">
        <w:rPr>
          <w:rFonts w:eastAsia="Times New Roman" w:cs="Times New Roman"/>
          <w:szCs w:val="24"/>
          <w:highlight w:val="white"/>
        </w:rPr>
        <w:t>(1), pp.35-41.</w:t>
      </w:r>
    </w:p>
    <w:p w14:paraId="5CD03973" w14:textId="77777777" w:rsidR="00236CFD" w:rsidRDefault="00236CFD" w:rsidP="00236CFD">
      <w:pPr>
        <w:spacing w:after="0"/>
      </w:pPr>
      <w:r>
        <w:t xml:space="preserve">Schwartz, B., (2025). </w:t>
      </w:r>
      <w:r w:rsidRPr="002E7CBF">
        <w:rPr>
          <w:i/>
          <w:iCs/>
        </w:rPr>
        <w:t>Stakeholder Collaboration &amp; Communication in Project Management</w:t>
      </w:r>
      <w:r>
        <w:t>. [Online] Available at: https://www.projectmanager.com/blog/stakeholder-collaboration-and-communication [Accessed 5 December 2025].</w:t>
      </w:r>
    </w:p>
    <w:p w14:paraId="3B38E54B" w14:textId="77777777" w:rsidR="00236CFD" w:rsidRDefault="00236CFD" w:rsidP="00236CFD">
      <w:pPr>
        <w:spacing w:after="0"/>
      </w:pPr>
      <w:r>
        <w:t xml:space="preserve">Schwenk, J., (2023). </w:t>
      </w:r>
      <w:r w:rsidRPr="006F193D">
        <w:rPr>
          <w:i/>
          <w:iCs/>
        </w:rPr>
        <w:t xml:space="preserve">Integrating Risk Mitigation </w:t>
      </w:r>
      <w:proofErr w:type="gramStart"/>
      <w:r w:rsidRPr="006F193D">
        <w:rPr>
          <w:i/>
          <w:iCs/>
        </w:rPr>
        <w:t>Into</w:t>
      </w:r>
      <w:proofErr w:type="gramEnd"/>
      <w:r w:rsidRPr="006F193D">
        <w:rPr>
          <w:i/>
          <w:iCs/>
        </w:rPr>
        <w:t xml:space="preserve"> Corporate Culture: The Role </w:t>
      </w:r>
      <w:proofErr w:type="gramStart"/>
      <w:r w:rsidRPr="006F193D">
        <w:rPr>
          <w:i/>
          <w:iCs/>
        </w:rPr>
        <w:t>Of</w:t>
      </w:r>
      <w:proofErr w:type="gramEnd"/>
      <w:r w:rsidRPr="006F193D">
        <w:rPr>
          <w:i/>
          <w:iCs/>
        </w:rPr>
        <w:t xml:space="preserve"> Systems, Intelligence </w:t>
      </w:r>
      <w:proofErr w:type="gramStart"/>
      <w:r w:rsidRPr="006F193D">
        <w:rPr>
          <w:i/>
          <w:iCs/>
        </w:rPr>
        <w:t>And</w:t>
      </w:r>
      <w:proofErr w:type="gramEnd"/>
      <w:r w:rsidRPr="006F193D">
        <w:rPr>
          <w:i/>
          <w:iCs/>
        </w:rPr>
        <w:t xml:space="preserve"> Leadership</w:t>
      </w:r>
      <w:r>
        <w:t>. [Online] Available at: https://www.forbes.com/councils/forbesbusinesscouncil/2023/12/04/integrating-risk-mitigation-into-corporate-culture-the-role-of-systems-intelligence-and-leadership/ [Accessed 5 December 2025].</w:t>
      </w:r>
    </w:p>
    <w:p w14:paraId="10C13309" w14:textId="77777777" w:rsidR="00236CFD" w:rsidRDefault="00236CFD" w:rsidP="00236CFD">
      <w:pPr>
        <w:spacing w:after="0"/>
      </w:pPr>
      <w:r>
        <w:t xml:space="preserve">Shribman, M., (2023). </w:t>
      </w:r>
      <w:r w:rsidRPr="006F193D">
        <w:rPr>
          <w:i/>
          <w:iCs/>
        </w:rPr>
        <w:t xml:space="preserve">A Guide </w:t>
      </w:r>
      <w:proofErr w:type="gramStart"/>
      <w:r w:rsidRPr="006F193D">
        <w:rPr>
          <w:i/>
          <w:iCs/>
        </w:rPr>
        <w:t>For</w:t>
      </w:r>
      <w:proofErr w:type="gramEnd"/>
      <w:r w:rsidRPr="006F193D">
        <w:rPr>
          <w:i/>
          <w:iCs/>
        </w:rPr>
        <w:t xml:space="preserve"> Mastering </w:t>
      </w:r>
      <w:proofErr w:type="gramStart"/>
      <w:r w:rsidRPr="006F193D">
        <w:rPr>
          <w:i/>
          <w:iCs/>
        </w:rPr>
        <w:t>The</w:t>
      </w:r>
      <w:proofErr w:type="gramEnd"/>
      <w:r w:rsidRPr="006F193D">
        <w:rPr>
          <w:i/>
          <w:iCs/>
        </w:rPr>
        <w:t xml:space="preserve"> Art </w:t>
      </w:r>
      <w:proofErr w:type="gramStart"/>
      <w:r w:rsidRPr="006F193D">
        <w:rPr>
          <w:i/>
          <w:iCs/>
        </w:rPr>
        <w:t>Of</w:t>
      </w:r>
      <w:proofErr w:type="gramEnd"/>
      <w:r w:rsidRPr="006F193D">
        <w:rPr>
          <w:i/>
          <w:iCs/>
        </w:rPr>
        <w:t xml:space="preserve"> Business Communication</w:t>
      </w:r>
      <w:r>
        <w:t>. [Online] Available at: https://www.forbes.com/councils/forbesbusinesscouncil/2023/11/20/a-guide-for-mastering-the-art-of-business-communication/ [Accessed 5 December 2025].</w:t>
      </w:r>
    </w:p>
    <w:p w14:paraId="5ECF8A01" w14:textId="77777777" w:rsidR="00236CFD" w:rsidRDefault="00236CFD" w:rsidP="00236CFD">
      <w:pPr>
        <w:spacing w:after="0"/>
      </w:pPr>
      <w:r>
        <w:t xml:space="preserve">Skerritt, J. H., (2025). </w:t>
      </w:r>
      <w:r w:rsidRPr="002E7CBF">
        <w:rPr>
          <w:i/>
          <w:iCs/>
        </w:rPr>
        <w:t>Strengthening the Use of International Collaborative Regulatory Assessments and Regulatory Alignment– Implications for Global Convergence.</w:t>
      </w:r>
      <w:r>
        <w:t xml:space="preserve"> [Online] Available at: https://pmc.ncbi.nlm.nih.gov/articles/PMC12446123/ [Accessed 5 December 2025].</w:t>
      </w:r>
    </w:p>
    <w:p w14:paraId="5AEE28DF" w14:textId="77777777" w:rsidR="00236CFD" w:rsidRDefault="00236CFD" w:rsidP="00236CFD">
      <w:pPr>
        <w:spacing w:after="0"/>
      </w:pPr>
      <w:proofErr w:type="spellStart"/>
      <w:r>
        <w:t>skymedtech</w:t>
      </w:r>
      <w:proofErr w:type="spellEnd"/>
      <w:r>
        <w:t xml:space="preserve">, (2025). </w:t>
      </w:r>
      <w:r w:rsidRPr="0083319F">
        <w:rPr>
          <w:i/>
          <w:iCs/>
        </w:rPr>
        <w:t>Sky Medical Technology named Most Innovative MedTech Company 2020.</w:t>
      </w:r>
      <w:r>
        <w:t xml:space="preserve"> [Online] Available at: https://skymedtech.com/sky-medical-technology-named-most-innovative-medtech-company-2020/ [Accessed 5 December 2025].</w:t>
      </w:r>
    </w:p>
    <w:p w14:paraId="7DA2CB0D" w14:textId="77777777" w:rsidR="00236CFD" w:rsidRDefault="00236CFD" w:rsidP="00236CFD">
      <w:pPr>
        <w:spacing w:after="0"/>
      </w:pPr>
      <w:proofErr w:type="spellStart"/>
      <w:r>
        <w:t>skymedtech</w:t>
      </w:r>
      <w:proofErr w:type="spellEnd"/>
      <w:r>
        <w:t xml:space="preserve">, (2025). </w:t>
      </w:r>
      <w:r w:rsidRPr="0083319F">
        <w:rPr>
          <w:i/>
          <w:iCs/>
        </w:rPr>
        <w:t xml:space="preserve">We develop bioelectronic medicine for clinicians who treat vascular related conditions. </w:t>
      </w:r>
      <w:r>
        <w:t>[Online] Available at: https://www.skymedtech.com/ [Accessed 5 December 2025].</w:t>
      </w:r>
    </w:p>
    <w:p w14:paraId="69549BF8" w14:textId="77777777" w:rsidR="00236CFD" w:rsidRDefault="00236CFD" w:rsidP="00236CFD">
      <w:pPr>
        <w:spacing w:after="0"/>
      </w:pPr>
      <w:r>
        <w:t xml:space="preserve">Slack, (2024). </w:t>
      </w:r>
      <w:r w:rsidRPr="0083319F">
        <w:rPr>
          <w:i/>
          <w:iCs/>
        </w:rPr>
        <w:t>The best collaboration tools for remote teams</w:t>
      </w:r>
      <w:r>
        <w:t>. [Online] Available at: https://slack.com/intl/en-in/blog/collaboration/remote-team-tools [Accessed 5 December 2025].</w:t>
      </w:r>
    </w:p>
    <w:p w14:paraId="6DF068CF" w14:textId="77777777" w:rsidR="00236CFD" w:rsidRDefault="00236CFD" w:rsidP="00236CFD">
      <w:pPr>
        <w:spacing w:after="0"/>
      </w:pPr>
      <w:r>
        <w:lastRenderedPageBreak/>
        <w:t xml:space="preserve">Statista, (2025). </w:t>
      </w:r>
      <w:r w:rsidRPr="0083319F">
        <w:rPr>
          <w:i/>
          <w:iCs/>
        </w:rPr>
        <w:t>Wearables in the UK- statistics &amp; facts</w:t>
      </w:r>
      <w:r>
        <w:t>. [Online] Available at: https://www.statista.com/topics/12225/wearables-in-the-uk/?srsltid=AfmBOoraptxy6Va_Ps9LXEXf9xL3a9BX3MTIpek2JygvwpxRYqVOKkYJ [Accessed 5 December 2025].</w:t>
      </w:r>
    </w:p>
    <w:p w14:paraId="3AF1C6BC" w14:textId="77777777" w:rsidR="00236CFD" w:rsidRDefault="00236CFD" w:rsidP="00236CFD">
      <w:pPr>
        <w:spacing w:after="0"/>
      </w:pPr>
      <w:r>
        <w:t xml:space="preserve">West, C., (2024). </w:t>
      </w:r>
      <w:r w:rsidRPr="006F193D">
        <w:rPr>
          <w:i/>
          <w:iCs/>
        </w:rPr>
        <w:t>To Drive Business Performance, You Must Understand KPIs</w:t>
      </w:r>
      <w:r>
        <w:t>. [Online] Available at: https://www.forbes.com/councils/forbesbusinesscouncil/2024/07/03/to-drive-business-performance-you-must-understand-kpis/ [Accessed 5 December 2025].</w:t>
      </w:r>
    </w:p>
    <w:p w14:paraId="66267F95" w14:textId="77777777" w:rsidR="00236CFD" w:rsidRDefault="00236CFD" w:rsidP="00236CFD">
      <w:pPr>
        <w:spacing w:after="0"/>
      </w:pPr>
    </w:p>
    <w:p w14:paraId="68A8F667" w14:textId="77777777" w:rsidR="003919B6" w:rsidRDefault="003919B6" w:rsidP="00236CFD">
      <w:pPr>
        <w:spacing w:after="0"/>
      </w:pPr>
    </w:p>
    <w:p w14:paraId="016C6A2F" w14:textId="77777777" w:rsidR="00282D44" w:rsidRDefault="00282D44" w:rsidP="00236CFD">
      <w:pPr>
        <w:spacing w:after="0"/>
      </w:pPr>
    </w:p>
    <w:p w14:paraId="32474233" w14:textId="2EAA60F4" w:rsidR="0083319F" w:rsidRDefault="0083319F" w:rsidP="00236CFD">
      <w:pPr>
        <w:spacing w:after="0"/>
      </w:pPr>
    </w:p>
    <w:p w14:paraId="2CDF9621" w14:textId="77777777" w:rsidR="0083319F" w:rsidRPr="000C4D0F" w:rsidRDefault="0083319F" w:rsidP="00236CFD">
      <w:pPr>
        <w:spacing w:after="0"/>
      </w:pPr>
    </w:p>
    <w:sectPr w:rsidR="0083319F" w:rsidRPr="000C4D0F" w:rsidSect="00772A8B">
      <w:headerReference w:type="default" r:id="rId13"/>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3F5C1" w14:textId="77777777" w:rsidR="007E66BF" w:rsidRDefault="007E66BF" w:rsidP="00772A8B">
      <w:pPr>
        <w:spacing w:after="0" w:line="240" w:lineRule="auto"/>
      </w:pPr>
      <w:r>
        <w:separator/>
      </w:r>
    </w:p>
  </w:endnote>
  <w:endnote w:type="continuationSeparator" w:id="0">
    <w:p w14:paraId="1B9C5A9B" w14:textId="77777777" w:rsidR="007E66BF" w:rsidRDefault="007E66BF" w:rsidP="00772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8655120"/>
      <w:docPartObj>
        <w:docPartGallery w:val="Page Numbers (Bottom of Page)"/>
        <w:docPartUnique/>
      </w:docPartObj>
    </w:sdtPr>
    <w:sdtContent>
      <w:sdt>
        <w:sdtPr>
          <w:id w:val="-1769616900"/>
          <w:docPartObj>
            <w:docPartGallery w:val="Page Numbers (Top of Page)"/>
            <w:docPartUnique/>
          </w:docPartObj>
        </w:sdtPr>
        <w:sdtContent>
          <w:p w14:paraId="05C5DD50" w14:textId="510536AB" w:rsidR="00772A8B" w:rsidRDefault="00772A8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4FB7E1A" w14:textId="77777777" w:rsidR="00772A8B" w:rsidRDefault="00772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C7C2A" w14:textId="77777777" w:rsidR="007E66BF" w:rsidRDefault="007E66BF" w:rsidP="00772A8B">
      <w:pPr>
        <w:spacing w:after="0" w:line="240" w:lineRule="auto"/>
      </w:pPr>
      <w:r>
        <w:separator/>
      </w:r>
    </w:p>
  </w:footnote>
  <w:footnote w:type="continuationSeparator" w:id="0">
    <w:p w14:paraId="59BEF2E8" w14:textId="77777777" w:rsidR="007E66BF" w:rsidRDefault="007E66BF" w:rsidP="00772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65684" w14:textId="2F0B6DC3" w:rsidR="00772A8B" w:rsidRDefault="00772A8B" w:rsidP="00772A8B">
    <w:pPr>
      <w:pStyle w:val="Header"/>
      <w:jc w:val="right"/>
    </w:pPr>
    <w:r w:rsidRPr="00772A8B">
      <w:t>Understanding and Engaging Stakeholders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6233C"/>
    <w:multiLevelType w:val="hybridMultilevel"/>
    <w:tmpl w:val="E8DA9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0090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06A"/>
    <w:rsid w:val="00075F4A"/>
    <w:rsid w:val="000C4D0F"/>
    <w:rsid w:val="000D15DD"/>
    <w:rsid w:val="0012364F"/>
    <w:rsid w:val="00176214"/>
    <w:rsid w:val="0019062C"/>
    <w:rsid w:val="002262CE"/>
    <w:rsid w:val="002271CE"/>
    <w:rsid w:val="00236CFD"/>
    <w:rsid w:val="0025783F"/>
    <w:rsid w:val="00282D44"/>
    <w:rsid w:val="002D2AC0"/>
    <w:rsid w:val="00320159"/>
    <w:rsid w:val="003919B6"/>
    <w:rsid w:val="00392B3E"/>
    <w:rsid w:val="00486D5E"/>
    <w:rsid w:val="004B2F11"/>
    <w:rsid w:val="004C5627"/>
    <w:rsid w:val="005D0823"/>
    <w:rsid w:val="005F2E68"/>
    <w:rsid w:val="006C1CF6"/>
    <w:rsid w:val="006E231D"/>
    <w:rsid w:val="00772A8B"/>
    <w:rsid w:val="007B6765"/>
    <w:rsid w:val="007E66BF"/>
    <w:rsid w:val="007F696B"/>
    <w:rsid w:val="0083319F"/>
    <w:rsid w:val="008A068E"/>
    <w:rsid w:val="008D306A"/>
    <w:rsid w:val="008E429B"/>
    <w:rsid w:val="009350F8"/>
    <w:rsid w:val="00986276"/>
    <w:rsid w:val="00986745"/>
    <w:rsid w:val="00A75026"/>
    <w:rsid w:val="00A9730A"/>
    <w:rsid w:val="00B142CB"/>
    <w:rsid w:val="00B15B25"/>
    <w:rsid w:val="00BF0D7D"/>
    <w:rsid w:val="00C95454"/>
    <w:rsid w:val="00CB37CE"/>
    <w:rsid w:val="00CB3EAD"/>
    <w:rsid w:val="00D159D7"/>
    <w:rsid w:val="00D5119C"/>
    <w:rsid w:val="00D5499F"/>
    <w:rsid w:val="00D54E9D"/>
    <w:rsid w:val="00DD6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E39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B25"/>
    <w:pPr>
      <w:spacing w:after="200" w:line="360" w:lineRule="auto"/>
      <w:jc w:val="both"/>
    </w:pPr>
    <w:rPr>
      <w:rFonts w:ascii="Times New Roman" w:hAnsi="Times New Roman"/>
      <w:szCs w:val="22"/>
    </w:rPr>
  </w:style>
  <w:style w:type="paragraph" w:styleId="Heading1">
    <w:name w:val="heading 1"/>
    <w:basedOn w:val="Normal"/>
    <w:next w:val="Normal"/>
    <w:link w:val="Heading1Char"/>
    <w:autoRedefine/>
    <w:uiPriority w:val="9"/>
    <w:qFormat/>
    <w:rsid w:val="00236CFD"/>
    <w:pPr>
      <w:keepNext/>
      <w:keepLines/>
      <w:spacing w:after="0"/>
      <w:outlineLvl w:val="0"/>
    </w:pPr>
    <w:rPr>
      <w:rFonts w:eastAsia="Times New Roman" w:cs="Times New Roman"/>
      <w:b/>
      <w:bCs/>
      <w:kern w:val="36"/>
      <w:sz w:val="28"/>
      <w:szCs w:val="24"/>
    </w:rPr>
  </w:style>
  <w:style w:type="paragraph" w:styleId="Heading2">
    <w:name w:val="heading 2"/>
    <w:basedOn w:val="Normal"/>
    <w:next w:val="Normal"/>
    <w:link w:val="Heading2Char"/>
    <w:uiPriority w:val="9"/>
    <w:unhideWhenUsed/>
    <w:qFormat/>
    <w:rsid w:val="002271CE"/>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B15B25"/>
    <w:pPr>
      <w:keepNext/>
      <w:keepLines/>
      <w:spacing w:before="320" w:after="80"/>
      <w:outlineLvl w:val="2"/>
    </w:pPr>
    <w:rPr>
      <w:rFonts w:eastAsia="Arial" w:cs="Arial"/>
      <w:b/>
      <w:i/>
      <w:color w:val="434343"/>
      <w:kern w:val="0"/>
      <w:szCs w:val="28"/>
      <w:u w:val="single"/>
      <w:lang w:val="en" w:eastAsia="en-IN"/>
      <w14:ligatures w14:val="none"/>
    </w:rPr>
  </w:style>
  <w:style w:type="paragraph" w:styleId="Heading4">
    <w:name w:val="heading 4"/>
    <w:basedOn w:val="Normal"/>
    <w:next w:val="Normal"/>
    <w:link w:val="Heading4Char"/>
    <w:uiPriority w:val="9"/>
    <w:semiHidden/>
    <w:unhideWhenUsed/>
    <w:qFormat/>
    <w:rsid w:val="008D306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D306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D30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D306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D306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D306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CFD"/>
    <w:rPr>
      <w:rFonts w:ascii="Times New Roman" w:eastAsia="Times New Roman" w:hAnsi="Times New Roman" w:cs="Times New Roman"/>
      <w:b/>
      <w:bCs/>
      <w:kern w:val="36"/>
      <w:sz w:val="28"/>
    </w:rPr>
  </w:style>
  <w:style w:type="character" w:customStyle="1" w:styleId="Heading2Char">
    <w:name w:val="Heading 2 Char"/>
    <w:basedOn w:val="DefaultParagraphFont"/>
    <w:link w:val="Heading2"/>
    <w:uiPriority w:val="9"/>
    <w:rsid w:val="002271CE"/>
    <w:rPr>
      <w:rFonts w:ascii="Times New Roman" w:eastAsiaTheme="majorEastAsia" w:hAnsi="Times New Roman" w:cstheme="majorBidi"/>
      <w:b/>
      <w:color w:val="000000" w:themeColor="text1"/>
      <w:kern w:val="0"/>
      <w:sz w:val="26"/>
      <w:szCs w:val="32"/>
      <w:lang w:val="en"/>
      <w14:ligatures w14:val="none"/>
    </w:rPr>
  </w:style>
  <w:style w:type="character" w:customStyle="1" w:styleId="Heading3Char">
    <w:name w:val="Heading 3 Char"/>
    <w:basedOn w:val="DefaultParagraphFont"/>
    <w:link w:val="Heading3"/>
    <w:uiPriority w:val="9"/>
    <w:rsid w:val="00B15B25"/>
    <w:rPr>
      <w:rFonts w:ascii="Times New Roman" w:hAnsi="Times New Roman" w:cs="Arial"/>
      <w:b/>
      <w:i/>
      <w:color w:val="434343"/>
      <w:kern w:val="0"/>
      <w:szCs w:val="28"/>
      <w:u w:val="single"/>
      <w:lang w:val="en" w:eastAsia="en-IN"/>
      <w14:ligatures w14:val="none"/>
    </w:rPr>
  </w:style>
  <w:style w:type="character" w:customStyle="1" w:styleId="Heading4Char">
    <w:name w:val="Heading 4 Char"/>
    <w:basedOn w:val="DefaultParagraphFont"/>
    <w:link w:val="Heading4"/>
    <w:uiPriority w:val="9"/>
    <w:semiHidden/>
    <w:rsid w:val="008D306A"/>
    <w:rPr>
      <w:rFonts w:eastAsiaTheme="majorEastAsia" w:cstheme="majorBidi"/>
      <w:i/>
      <w:iCs/>
      <w:color w:val="2F5496" w:themeColor="accent1" w:themeShade="BF"/>
      <w:szCs w:val="22"/>
    </w:rPr>
  </w:style>
  <w:style w:type="character" w:customStyle="1" w:styleId="Heading5Char">
    <w:name w:val="Heading 5 Char"/>
    <w:basedOn w:val="DefaultParagraphFont"/>
    <w:link w:val="Heading5"/>
    <w:uiPriority w:val="9"/>
    <w:semiHidden/>
    <w:rsid w:val="008D306A"/>
    <w:rPr>
      <w:rFonts w:eastAsiaTheme="majorEastAsia" w:cstheme="majorBidi"/>
      <w:color w:val="2F5496" w:themeColor="accent1" w:themeShade="BF"/>
      <w:szCs w:val="22"/>
    </w:rPr>
  </w:style>
  <w:style w:type="character" w:customStyle="1" w:styleId="Heading6Char">
    <w:name w:val="Heading 6 Char"/>
    <w:basedOn w:val="DefaultParagraphFont"/>
    <w:link w:val="Heading6"/>
    <w:uiPriority w:val="9"/>
    <w:semiHidden/>
    <w:rsid w:val="008D306A"/>
    <w:rPr>
      <w:rFonts w:eastAsiaTheme="majorEastAsia" w:cstheme="majorBidi"/>
      <w:i/>
      <w:iCs/>
      <w:color w:val="595959" w:themeColor="text1" w:themeTint="A6"/>
      <w:szCs w:val="22"/>
    </w:rPr>
  </w:style>
  <w:style w:type="character" w:customStyle="1" w:styleId="Heading7Char">
    <w:name w:val="Heading 7 Char"/>
    <w:basedOn w:val="DefaultParagraphFont"/>
    <w:link w:val="Heading7"/>
    <w:uiPriority w:val="9"/>
    <w:semiHidden/>
    <w:rsid w:val="008D306A"/>
    <w:rPr>
      <w:rFonts w:eastAsiaTheme="majorEastAsia" w:cstheme="majorBidi"/>
      <w:color w:val="595959" w:themeColor="text1" w:themeTint="A6"/>
      <w:szCs w:val="22"/>
    </w:rPr>
  </w:style>
  <w:style w:type="character" w:customStyle="1" w:styleId="Heading8Char">
    <w:name w:val="Heading 8 Char"/>
    <w:basedOn w:val="DefaultParagraphFont"/>
    <w:link w:val="Heading8"/>
    <w:uiPriority w:val="9"/>
    <w:semiHidden/>
    <w:rsid w:val="008D306A"/>
    <w:rPr>
      <w:rFonts w:eastAsiaTheme="majorEastAsia" w:cstheme="majorBidi"/>
      <w:i/>
      <w:iCs/>
      <w:color w:val="272727" w:themeColor="text1" w:themeTint="D8"/>
      <w:szCs w:val="22"/>
    </w:rPr>
  </w:style>
  <w:style w:type="character" w:customStyle="1" w:styleId="Heading9Char">
    <w:name w:val="Heading 9 Char"/>
    <w:basedOn w:val="DefaultParagraphFont"/>
    <w:link w:val="Heading9"/>
    <w:uiPriority w:val="9"/>
    <w:semiHidden/>
    <w:rsid w:val="008D306A"/>
    <w:rPr>
      <w:rFonts w:eastAsiaTheme="majorEastAsia" w:cstheme="majorBidi"/>
      <w:color w:val="272727" w:themeColor="text1" w:themeTint="D8"/>
      <w:szCs w:val="22"/>
    </w:rPr>
  </w:style>
  <w:style w:type="paragraph" w:styleId="Title">
    <w:name w:val="Title"/>
    <w:basedOn w:val="Normal"/>
    <w:next w:val="Normal"/>
    <w:link w:val="TitleChar"/>
    <w:uiPriority w:val="10"/>
    <w:qFormat/>
    <w:rsid w:val="008D30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06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0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0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306A"/>
    <w:rPr>
      <w:rFonts w:ascii="Times New Roman" w:hAnsi="Times New Roman"/>
      <w:i/>
      <w:iCs/>
      <w:color w:val="404040" w:themeColor="text1" w:themeTint="BF"/>
      <w:szCs w:val="22"/>
    </w:rPr>
  </w:style>
  <w:style w:type="paragraph" w:styleId="ListParagraph">
    <w:name w:val="List Paragraph"/>
    <w:basedOn w:val="Normal"/>
    <w:uiPriority w:val="34"/>
    <w:qFormat/>
    <w:rsid w:val="008D306A"/>
    <w:pPr>
      <w:ind w:left="720"/>
      <w:contextualSpacing/>
    </w:pPr>
  </w:style>
  <w:style w:type="character" w:styleId="IntenseEmphasis">
    <w:name w:val="Intense Emphasis"/>
    <w:basedOn w:val="DefaultParagraphFont"/>
    <w:uiPriority w:val="21"/>
    <w:qFormat/>
    <w:rsid w:val="008D306A"/>
    <w:rPr>
      <w:i/>
      <w:iCs/>
      <w:color w:val="2F5496" w:themeColor="accent1" w:themeShade="BF"/>
    </w:rPr>
  </w:style>
  <w:style w:type="paragraph" w:styleId="IntenseQuote">
    <w:name w:val="Intense Quote"/>
    <w:basedOn w:val="Normal"/>
    <w:next w:val="Normal"/>
    <w:link w:val="IntenseQuoteChar"/>
    <w:uiPriority w:val="30"/>
    <w:qFormat/>
    <w:rsid w:val="008D30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306A"/>
    <w:rPr>
      <w:rFonts w:ascii="Times New Roman" w:hAnsi="Times New Roman"/>
      <w:i/>
      <w:iCs/>
      <w:color w:val="2F5496" w:themeColor="accent1" w:themeShade="BF"/>
      <w:szCs w:val="22"/>
    </w:rPr>
  </w:style>
  <w:style w:type="character" w:styleId="IntenseReference">
    <w:name w:val="Intense Reference"/>
    <w:basedOn w:val="DefaultParagraphFont"/>
    <w:uiPriority w:val="32"/>
    <w:qFormat/>
    <w:rsid w:val="008D306A"/>
    <w:rPr>
      <w:b/>
      <w:bCs/>
      <w:smallCaps/>
      <w:color w:val="2F5496" w:themeColor="accent1" w:themeShade="BF"/>
      <w:spacing w:val="5"/>
    </w:rPr>
  </w:style>
  <w:style w:type="paragraph" w:styleId="Bibliography">
    <w:name w:val="Bibliography"/>
    <w:basedOn w:val="Normal"/>
    <w:next w:val="Normal"/>
    <w:uiPriority w:val="37"/>
    <w:unhideWhenUsed/>
    <w:rsid w:val="0083319F"/>
  </w:style>
  <w:style w:type="character" w:styleId="Hyperlink">
    <w:name w:val="Hyperlink"/>
    <w:basedOn w:val="DefaultParagraphFont"/>
    <w:uiPriority w:val="99"/>
    <w:unhideWhenUsed/>
    <w:rsid w:val="0083319F"/>
    <w:rPr>
      <w:color w:val="0563C1" w:themeColor="hyperlink"/>
      <w:u w:val="single"/>
    </w:rPr>
  </w:style>
  <w:style w:type="character" w:styleId="UnresolvedMention">
    <w:name w:val="Unresolved Mention"/>
    <w:basedOn w:val="DefaultParagraphFont"/>
    <w:uiPriority w:val="99"/>
    <w:semiHidden/>
    <w:unhideWhenUsed/>
    <w:rsid w:val="0083319F"/>
    <w:rPr>
      <w:color w:val="605E5C"/>
      <w:shd w:val="clear" w:color="auto" w:fill="E1DFDD"/>
    </w:rPr>
  </w:style>
  <w:style w:type="paragraph" w:styleId="Header">
    <w:name w:val="header"/>
    <w:basedOn w:val="Normal"/>
    <w:link w:val="HeaderChar"/>
    <w:uiPriority w:val="99"/>
    <w:unhideWhenUsed/>
    <w:rsid w:val="00772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A8B"/>
    <w:rPr>
      <w:rFonts w:ascii="Times New Roman" w:hAnsi="Times New Roman"/>
      <w:szCs w:val="22"/>
    </w:rPr>
  </w:style>
  <w:style w:type="paragraph" w:styleId="Footer">
    <w:name w:val="footer"/>
    <w:basedOn w:val="Normal"/>
    <w:link w:val="FooterChar"/>
    <w:uiPriority w:val="99"/>
    <w:unhideWhenUsed/>
    <w:rsid w:val="00772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A8B"/>
    <w:rPr>
      <w:rFonts w:ascii="Times New Roman" w:hAnsi="Times New Roman"/>
      <w:szCs w:val="22"/>
    </w:rPr>
  </w:style>
  <w:style w:type="paragraph" w:styleId="TOCHeading">
    <w:name w:val="TOC Heading"/>
    <w:basedOn w:val="Heading1"/>
    <w:next w:val="Normal"/>
    <w:uiPriority w:val="39"/>
    <w:unhideWhenUsed/>
    <w:qFormat/>
    <w:rsid w:val="00986745"/>
    <w:pPr>
      <w:spacing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86745"/>
    <w:pPr>
      <w:spacing w:after="100"/>
    </w:pPr>
  </w:style>
  <w:style w:type="paragraph" w:styleId="TOC2">
    <w:name w:val="toc 2"/>
    <w:basedOn w:val="Normal"/>
    <w:next w:val="Normal"/>
    <w:autoRedefine/>
    <w:uiPriority w:val="39"/>
    <w:unhideWhenUsed/>
    <w:rsid w:val="00986745"/>
    <w:pPr>
      <w:spacing w:after="100"/>
      <w:ind w:left="240"/>
    </w:pPr>
  </w:style>
  <w:style w:type="table" w:customStyle="1" w:styleId="Table1">
    <w:name w:val="Table1"/>
    <w:basedOn w:val="TableNormal"/>
    <w:rsid w:val="00282D44"/>
    <w:pPr>
      <w:spacing w:after="0" w:line="360" w:lineRule="auto"/>
      <w:jc w:val="both"/>
    </w:pPr>
    <w:rPr>
      <w:rFonts w:ascii="Times New Roman" w:eastAsia="Times New Roman" w:hAnsi="Times New Roman" w:cs="Times New Roman"/>
      <w:kern w:val="0"/>
      <w:lang w:val="en"/>
      <w14:ligatures w14:val="none"/>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0724">
      <w:bodyDiv w:val="1"/>
      <w:marLeft w:val="0"/>
      <w:marRight w:val="0"/>
      <w:marTop w:val="0"/>
      <w:marBottom w:val="0"/>
      <w:divBdr>
        <w:top w:val="none" w:sz="0" w:space="0" w:color="auto"/>
        <w:left w:val="none" w:sz="0" w:space="0" w:color="auto"/>
        <w:bottom w:val="none" w:sz="0" w:space="0" w:color="auto"/>
        <w:right w:val="none" w:sz="0" w:space="0" w:color="auto"/>
      </w:divBdr>
    </w:div>
    <w:div w:id="124206238">
      <w:bodyDiv w:val="1"/>
      <w:marLeft w:val="0"/>
      <w:marRight w:val="0"/>
      <w:marTop w:val="0"/>
      <w:marBottom w:val="0"/>
      <w:divBdr>
        <w:top w:val="none" w:sz="0" w:space="0" w:color="auto"/>
        <w:left w:val="none" w:sz="0" w:space="0" w:color="auto"/>
        <w:bottom w:val="none" w:sz="0" w:space="0" w:color="auto"/>
        <w:right w:val="none" w:sz="0" w:space="0" w:color="auto"/>
      </w:divBdr>
    </w:div>
    <w:div w:id="683363249">
      <w:bodyDiv w:val="1"/>
      <w:marLeft w:val="0"/>
      <w:marRight w:val="0"/>
      <w:marTop w:val="0"/>
      <w:marBottom w:val="0"/>
      <w:divBdr>
        <w:top w:val="none" w:sz="0" w:space="0" w:color="auto"/>
        <w:left w:val="none" w:sz="0" w:space="0" w:color="auto"/>
        <w:bottom w:val="none" w:sz="0" w:space="0" w:color="auto"/>
        <w:right w:val="none" w:sz="0" w:space="0" w:color="auto"/>
      </w:divBdr>
    </w:div>
    <w:div w:id="948589389">
      <w:bodyDiv w:val="1"/>
      <w:marLeft w:val="0"/>
      <w:marRight w:val="0"/>
      <w:marTop w:val="0"/>
      <w:marBottom w:val="0"/>
      <w:divBdr>
        <w:top w:val="none" w:sz="0" w:space="0" w:color="auto"/>
        <w:left w:val="none" w:sz="0" w:space="0" w:color="auto"/>
        <w:bottom w:val="none" w:sz="0" w:space="0" w:color="auto"/>
        <w:right w:val="none" w:sz="0" w:space="0" w:color="auto"/>
      </w:divBdr>
    </w:div>
    <w:div w:id="1103112879">
      <w:bodyDiv w:val="1"/>
      <w:marLeft w:val="0"/>
      <w:marRight w:val="0"/>
      <w:marTop w:val="0"/>
      <w:marBottom w:val="0"/>
      <w:divBdr>
        <w:top w:val="none" w:sz="0" w:space="0" w:color="auto"/>
        <w:left w:val="none" w:sz="0" w:space="0" w:color="auto"/>
        <w:bottom w:val="none" w:sz="0" w:space="0" w:color="auto"/>
        <w:right w:val="none" w:sz="0" w:space="0" w:color="auto"/>
      </w:divBdr>
    </w:div>
    <w:div w:id="1450127445">
      <w:bodyDiv w:val="1"/>
      <w:marLeft w:val="0"/>
      <w:marRight w:val="0"/>
      <w:marTop w:val="0"/>
      <w:marBottom w:val="0"/>
      <w:divBdr>
        <w:top w:val="none" w:sz="0" w:space="0" w:color="auto"/>
        <w:left w:val="none" w:sz="0" w:space="0" w:color="auto"/>
        <w:bottom w:val="none" w:sz="0" w:space="0" w:color="auto"/>
        <w:right w:val="none" w:sz="0" w:space="0" w:color="auto"/>
      </w:divBdr>
    </w:div>
    <w:div w:id="1522663897">
      <w:bodyDiv w:val="1"/>
      <w:marLeft w:val="0"/>
      <w:marRight w:val="0"/>
      <w:marTop w:val="0"/>
      <w:marBottom w:val="0"/>
      <w:divBdr>
        <w:top w:val="none" w:sz="0" w:space="0" w:color="auto"/>
        <w:left w:val="none" w:sz="0" w:space="0" w:color="auto"/>
        <w:bottom w:val="none" w:sz="0" w:space="0" w:color="auto"/>
        <w:right w:val="none" w:sz="0" w:space="0" w:color="auto"/>
      </w:divBdr>
    </w:div>
    <w:div w:id="1995528718">
      <w:bodyDiv w:val="1"/>
      <w:marLeft w:val="0"/>
      <w:marRight w:val="0"/>
      <w:marTop w:val="0"/>
      <w:marBottom w:val="0"/>
      <w:divBdr>
        <w:top w:val="none" w:sz="0" w:space="0" w:color="auto"/>
        <w:left w:val="none" w:sz="0" w:space="0" w:color="auto"/>
        <w:bottom w:val="none" w:sz="0" w:space="0" w:color="auto"/>
        <w:right w:val="none" w:sz="0" w:space="0" w:color="auto"/>
      </w:divBdr>
    </w:div>
    <w:div w:id="205993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oominfo.com/c/sky-medical-technology-ltd/38519509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liconangle.com/2025/10/14/oura-raises-900m-wearable-health-tech-smart-ring/" TargetMode="External"/><Relationship Id="rId4" Type="http://schemas.openxmlformats.org/officeDocument/2006/relationships/settings" Target="settings.xml"/><Relationship Id="rId9" Type="http://schemas.openxmlformats.org/officeDocument/2006/relationships/hyperlink" Target="https://uk.linkedin.com/company/sky-medical-technolog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sky25</b:Tag>
    <b:SourceType>InternetSite</b:SourceType>
    <b:Guid>{FE0437BA-A37A-4469-8E58-3D49B87C835B}</b:Guid>
    <b:Author>
      <b:Author>
        <b:Corporate>skymedtech</b:Corporate>
      </b:Author>
    </b:Author>
    <b:Title>We develop bioelectronic medicine for clinicians who treat vascular related conditions</b:Title>
    <b:Year>2025</b:Year>
    <b:YearAccessed>2025</b:YearAccessed>
    <b:MonthAccessed>December</b:MonthAccessed>
    <b:DayAccessed>5</b:DayAccessed>
    <b:URL>https://www.skymedtech.com/</b:URL>
    <b:RefOrder>2</b:RefOrder>
  </b:Source>
  <b:Source>
    <b:Tag>sky251</b:Tag>
    <b:SourceType>InternetSite</b:SourceType>
    <b:Guid>{AFC54D14-4982-4CCE-B8FE-573041640578}</b:Guid>
    <b:Author>
      <b:Author>
        <b:Corporate>skymedtech</b:Corporate>
      </b:Author>
    </b:Author>
    <b:Title>Sky Medical Technology named Most Innovative MedTech Company 2020</b:Title>
    <b:Year>2025</b:Year>
    <b:YearAccessed>2025</b:YearAccessed>
    <b:MonthAccessed>December</b:MonthAccessed>
    <b:DayAccessed>5</b:DayAccessed>
    <b:URL>https://skymedtech.com/sky-medical-technology-named-most-innovative-medtech-company-2020/</b:URL>
    <b:RefOrder>1</b:RefOrder>
  </b:Source>
  <b:Source>
    <b:Tag>Sta2519</b:Tag>
    <b:SourceType>InternetSite</b:SourceType>
    <b:Guid>{42B8B3D5-7ACE-498D-A16D-792E055DF928}</b:Guid>
    <b:Author>
      <b:Author>
        <b:Corporate>Statista</b:Corporate>
      </b:Author>
    </b:Author>
    <b:Title>Wearables in the UK- statistics &amp; facts</b:Title>
    <b:Year>2025</b:Year>
    <b:YearAccessed>2025</b:YearAccessed>
    <b:MonthAccessed>December</b:MonthAccessed>
    <b:DayAccessed>5</b:DayAccessed>
    <b:URL>https://www.statista.com/topics/12225/wearables-in-the-uk/?srsltid=AfmBOoraptxy6Va_Ps9LXEXf9xL3a9BX3MTIpek2JygvwpxRYqVOKkYJ</b:URL>
    <b:RefOrder>3</b:RefOrder>
  </b:Source>
  <b:Source>
    <b:Tag>Ali24</b:Tag>
    <b:SourceType>InternetSite</b:SourceType>
    <b:Guid>{34454210-D8BA-46BD-8F6E-B7DAAF3B5A2F}</b:Guid>
    <b:Author>
      <b:Author>
        <b:NameList>
          <b:Person>
            <b:Last>Raeburn</b:Last>
            <b:First>Alicia</b:First>
          </b:Person>
        </b:NameList>
      </b:Author>
    </b:Author>
    <b:Title>Product development process: The 6 stages (with examples)</b:Title>
    <b:Year>2024</b:Year>
    <b:YearAccessed>2025</b:YearAccessed>
    <b:MonthAccessed>December</b:MonthAccessed>
    <b:DayAccessed>5</b:DayAccessed>
    <b:URL>https://asana.com/resources/product-development-process</b:URL>
    <b:RefOrder>4</b:RefOrder>
  </b:Source>
  <b:Source>
    <b:Tag>For2563</b:Tag>
    <b:SourceType>InternetSite</b:SourceType>
    <b:Guid>{B6173C79-555A-4237-B413-63AD261B9A22}</b:Guid>
    <b:Author>
      <b:Author>
        <b:Corporate>Forbes</b:Corporate>
      </b:Author>
    </b:Author>
    <b:Title>How To Leverage Marketing And Design For A Successful Product Launch</b:Title>
    <b:Year>2025</b:Year>
    <b:YearAccessed>2025</b:YearAccessed>
    <b:MonthAccessed>December</b:MonthAccessed>
    <b:DayAccessed>5</b:DayAccessed>
    <b:URL>https://www.forbes.com/sites/esade/2025/09/16/how-to-leverage-marketing-and-design-for-a-successful-product-launch/</b:URL>
    <b:RefOrder>5</b:RefOrder>
  </b:Source>
  <b:Source>
    <b:Tag>Gar25</b:Tag>
    <b:SourceType>InternetSite</b:SourceType>
    <b:Guid>{FA44DF44-F863-498A-8398-1CFF6F88B598}</b:Guid>
    <b:Author>
      <b:Author>
        <b:Corporate>Garmin</b:Corporate>
      </b:Author>
    </b:Author>
    <b:Title>ABOUT US</b:Title>
    <b:Year>2025</b:Year>
    <b:YearAccessed>2025</b:YearAccessed>
    <b:MonthAccessed>December</b:MonthAccessed>
    <b:DayAccessed>5</b:DayAccessed>
    <b:URL>https://www.garmin.com/en-US/company/about-garmin/</b:URL>
    <b:RefOrder>6</b:RefOrder>
  </b:Source>
  <b:Source>
    <b:Tag>Sla24</b:Tag>
    <b:SourceType>InternetSite</b:SourceType>
    <b:Guid>{BF2C5B75-364A-4478-8CC0-B5305BB87326}</b:Guid>
    <b:Author>
      <b:Author>
        <b:Corporate>Slack</b:Corporate>
      </b:Author>
    </b:Author>
    <b:Title>The best collaboration tools for remote teams</b:Title>
    <b:Year>2024</b:Year>
    <b:YearAccessed>2025</b:YearAccessed>
    <b:MonthAccessed>December</b:MonthAccessed>
    <b:DayAccessed>5</b:DayAccessed>
    <b:URL>https://slack.com/intl/en-in/blog/collaboration/remote-team-tools</b:URL>
    <b:RefOrder>7</b:RefOrder>
  </b:Source>
  <b:Source>
    <b:Tag>Bre259</b:Tag>
    <b:SourceType>InternetSite</b:SourceType>
    <b:Guid>{8569B178-A87C-4059-BF43-B9D4F66C52E2}</b:Guid>
    <b:Author>
      <b:Author>
        <b:NameList>
          <b:Person>
            <b:Last>Schwartz</b:Last>
            <b:First>Brenna</b:First>
          </b:Person>
        </b:NameList>
      </b:Author>
    </b:Author>
    <b:Title>Stakeholder Collaboration &amp; Communication in Project Management</b:Title>
    <b:Year>2025</b:Year>
    <b:YearAccessed>2025</b:YearAccessed>
    <b:MonthAccessed>December</b:MonthAccessed>
    <b:DayAccessed>5</b:DayAccessed>
    <b:URL>https://www.projectmanager.com/blog/stakeholder-collaboration-and-communication</b:URL>
    <b:RefOrder>1</b:RefOrder>
  </b:Source>
  <b:Source>
    <b:Tag>fyl25</b:Tag>
    <b:SourceType>InternetSite</b:SourceType>
    <b:Guid>{4031D323-646B-4778-A3C6-1AD41BB70612}</b:Guid>
    <b:Author>
      <b:Author>
        <b:Corporate>fylehq</b:Corporate>
      </b:Author>
    </b:Author>
    <b:Title>8 Tips to Improve Collaboration for Finance Teams</b:Title>
    <b:Year>2025</b:Year>
    <b:YearAccessed>2025</b:YearAccessed>
    <b:MonthAccessed>December</b:MonthAccessed>
    <b:DayAccessed>5</b:DayAccessed>
    <b:URL>https://www.fylehq.com/blog/tips-to-improve-collaboration-for-finance-teams</b:URL>
    <b:RefOrder>2</b:RefOrder>
  </b:Source>
  <b:Source>
    <b:Tag>Joh2511</b:Tag>
    <b:SourceType>InternetSite</b:SourceType>
    <b:Guid>{149B5BB0-ABD4-4A93-84CE-F6190122DD97}</b:Guid>
    <b:Author>
      <b:Author>
        <b:NameList>
          <b:Person>
            <b:Last>Skerritt</b:Last>
            <b:First>John</b:First>
            <b:Middle>H</b:Middle>
          </b:Person>
        </b:NameList>
      </b:Author>
    </b:Author>
    <b:Title>Strengthening the Use of International Collaborative Regulatory Assessments and Regulatory Alignment– Implications for Global Convergence</b:Title>
    <b:Year>2025</b:Year>
    <b:YearAccessed>2025</b:YearAccessed>
    <b:MonthAccessed>December</b:MonthAccessed>
    <b:DayAccessed>5</b:DayAccessed>
    <b:URL>https://pmc.ncbi.nlm.nih.gov/articles/PMC12446123/</b:URL>
    <b:RefOrder>3</b:RefOrder>
  </b:Source>
  <b:Source>
    <b:Tag>Mic2316</b:Tag>
    <b:SourceType>InternetSite</b:SourceType>
    <b:Guid>{DF9BEB12-2765-4CBF-B487-8BEBC91F011F}</b:Guid>
    <b:Author>
      <b:Author>
        <b:NameList>
          <b:Person>
            <b:Last>Shribman</b:Last>
            <b:First>Michael</b:First>
          </b:Person>
        </b:NameList>
      </b:Author>
    </b:Author>
    <b:Title>A Guide For Mastering The Art Of Business Communication</b:Title>
    <b:Year>2023</b:Year>
    <b:YearAccessed>2025</b:YearAccessed>
    <b:MonthAccessed>December</b:MonthAccessed>
    <b:DayAccessed>5</b:DayAccessed>
    <b:URL>https://www.forbes.com/councils/forbesbusinesscouncil/2023/11/20/a-guide-for-mastering-the-art-of-business-communication/</b:URL>
    <b:RefOrder>1</b:RefOrder>
  </b:Source>
  <b:Source>
    <b:Tag>Eri211</b:Tag>
    <b:SourceType>InternetSite</b:SourceType>
    <b:Guid>{8E2AAE90-C73A-498F-9D2E-53CE178359B8}</b:Guid>
    <b:Author>
      <b:Author>
        <b:NameList>
          <b:Person>
            <b:Last>McDermott</b:Last>
            <b:First>Eric</b:First>
          </b:Person>
        </b:NameList>
      </b:Author>
    </b:Author>
    <b:Title>How To Quickly Pivot Teams To A Culture Of High-Coordination</b:Title>
    <b:Year>2021</b:Year>
    <b:YearAccessed>2025</b:YearAccessed>
    <b:MonthAccessed>Decemebr</b:MonthAccessed>
    <b:DayAccessed>5</b:DayAccessed>
    <b:URL>https://www.forbes.com/councils/forbesbusinesscouncil/2021/05/24/how-to-quickly-pivot-teams-to-a-culture-of-high-coordination/</b:URL>
    <b:RefOrder>2</b:RefOrder>
  </b:Source>
  <b:Source>
    <b:Tag>Kir25</b:Tag>
    <b:SourceType>InternetSite</b:SourceType>
    <b:Guid>{7E03E3D4-05E6-4862-A17E-B000BFC820AB}</b:Guid>
    <b:Author>
      <b:Author>
        <b:NameList>
          <b:Person>
            <b:Last>Rhodes</b:Last>
            <b:First>Kirsten</b:First>
          </b:Person>
        </b:NameList>
      </b:Author>
    </b:Author>
    <b:Title>How Relationships Can Anchor Business In Uncertain Times</b:Title>
    <b:Year>2025</b:Year>
    <b:YearAccessed>2025</b:YearAccessed>
    <b:MonthAccessed>December</b:MonthAccessed>
    <b:DayAccessed>5</b:DayAccessed>
    <b:URL>https://www.forbes.com/councils/forbesbusinessdevelopmentcouncil/2025/12/10/how-relationships-can-anchor-business-in-uncertain-times/</b:URL>
    <b:RefOrder>3</b:RefOrder>
  </b:Source>
  <b:Source>
    <b:Tag>Sha248</b:Tag>
    <b:SourceType>InternetSite</b:SourceType>
    <b:Guid>{CB2D5DEF-F961-4361-B5C4-C23B4EF925E2}</b:Guid>
    <b:Author>
      <b:Author>
        <b:NameList>
          <b:Person>
            <b:Last>Harmon</b:Last>
            <b:First>Shani</b:First>
          </b:Person>
        </b:NameList>
      </b:Author>
    </b:Author>
    <b:Title>Capturing the Elusive Benefits Of Collaboration</b:Title>
    <b:Year>2024</b:Year>
    <b:YearAccessed>2025</b:YearAccessed>
    <b:MonthAccessed>December</b:MonthAccessed>
    <b:DayAccessed>5</b:DayAccessed>
    <b:URL>https://www.forbes.com/sites/harmoncullinan/2024/03/20/capturing-the-elusive-benefits-of-collaboration/</b:URL>
    <b:RefOrder>4</b:RefOrder>
  </b:Source>
  <b:Source>
    <b:Tag>Joc232</b:Tag>
    <b:SourceType>InternetSite</b:SourceType>
    <b:Guid>{1397C4E1-18A9-44D3-8E52-17054F44FC4A}</b:Guid>
    <b:Author>
      <b:Author>
        <b:NameList>
          <b:Person>
            <b:Last>Schwenk</b:Last>
            <b:First>Jochen</b:First>
          </b:Person>
        </b:NameList>
      </b:Author>
    </b:Author>
    <b:Title>Integrating Risk Mitigation Into Corporate Culture: The Role Of Systems, Intelligence And Leadership</b:Title>
    <b:Year>2023</b:Year>
    <b:YearAccessed>2025</b:YearAccessed>
    <b:MonthAccessed>December</b:MonthAccessed>
    <b:DayAccessed>5</b:DayAccessed>
    <b:URL>https://www.forbes.com/councils/forbesbusinesscouncil/2023/12/04/integrating-risk-mitigation-into-corporate-culture-the-role-of-systems-intelligence-and-leadership/</b:URL>
    <b:RefOrder>5</b:RefOrder>
  </b:Source>
  <b:Source>
    <b:Tag>Ili24</b:Tag>
    <b:SourceType>InternetSite</b:SourceType>
    <b:Guid>{5F0C1218-D4CF-4B59-BF42-8E1AC4C7539A}</b:Guid>
    <b:Author>
      <b:Author>
        <b:NameList>
          <b:Person>
            <b:Last>Kiselevich</b:Last>
            <b:First>Ilia</b:First>
          </b:Person>
        </b:NameList>
      </b:Author>
    </b:Author>
    <b:Title>Stakeholder Engagement At Startups: Determining The Success Or Failure Of Mobile App Projects</b:Title>
    <b:Year>2024</b:Year>
    <b:YearAccessed>2025</b:YearAccessed>
    <b:MonthAccessed>December</b:MonthAccessed>
    <b:DayAccessed>5</b:DayAccessed>
    <b:URL>https://www.forbes.com/councils/forbestechcouncil/2024/01/12/stakeholder-engagement-at-startups-determining-the-success-or-failure-of-mobile-app-projects/</b:URL>
    <b:RefOrder>6</b:RefOrder>
  </b:Source>
  <b:Source>
    <b:Tag>Cra242</b:Tag>
    <b:SourceType>InternetSite</b:SourceType>
    <b:Guid>{EE79BAE9-780F-44F4-A34C-E35BF9E30717}</b:Guid>
    <b:Author>
      <b:Author>
        <b:NameList>
          <b:Person>
            <b:Last>West</b:Last>
            <b:First>Craig</b:First>
          </b:Person>
        </b:NameList>
      </b:Author>
    </b:Author>
    <b:Title>To Drive Business Performance, You Must Understand KPIs</b:Title>
    <b:Year>2024</b:Year>
    <b:YearAccessed>2025</b:YearAccessed>
    <b:MonthAccessed>December</b:MonthAccessed>
    <b:DayAccessed>5</b:DayAccessed>
    <b:URL>https://www.forbes.com/councils/forbesbusinesscouncil/2024/07/03/to-drive-business-performance-you-must-understand-kpis/</b:URL>
    <b:RefOrder>7</b:RefOrder>
  </b:Source>
  <b:Source>
    <b:Tag>Jef246</b:Tag>
    <b:SourceType>InternetSite</b:SourceType>
    <b:Guid>{5E75A506-ED03-448F-A272-E89321C31233}</b:Guid>
    <b:Author>
      <b:Author>
        <b:NameList>
          <b:Person>
            <b:Last>Bartel</b:Last>
            <b:First>Jeffrey</b:First>
          </b:Person>
        </b:NameList>
      </b:Author>
    </b:Author>
    <b:Title>Why Strong Corporate Social Responsibility Is A Competitive Advantage</b:Title>
    <b:Year>2024</b:Year>
    <b:YearAccessed>2025</b:YearAccessed>
    <b:MonthAccessed>December</b:MonthAccessed>
    <b:DayAccessed>5</b:DayAccessed>
    <b:URL>https://www.forbes.com/councils/forbesfinancecouncil/2024/11/25/why-strong-corporate-social-responsibility-is-a-competitive-advantage/</b:URL>
    <b:RefOrder>8</b:RefOrder>
  </b:Source>
  <b:Source>
    <b:Tag>Zoo251</b:Tag>
    <b:SourceType>InternetSite</b:SourceType>
    <b:Guid>{94560A73-A978-4DD7-B498-6284AE071980}</b:Guid>
    <b:Author>
      <b:Author>
        <b:Corporate>Zoominfo</b:Corporate>
      </b:Author>
    </b:Author>
    <b:Title>Sky Medical Technology</b:Title>
    <b:Year>2025</b:Year>
    <b:YearAccessed>2025</b:YearAccessed>
    <b:MonthAccessed>December </b:MonthAccessed>
    <b:DayAccessed>4</b:DayAccessed>
    <b:URL>https://www.zoominfo.com/c/sky-medical-technology-ltd/385195090</b:URL>
    <b:RefOrder>1</b:RefOrder>
  </b:Source>
</b:Sources>
</file>

<file path=customXml/itemProps1.xml><?xml version="1.0" encoding="utf-8"?>
<ds:datastoreItem xmlns:ds="http://schemas.openxmlformats.org/officeDocument/2006/customXml" ds:itemID="{446EC50B-19C9-4578-ACC8-173C6AB14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5825</Words>
  <Characters>33203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2025-12-11T22:39:00Z</dcterms:created>
  <dcterms:modified xsi:type="dcterms:W3CDTF">2025-12-11T22:39:00Z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aac9771c-9d6a-42b4-8ea2-68da46712df1</vt:lpwstr>
  </property>
</Properties>
</file>