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85FCA7" w14:textId="692C930B" w:rsidR="006E060F" w:rsidRPr="002B20C2" w:rsidRDefault="006E060F" w:rsidP="006E060F">
      <w:pPr>
        <w:jc w:val="center"/>
        <w:rPr>
          <w:rFonts w:ascii="Times New Roman" w:hAnsi="Times New Roman" w:cs="Times New Roman"/>
          <w:sz w:val="40"/>
          <w:szCs w:val="40"/>
          <w:u w:val="single"/>
          <w:lang w:val="en-US"/>
        </w:rPr>
      </w:pPr>
      <w:r w:rsidRPr="002B20C2">
        <w:rPr>
          <w:rFonts w:ascii="Times New Roman" w:hAnsi="Times New Roman" w:cs="Times New Roman"/>
          <w:sz w:val="40"/>
          <w:szCs w:val="40"/>
          <w:u w:val="single"/>
          <w:lang w:val="en-US"/>
        </w:rPr>
        <w:t>Find a piece of evidence from the ancient sources</w:t>
      </w:r>
      <w:r w:rsidR="0036455F" w:rsidRPr="002B20C2">
        <w:rPr>
          <w:rFonts w:ascii="Times New Roman" w:hAnsi="Times New Roman" w:cs="Times New Roman"/>
          <w:sz w:val="40"/>
          <w:szCs w:val="40"/>
          <w:u w:val="single"/>
          <w:lang w:val="en-US"/>
        </w:rPr>
        <w:t xml:space="preserve"> </w:t>
      </w:r>
      <w:r w:rsidRPr="002B20C2">
        <w:rPr>
          <w:rFonts w:ascii="Times New Roman" w:hAnsi="Times New Roman" w:cs="Times New Roman"/>
          <w:sz w:val="40"/>
          <w:szCs w:val="40"/>
          <w:u w:val="single"/>
          <w:lang w:val="en-US"/>
        </w:rPr>
        <w:t>and discuss it</w:t>
      </w:r>
    </w:p>
    <w:p w14:paraId="658D4AB0" w14:textId="77777777" w:rsidR="006E060F" w:rsidRPr="006E060F" w:rsidRDefault="006E060F" w:rsidP="006E060F">
      <w:pPr>
        <w:rPr>
          <w:rFonts w:ascii="Times New Roman" w:hAnsi="Times New Roman" w:cs="Times New Roman"/>
          <w:sz w:val="32"/>
          <w:szCs w:val="32"/>
          <w:u w:val="single"/>
          <w:lang w:val="en-US"/>
        </w:rPr>
      </w:pPr>
    </w:p>
    <w:p w14:paraId="1286F13F" w14:textId="5DE1C1FF" w:rsidR="006E060F" w:rsidRPr="002B20C2" w:rsidRDefault="006E060F" w:rsidP="006E060F">
      <w:pPr>
        <w:rPr>
          <w:rFonts w:ascii="Times New Roman" w:hAnsi="Times New Roman" w:cs="Times New Roman"/>
          <w:sz w:val="36"/>
          <w:szCs w:val="36"/>
          <w:lang w:val="en-US"/>
        </w:rPr>
      </w:pPr>
    </w:p>
    <w:p w14:paraId="38DC31BF" w14:textId="0A3B2ED5" w:rsidR="006E060F" w:rsidRPr="002B20C2" w:rsidRDefault="006E060F" w:rsidP="006E060F">
      <w:pPr>
        <w:rPr>
          <w:rFonts w:ascii="Times New Roman" w:hAnsi="Times New Roman" w:cs="Times New Roman"/>
          <w:sz w:val="32"/>
          <w:szCs w:val="32"/>
          <w:lang w:val="en-US"/>
        </w:rPr>
      </w:pPr>
      <w:r w:rsidRPr="002B20C2">
        <w:rPr>
          <w:rFonts w:ascii="Times New Roman" w:hAnsi="Times New Roman" w:cs="Times New Roman"/>
          <w:sz w:val="32"/>
          <w:szCs w:val="32"/>
          <w:lang w:val="en-US"/>
        </w:rPr>
        <w:t xml:space="preserve">“It is </w:t>
      </w:r>
      <w:r w:rsidR="00CD4DA2" w:rsidRPr="002B20C2">
        <w:rPr>
          <w:rFonts w:ascii="Times New Roman" w:hAnsi="Times New Roman" w:cs="Times New Roman"/>
          <w:sz w:val="32"/>
          <w:szCs w:val="32"/>
          <w:lang w:val="en-US"/>
        </w:rPr>
        <w:t>acknowledged</w:t>
      </w:r>
      <w:r w:rsidR="00E378BC" w:rsidRPr="002B20C2">
        <w:rPr>
          <w:rFonts w:ascii="Times New Roman" w:hAnsi="Times New Roman" w:cs="Times New Roman"/>
          <w:sz w:val="32"/>
          <w:szCs w:val="32"/>
          <w:lang w:val="en-US"/>
        </w:rPr>
        <w:t>, namely that there are in the world three forms of government, autocracy, oligarchy, and democracy: autocracies and oligarchies are administered according to the tempers of their lords”</w:t>
      </w:r>
      <w:r w:rsidR="00F068E0" w:rsidRPr="002B20C2">
        <w:rPr>
          <w:rStyle w:val="FootnoteReference"/>
          <w:rFonts w:ascii="Times New Roman" w:hAnsi="Times New Roman" w:cs="Times New Roman"/>
          <w:sz w:val="32"/>
          <w:szCs w:val="32"/>
          <w:lang w:val="en-US"/>
        </w:rPr>
        <w:footnoteReference w:id="1"/>
      </w:r>
      <w:r w:rsidR="00E378BC" w:rsidRPr="002B20C2">
        <w:rPr>
          <w:rFonts w:ascii="Times New Roman" w:hAnsi="Times New Roman" w:cs="Times New Roman"/>
          <w:sz w:val="32"/>
          <w:szCs w:val="32"/>
          <w:lang w:val="en-US"/>
        </w:rPr>
        <w:t xml:space="preserve"> </w:t>
      </w:r>
    </w:p>
    <w:p w14:paraId="5E01A3A9" w14:textId="300B3A5F" w:rsidR="00D93798" w:rsidRDefault="009D2837" w:rsidP="006E060F">
      <w:pPr>
        <w:rPr>
          <w:rFonts w:ascii="Times New Roman" w:hAnsi="Times New Roman" w:cs="Times New Roman"/>
          <w:sz w:val="32"/>
          <w:szCs w:val="32"/>
          <w:lang w:val="en-US"/>
        </w:rPr>
      </w:pPr>
      <w:r w:rsidRPr="002B20C2">
        <w:rPr>
          <w:rFonts w:ascii="Times New Roman" w:hAnsi="Times New Roman" w:cs="Times New Roman"/>
          <w:sz w:val="32"/>
          <w:szCs w:val="32"/>
          <w:lang w:val="en-US"/>
        </w:rPr>
        <w:t xml:space="preserve">This quotation comes from a speech by Aeschines titled Against Timarchus, in which </w:t>
      </w:r>
      <w:r w:rsidR="00DF6036" w:rsidRPr="002B20C2">
        <w:rPr>
          <w:rFonts w:ascii="Times New Roman" w:hAnsi="Times New Roman" w:cs="Times New Roman"/>
          <w:sz w:val="32"/>
          <w:szCs w:val="32"/>
          <w:lang w:val="en-US"/>
        </w:rPr>
        <w:t xml:space="preserve">Aeschines </w:t>
      </w:r>
      <w:r w:rsidRPr="002B20C2">
        <w:rPr>
          <w:rFonts w:ascii="Times New Roman" w:hAnsi="Times New Roman" w:cs="Times New Roman"/>
          <w:sz w:val="32"/>
          <w:szCs w:val="32"/>
          <w:lang w:val="en-US"/>
        </w:rPr>
        <w:t xml:space="preserve">accuses Timarchus of </w:t>
      </w:r>
      <w:r w:rsidR="00DF6036" w:rsidRPr="002B20C2">
        <w:rPr>
          <w:rFonts w:ascii="Times New Roman" w:hAnsi="Times New Roman" w:cs="Times New Roman"/>
          <w:sz w:val="32"/>
          <w:szCs w:val="32"/>
          <w:lang w:val="en-US"/>
        </w:rPr>
        <w:t xml:space="preserve">being unfit to be a part of public life. </w:t>
      </w:r>
      <w:r w:rsidR="00901A7B" w:rsidRPr="002B20C2">
        <w:rPr>
          <w:rFonts w:ascii="Times New Roman" w:hAnsi="Times New Roman" w:cs="Times New Roman"/>
          <w:sz w:val="32"/>
          <w:szCs w:val="32"/>
          <w:lang w:val="en-US"/>
        </w:rPr>
        <w:t>Aeschines was an “Athenian orator and politician”</w:t>
      </w:r>
      <w:r w:rsidR="002F1DAF" w:rsidRPr="002B20C2">
        <w:rPr>
          <w:rStyle w:val="FootnoteReference"/>
          <w:rFonts w:ascii="Times New Roman" w:hAnsi="Times New Roman" w:cs="Times New Roman"/>
          <w:sz w:val="32"/>
          <w:szCs w:val="32"/>
          <w:lang w:val="en-US"/>
        </w:rPr>
        <w:footnoteReference w:id="2"/>
      </w:r>
      <w:r w:rsidR="00F068E0" w:rsidRPr="002B20C2">
        <w:rPr>
          <w:rFonts w:ascii="Times New Roman" w:hAnsi="Times New Roman" w:cs="Times New Roman"/>
          <w:sz w:val="32"/>
          <w:szCs w:val="32"/>
          <w:lang w:val="en-US"/>
        </w:rPr>
        <w:t xml:space="preserve"> </w:t>
      </w:r>
      <w:r w:rsidR="00901A7B" w:rsidRPr="002B20C2">
        <w:rPr>
          <w:rFonts w:ascii="Times New Roman" w:hAnsi="Times New Roman" w:cs="Times New Roman"/>
          <w:sz w:val="32"/>
          <w:szCs w:val="32"/>
          <w:lang w:val="en-US"/>
        </w:rPr>
        <w:t xml:space="preserve">, who developed his </w:t>
      </w:r>
      <w:r w:rsidR="00C46AC9" w:rsidRPr="002B20C2">
        <w:rPr>
          <w:rFonts w:ascii="Times New Roman" w:hAnsi="Times New Roman" w:cs="Times New Roman"/>
          <w:sz w:val="32"/>
          <w:szCs w:val="32"/>
          <w:lang w:val="en-US"/>
        </w:rPr>
        <w:t>oratory skills “in public speaking during his early career as an actor”</w:t>
      </w:r>
      <w:r w:rsidR="002F1DAF" w:rsidRPr="002B20C2">
        <w:rPr>
          <w:rStyle w:val="FootnoteReference"/>
          <w:rFonts w:ascii="Times New Roman" w:hAnsi="Times New Roman" w:cs="Times New Roman"/>
          <w:sz w:val="32"/>
          <w:szCs w:val="32"/>
          <w:lang w:val="en-US"/>
        </w:rPr>
        <w:footnoteReference w:id="3"/>
      </w:r>
      <w:r w:rsidR="00C46AC9" w:rsidRPr="002B20C2">
        <w:rPr>
          <w:rFonts w:ascii="Times New Roman" w:hAnsi="Times New Roman" w:cs="Times New Roman"/>
          <w:sz w:val="32"/>
          <w:szCs w:val="32"/>
          <w:lang w:val="en-US"/>
        </w:rPr>
        <w:t>. His knowledge of Athenian law however he “gained from his time as a clerk”</w:t>
      </w:r>
      <w:r w:rsidR="002B20C2" w:rsidRPr="002B20C2">
        <w:rPr>
          <w:rStyle w:val="FootnoteReference"/>
          <w:rFonts w:ascii="Times New Roman" w:hAnsi="Times New Roman" w:cs="Times New Roman"/>
          <w:sz w:val="32"/>
          <w:szCs w:val="32"/>
          <w:lang w:val="en-US"/>
        </w:rPr>
        <w:t xml:space="preserve"> </w:t>
      </w:r>
      <w:r w:rsidR="002B20C2" w:rsidRPr="002B20C2">
        <w:rPr>
          <w:rStyle w:val="FootnoteReference"/>
          <w:rFonts w:ascii="Times New Roman" w:hAnsi="Times New Roman" w:cs="Times New Roman"/>
          <w:sz w:val="32"/>
          <w:szCs w:val="32"/>
          <w:lang w:val="en-US"/>
        </w:rPr>
        <w:footnoteReference w:id="4"/>
      </w:r>
      <w:r w:rsidR="00C46AC9" w:rsidRPr="002B20C2">
        <w:rPr>
          <w:rFonts w:ascii="Times New Roman" w:hAnsi="Times New Roman" w:cs="Times New Roman"/>
          <w:sz w:val="32"/>
          <w:szCs w:val="32"/>
          <w:lang w:val="en-US"/>
        </w:rPr>
        <w:t>. In total there are three of his original speeches that still survive all of which are for trails against his rival Demosthenes</w:t>
      </w:r>
      <w:r w:rsidR="00351A9E" w:rsidRPr="002B20C2">
        <w:rPr>
          <w:rFonts w:ascii="Times New Roman" w:hAnsi="Times New Roman" w:cs="Times New Roman"/>
          <w:sz w:val="32"/>
          <w:szCs w:val="32"/>
          <w:lang w:val="en-US"/>
        </w:rPr>
        <w:t xml:space="preserve">. </w:t>
      </w:r>
      <w:r w:rsidR="000D62F3" w:rsidRPr="002B20C2">
        <w:rPr>
          <w:rFonts w:ascii="Times New Roman" w:hAnsi="Times New Roman" w:cs="Times New Roman"/>
          <w:sz w:val="32"/>
          <w:szCs w:val="32"/>
          <w:lang w:val="en-US"/>
        </w:rPr>
        <w:t>Considering the nature of the source</w:t>
      </w:r>
      <w:r w:rsidR="00D93798" w:rsidRPr="002B20C2">
        <w:rPr>
          <w:rFonts w:ascii="Times New Roman" w:hAnsi="Times New Roman" w:cs="Times New Roman"/>
          <w:sz w:val="32"/>
          <w:szCs w:val="32"/>
          <w:lang w:val="en-US"/>
        </w:rPr>
        <w:t xml:space="preserve">, and the context surrounding it we can infer that </w:t>
      </w:r>
      <w:r w:rsidR="0003320D" w:rsidRPr="002B20C2">
        <w:rPr>
          <w:rFonts w:ascii="Times New Roman" w:hAnsi="Times New Roman" w:cs="Times New Roman"/>
          <w:sz w:val="32"/>
          <w:szCs w:val="32"/>
          <w:lang w:val="en-US"/>
        </w:rPr>
        <w:t xml:space="preserve">Aeschines would exaggerate so that the jurors would rule in his favor </w:t>
      </w:r>
      <w:r w:rsidR="00FC642E" w:rsidRPr="002B20C2">
        <w:rPr>
          <w:rFonts w:ascii="Times New Roman" w:hAnsi="Times New Roman" w:cs="Times New Roman"/>
          <w:sz w:val="32"/>
          <w:szCs w:val="32"/>
          <w:lang w:val="en-US"/>
        </w:rPr>
        <w:t>and in the case Against Timarchus this runs true as the outcome was that Aeschines won the case and Timarchus was disenfranchised.</w:t>
      </w:r>
      <w:r w:rsidR="00096B8B">
        <w:rPr>
          <w:rFonts w:ascii="Times New Roman" w:hAnsi="Times New Roman" w:cs="Times New Roman"/>
          <w:sz w:val="32"/>
          <w:szCs w:val="32"/>
          <w:lang w:val="en-US"/>
        </w:rPr>
        <w:t xml:space="preserve"> </w:t>
      </w:r>
      <w:r w:rsidR="002B20C2" w:rsidRPr="002B20C2">
        <w:rPr>
          <w:rFonts w:ascii="Times New Roman" w:hAnsi="Times New Roman" w:cs="Times New Roman"/>
          <w:sz w:val="32"/>
          <w:szCs w:val="32"/>
          <w:lang w:val="en-US"/>
        </w:rPr>
        <w:t xml:space="preserve">He charges Timarchus, not only from the courts but from all </w:t>
      </w:r>
      <w:r w:rsidR="00096B8B">
        <w:rPr>
          <w:rFonts w:ascii="Times New Roman" w:hAnsi="Times New Roman" w:cs="Times New Roman"/>
          <w:sz w:val="32"/>
          <w:szCs w:val="32"/>
          <w:lang w:val="en-US"/>
        </w:rPr>
        <w:t>“</w:t>
      </w:r>
      <w:r w:rsidR="002B20C2" w:rsidRPr="002B20C2">
        <w:rPr>
          <w:rFonts w:ascii="Times New Roman" w:hAnsi="Times New Roman" w:cs="Times New Roman"/>
          <w:sz w:val="32"/>
          <w:szCs w:val="32"/>
          <w:lang w:val="en-US"/>
        </w:rPr>
        <w:t>public and religious functions”</w:t>
      </w:r>
      <w:r w:rsidR="00587642" w:rsidRPr="00587642">
        <w:rPr>
          <w:rStyle w:val="FootnoteReference"/>
          <w:rFonts w:ascii="Times New Roman" w:hAnsi="Times New Roman" w:cs="Times New Roman"/>
          <w:sz w:val="32"/>
          <w:szCs w:val="32"/>
          <w:lang w:val="en-US"/>
        </w:rPr>
        <w:t xml:space="preserve"> </w:t>
      </w:r>
      <w:r w:rsidR="00587642" w:rsidRPr="002B20C2">
        <w:rPr>
          <w:rStyle w:val="FootnoteReference"/>
          <w:rFonts w:ascii="Times New Roman" w:hAnsi="Times New Roman" w:cs="Times New Roman"/>
          <w:sz w:val="32"/>
          <w:szCs w:val="32"/>
          <w:lang w:val="en-US"/>
        </w:rPr>
        <w:footnoteReference w:id="5"/>
      </w:r>
    </w:p>
    <w:p w14:paraId="51F4E29E" w14:textId="62C412AD" w:rsidR="00DF6036" w:rsidRPr="0076024F" w:rsidRDefault="001E2427" w:rsidP="006E060F">
      <w:pPr>
        <w:rPr>
          <w:rFonts w:ascii="Times New Roman" w:hAnsi="Times New Roman" w:cs="Times New Roman"/>
          <w:color w:val="0D0D0D" w:themeColor="text1" w:themeTint="F2"/>
          <w:sz w:val="32"/>
          <w:szCs w:val="32"/>
          <w:shd w:val="clear" w:color="auto" w:fill="FFFFFF"/>
        </w:rPr>
      </w:pPr>
      <w:r>
        <w:rPr>
          <w:rFonts w:ascii="Times New Roman" w:hAnsi="Times New Roman" w:cs="Times New Roman"/>
          <w:sz w:val="32"/>
          <w:szCs w:val="32"/>
          <w:lang w:val="en-US"/>
        </w:rPr>
        <w:t>The speech was written in 345 BCE and given before the court between 344 BCE and 343 BCE</w:t>
      </w:r>
      <w:r w:rsidR="00D50E46">
        <w:rPr>
          <w:rFonts w:ascii="Times New Roman" w:hAnsi="Times New Roman" w:cs="Times New Roman"/>
          <w:sz w:val="32"/>
          <w:szCs w:val="32"/>
          <w:lang w:val="en-US"/>
        </w:rPr>
        <w:t xml:space="preserve">, his other speech </w:t>
      </w:r>
      <w:r w:rsidR="00D50E46" w:rsidRPr="00D50E46">
        <w:rPr>
          <w:rFonts w:ascii="Times New Roman" w:hAnsi="Times New Roman" w:cs="Times New Roman"/>
          <w:color w:val="0D0D0D" w:themeColor="text1" w:themeTint="F2"/>
          <w:sz w:val="32"/>
          <w:szCs w:val="32"/>
          <w:lang w:val="en-US"/>
        </w:rPr>
        <w:t xml:space="preserve">Against </w:t>
      </w:r>
      <w:r w:rsidR="00D50E46" w:rsidRPr="00D50E46">
        <w:rPr>
          <w:rFonts w:ascii="Times New Roman" w:hAnsi="Times New Roman" w:cs="Times New Roman"/>
          <w:color w:val="0D0D0D" w:themeColor="text1" w:themeTint="F2"/>
          <w:sz w:val="32"/>
          <w:szCs w:val="32"/>
          <w:shd w:val="clear" w:color="auto" w:fill="FFFFFF"/>
        </w:rPr>
        <w:t>Ctesiphon</w:t>
      </w:r>
      <w:r w:rsidR="00D50E46">
        <w:rPr>
          <w:rFonts w:ascii="Times New Roman" w:hAnsi="Times New Roman" w:cs="Times New Roman"/>
          <w:sz w:val="32"/>
          <w:szCs w:val="32"/>
          <w:lang w:val="en-US"/>
        </w:rPr>
        <w:t xml:space="preserve"> </w:t>
      </w:r>
      <w:r w:rsidR="00070757">
        <w:rPr>
          <w:rFonts w:ascii="Times New Roman" w:hAnsi="Times New Roman" w:cs="Times New Roman"/>
          <w:sz w:val="32"/>
          <w:szCs w:val="32"/>
          <w:lang w:val="en-US"/>
        </w:rPr>
        <w:t xml:space="preserve">was given in 336, this was the last speech that Aeschines gave </w:t>
      </w:r>
      <w:r w:rsidR="00391450">
        <w:rPr>
          <w:rFonts w:ascii="Times New Roman" w:hAnsi="Times New Roman" w:cs="Times New Roman"/>
          <w:sz w:val="32"/>
          <w:szCs w:val="32"/>
          <w:lang w:val="en-US"/>
        </w:rPr>
        <w:t>to</w:t>
      </w:r>
      <w:r w:rsidR="00070757">
        <w:rPr>
          <w:rFonts w:ascii="Times New Roman" w:hAnsi="Times New Roman" w:cs="Times New Roman"/>
          <w:sz w:val="32"/>
          <w:szCs w:val="32"/>
          <w:lang w:val="en-US"/>
        </w:rPr>
        <w:t xml:space="preserve"> his rival Demosthenes</w:t>
      </w:r>
      <w:r w:rsidR="007859D8">
        <w:rPr>
          <w:rFonts w:ascii="Times New Roman" w:hAnsi="Times New Roman" w:cs="Times New Roman"/>
          <w:sz w:val="32"/>
          <w:szCs w:val="32"/>
          <w:lang w:val="en-US"/>
        </w:rPr>
        <w:t xml:space="preserve"> </w:t>
      </w:r>
      <w:r w:rsidR="00391450">
        <w:rPr>
          <w:rFonts w:ascii="Times New Roman" w:hAnsi="Times New Roman" w:cs="Times New Roman"/>
          <w:sz w:val="32"/>
          <w:szCs w:val="32"/>
          <w:lang w:val="en-US"/>
        </w:rPr>
        <w:t>however</w:t>
      </w:r>
      <w:r w:rsidR="007179AB">
        <w:rPr>
          <w:rFonts w:ascii="Times New Roman" w:hAnsi="Times New Roman" w:cs="Times New Roman"/>
          <w:sz w:val="32"/>
          <w:szCs w:val="32"/>
          <w:lang w:val="en-US"/>
        </w:rPr>
        <w:t xml:space="preserve"> Demosthenes countered with his </w:t>
      </w:r>
      <w:r w:rsidR="007179AB" w:rsidRPr="007179AB">
        <w:rPr>
          <w:rFonts w:ascii="Times New Roman" w:hAnsi="Times New Roman" w:cs="Times New Roman"/>
          <w:color w:val="0D0D0D" w:themeColor="text1" w:themeTint="F2"/>
          <w:sz w:val="32"/>
          <w:szCs w:val="32"/>
          <w:lang w:val="en-US"/>
        </w:rPr>
        <w:t xml:space="preserve">speech </w:t>
      </w:r>
      <w:r w:rsidR="007179AB" w:rsidRPr="007179AB">
        <w:rPr>
          <w:rFonts w:ascii="Times New Roman" w:hAnsi="Times New Roman" w:cs="Times New Roman"/>
          <w:color w:val="0D0D0D" w:themeColor="text1" w:themeTint="F2"/>
          <w:sz w:val="32"/>
          <w:szCs w:val="32"/>
          <w:shd w:val="clear" w:color="auto" w:fill="FFFFFF"/>
        </w:rPr>
        <w:t>On the Crown</w:t>
      </w:r>
      <w:r w:rsidR="00391450">
        <w:rPr>
          <w:rFonts w:ascii="Times New Roman" w:hAnsi="Times New Roman" w:cs="Times New Roman"/>
          <w:color w:val="0D0D0D" w:themeColor="text1" w:themeTint="F2"/>
          <w:sz w:val="32"/>
          <w:szCs w:val="32"/>
          <w:shd w:val="clear" w:color="auto" w:fill="FFFFFF"/>
        </w:rPr>
        <w:t xml:space="preserve"> which left </w:t>
      </w:r>
      <w:r w:rsidR="007179AB" w:rsidRPr="007179AB">
        <w:rPr>
          <w:rFonts w:ascii="Times New Roman" w:hAnsi="Times New Roman" w:cs="Times New Roman"/>
          <w:color w:val="0D0D0D" w:themeColor="text1" w:themeTint="F2"/>
          <w:sz w:val="32"/>
          <w:szCs w:val="32"/>
          <w:shd w:val="clear" w:color="auto" w:fill="FFFFFF"/>
        </w:rPr>
        <w:t>Aeschine</w:t>
      </w:r>
      <w:r w:rsidR="00391450">
        <w:rPr>
          <w:rFonts w:ascii="Times New Roman" w:hAnsi="Times New Roman" w:cs="Times New Roman"/>
          <w:color w:val="0D0D0D" w:themeColor="text1" w:themeTint="F2"/>
          <w:sz w:val="32"/>
          <w:szCs w:val="32"/>
          <w:shd w:val="clear" w:color="auto" w:fill="FFFFFF"/>
        </w:rPr>
        <w:t xml:space="preserve">s </w:t>
      </w:r>
      <w:r w:rsidR="007179AB" w:rsidRPr="007179AB">
        <w:rPr>
          <w:rFonts w:ascii="Times New Roman" w:hAnsi="Times New Roman" w:cs="Times New Roman"/>
          <w:color w:val="0D0D0D" w:themeColor="text1" w:themeTint="F2"/>
          <w:sz w:val="32"/>
          <w:szCs w:val="32"/>
          <w:shd w:val="clear" w:color="auto" w:fill="FFFFFF"/>
        </w:rPr>
        <w:t>discredited</w:t>
      </w:r>
      <w:r w:rsidR="00391450">
        <w:rPr>
          <w:rFonts w:ascii="Times New Roman" w:hAnsi="Times New Roman" w:cs="Times New Roman"/>
          <w:color w:val="0D0D0D" w:themeColor="text1" w:themeTint="F2"/>
          <w:sz w:val="32"/>
          <w:szCs w:val="32"/>
          <w:shd w:val="clear" w:color="auto" w:fill="FFFFFF"/>
        </w:rPr>
        <w:t xml:space="preserve"> and so he l</w:t>
      </w:r>
      <w:r w:rsidR="007179AB" w:rsidRPr="007179AB">
        <w:rPr>
          <w:rFonts w:ascii="Times New Roman" w:hAnsi="Times New Roman" w:cs="Times New Roman"/>
          <w:color w:val="0D0D0D" w:themeColor="text1" w:themeTint="F2"/>
          <w:sz w:val="32"/>
          <w:szCs w:val="32"/>
          <w:shd w:val="clear" w:color="auto" w:fill="FFFFFF"/>
        </w:rPr>
        <w:t>eft Athens and set up a school of rhetoric at Rhodes</w:t>
      </w:r>
    </w:p>
    <w:p w14:paraId="09C3087D" w14:textId="77777777" w:rsidR="00E6042D" w:rsidRDefault="008224EC" w:rsidP="006E060F">
      <w:pPr>
        <w:rPr>
          <w:rFonts w:ascii="Times New Roman" w:hAnsi="Times New Roman" w:cs="Times New Roman"/>
          <w:sz w:val="32"/>
          <w:szCs w:val="32"/>
          <w:lang w:val="en-US"/>
        </w:rPr>
      </w:pPr>
      <w:r w:rsidRPr="000E7035">
        <w:rPr>
          <w:rFonts w:ascii="Times New Roman" w:hAnsi="Times New Roman" w:cs="Times New Roman"/>
          <w:sz w:val="32"/>
          <w:szCs w:val="32"/>
          <w:lang w:val="en-US"/>
        </w:rPr>
        <w:lastRenderedPageBreak/>
        <w:t xml:space="preserve">This source is </w:t>
      </w:r>
      <w:r w:rsidR="009561FB" w:rsidRPr="000E7035">
        <w:rPr>
          <w:rFonts w:ascii="Times New Roman" w:hAnsi="Times New Roman" w:cs="Times New Roman"/>
          <w:sz w:val="32"/>
          <w:szCs w:val="32"/>
          <w:lang w:val="en-US"/>
        </w:rPr>
        <w:t>contemporary</w:t>
      </w:r>
      <w:r w:rsidR="009561FB">
        <w:rPr>
          <w:rFonts w:ascii="Times New Roman" w:hAnsi="Times New Roman" w:cs="Times New Roman"/>
          <w:sz w:val="32"/>
          <w:szCs w:val="32"/>
          <w:lang w:val="en-US"/>
        </w:rPr>
        <w:t xml:space="preserve">; however, its intended purpose was to win over the courts therefore it has an agenda. On the other hand, the speech itself is very useful in understanding what it meant to be a “good citizen” in ancient Greece as well as understanding the </w:t>
      </w:r>
      <w:r w:rsidR="006A6E9C">
        <w:rPr>
          <w:rFonts w:ascii="Times New Roman" w:hAnsi="Times New Roman" w:cs="Times New Roman"/>
          <w:sz w:val="32"/>
          <w:szCs w:val="32"/>
          <w:lang w:val="en-US"/>
        </w:rPr>
        <w:t xml:space="preserve">honor </w:t>
      </w:r>
      <w:r w:rsidR="00DE6D51">
        <w:rPr>
          <w:rFonts w:ascii="Times New Roman" w:hAnsi="Times New Roman" w:cs="Times New Roman"/>
          <w:sz w:val="32"/>
          <w:szCs w:val="32"/>
          <w:lang w:val="en-US"/>
        </w:rPr>
        <w:t xml:space="preserve">system as in the speech Demosthenes later goes on to accuse Aeschines of misconduct via bribery. </w:t>
      </w:r>
    </w:p>
    <w:p w14:paraId="5A90C2CB" w14:textId="615330CE" w:rsidR="00901A7B" w:rsidRDefault="00160971" w:rsidP="00CF3B2B">
      <w:pPr>
        <w:spacing w:before="240"/>
        <w:rPr>
          <w:rFonts w:ascii="Times New Roman" w:hAnsi="Times New Roman" w:cs="Times New Roman"/>
          <w:sz w:val="28"/>
          <w:szCs w:val="28"/>
          <w:lang w:val="en-US"/>
        </w:rPr>
      </w:pPr>
      <w:r>
        <w:rPr>
          <w:rFonts w:ascii="Times New Roman" w:hAnsi="Times New Roman" w:cs="Times New Roman"/>
          <w:sz w:val="32"/>
          <w:szCs w:val="32"/>
          <w:lang w:val="en-US"/>
        </w:rPr>
        <w:t xml:space="preserve">The ancient Greeks understanding of the words “Democracy”, “Oligarchy” and “Autocracy” were much different for example </w:t>
      </w:r>
      <w:r>
        <w:rPr>
          <w:rFonts w:ascii="Georgia" w:hAnsi="Georgia"/>
          <w:color w:val="222222"/>
          <w:sz w:val="30"/>
          <w:szCs w:val="30"/>
          <w:shd w:val="clear" w:color="auto" w:fill="FFFFFF"/>
        </w:rPr>
        <w:t>In early Athenian</w:t>
      </w:r>
      <w:r>
        <w:rPr>
          <w:rFonts w:ascii="Georgia" w:hAnsi="Georgia"/>
          <w:color w:val="222222"/>
          <w:sz w:val="30"/>
          <w:szCs w:val="30"/>
          <w:shd w:val="clear" w:color="auto" w:fill="FFFFFF"/>
        </w:rPr>
        <w:t xml:space="preserve"> democracy</w:t>
      </w:r>
      <w:r w:rsidR="00E10B76">
        <w:rPr>
          <w:rFonts w:ascii="Georgia" w:hAnsi="Georgia"/>
          <w:color w:val="222222"/>
          <w:sz w:val="30"/>
          <w:szCs w:val="30"/>
          <w:shd w:val="clear" w:color="auto" w:fill="FFFFFF"/>
        </w:rPr>
        <w:t xml:space="preserve"> was</w:t>
      </w:r>
      <w:r w:rsidRPr="00160971">
        <w:rPr>
          <w:rFonts w:ascii="Georgia" w:hAnsi="Georgia"/>
          <w:i/>
          <w:iCs/>
          <w:color w:val="222222"/>
          <w:sz w:val="30"/>
          <w:szCs w:val="30"/>
          <w:shd w:val="clear" w:color="auto" w:fill="FFFFFF"/>
        </w:rPr>
        <w:t> </w:t>
      </w:r>
      <w:r w:rsidR="00E10B76">
        <w:rPr>
          <w:rFonts w:ascii="Georgia" w:hAnsi="Georgia"/>
          <w:i/>
          <w:iCs/>
          <w:color w:val="222222"/>
          <w:sz w:val="30"/>
          <w:szCs w:val="30"/>
          <w:shd w:val="clear" w:color="auto" w:fill="FFFFFF"/>
        </w:rPr>
        <w:t>“</w:t>
      </w:r>
      <w:r>
        <w:rPr>
          <w:rFonts w:ascii="Georgia" w:hAnsi="Georgia"/>
          <w:color w:val="222222"/>
          <w:sz w:val="30"/>
          <w:szCs w:val="30"/>
          <w:shd w:val="clear" w:color="auto" w:fill="FFFFFF"/>
        </w:rPr>
        <w:t>the principle of democratic equality of all citizens applied</w:t>
      </w:r>
      <w:r>
        <w:rPr>
          <w:rFonts w:ascii="Georgia" w:hAnsi="Georgia"/>
          <w:color w:val="222222"/>
          <w:sz w:val="30"/>
          <w:szCs w:val="30"/>
          <w:shd w:val="clear" w:color="auto" w:fill="FFFFFF"/>
        </w:rPr>
        <w:t>”</w:t>
      </w:r>
      <w:r>
        <w:rPr>
          <w:rStyle w:val="FootnoteReference"/>
          <w:rFonts w:ascii="Georgia" w:hAnsi="Georgia"/>
          <w:color w:val="222222"/>
          <w:sz w:val="30"/>
          <w:szCs w:val="30"/>
          <w:shd w:val="clear" w:color="auto" w:fill="FFFFFF"/>
        </w:rPr>
        <w:footnoteReference w:id="6"/>
      </w:r>
      <w:r w:rsidR="00E10B76">
        <w:rPr>
          <w:rFonts w:ascii="Georgia" w:hAnsi="Georgia"/>
          <w:color w:val="222222"/>
          <w:sz w:val="30"/>
          <w:szCs w:val="30"/>
          <w:shd w:val="clear" w:color="auto" w:fill="FFFFFF"/>
        </w:rPr>
        <w:t xml:space="preserve"> which Aeschines uses in his speech, this could be for a range of different reasons such as to gain the audiences attention or to bring attention to his next statement, however from what democracy meant in ancient Greece this would have been an important subject to bring up at it as something that the Greeks held in high regard. In addition </w:t>
      </w:r>
      <w:r w:rsidR="00E10B76" w:rsidRPr="00F36E12">
        <w:rPr>
          <w:rFonts w:ascii="Times New Roman" w:hAnsi="Times New Roman" w:cs="Times New Roman"/>
          <w:color w:val="222222"/>
          <w:sz w:val="32"/>
          <w:szCs w:val="32"/>
          <w:shd w:val="clear" w:color="auto" w:fill="FFFFFF"/>
        </w:rPr>
        <w:t xml:space="preserve">to this </w:t>
      </w:r>
      <w:r w:rsidR="00F36E12" w:rsidRPr="00F36E12">
        <w:rPr>
          <w:rFonts w:ascii="Times New Roman" w:hAnsi="Times New Roman" w:cs="Times New Roman"/>
          <w:color w:val="222222"/>
          <w:sz w:val="32"/>
          <w:szCs w:val="32"/>
          <w:shd w:val="clear" w:color="auto" w:fill="FFFFFF"/>
        </w:rPr>
        <w:t xml:space="preserve">the way that they viewed “Oligarchy” was also different as </w:t>
      </w:r>
      <w:r w:rsidR="00F36E12">
        <w:rPr>
          <w:rFonts w:ascii="Times New Roman" w:hAnsi="Times New Roman" w:cs="Times New Roman"/>
          <w:color w:val="222222"/>
          <w:sz w:val="32"/>
          <w:szCs w:val="32"/>
          <w:shd w:val="clear" w:color="auto" w:fill="FFFFFF"/>
        </w:rPr>
        <w:t>an “</w:t>
      </w:r>
      <w:r w:rsidR="00F36E12" w:rsidRPr="00F36E12">
        <w:rPr>
          <w:rStyle w:val="hi"/>
          <w:rFonts w:ascii="Times New Roman" w:hAnsi="Times New Roman" w:cs="Times New Roman"/>
          <w:color w:val="000000"/>
          <w:sz w:val="32"/>
          <w:szCs w:val="32"/>
          <w:shd w:val="clear" w:color="auto" w:fill="D8D8D8"/>
        </w:rPr>
        <w:t>oligarchic</w:t>
      </w:r>
      <w:r w:rsidR="00F36E12" w:rsidRPr="00F36E12">
        <w:rPr>
          <w:rFonts w:ascii="Times New Roman" w:hAnsi="Times New Roman" w:cs="Times New Roman"/>
          <w:color w:val="000000"/>
          <w:sz w:val="32"/>
          <w:szCs w:val="32"/>
          <w:shd w:val="clear" w:color="auto" w:fill="FFFFFF"/>
        </w:rPr>
        <w:t> regime excluded some of the free population even from basic political rights</w:t>
      </w:r>
      <w:r w:rsidR="00F36E12">
        <w:rPr>
          <w:rFonts w:ascii="Times New Roman" w:hAnsi="Times New Roman" w:cs="Times New Roman"/>
          <w:color w:val="000000"/>
          <w:sz w:val="32"/>
          <w:szCs w:val="32"/>
          <w:shd w:val="clear" w:color="auto" w:fill="FFFFFF"/>
        </w:rPr>
        <w:t>”</w:t>
      </w:r>
      <w:r w:rsidR="00F36E12">
        <w:rPr>
          <w:rStyle w:val="FootnoteReference"/>
          <w:rFonts w:ascii="Times New Roman" w:hAnsi="Times New Roman" w:cs="Times New Roman"/>
          <w:color w:val="000000"/>
          <w:sz w:val="32"/>
          <w:szCs w:val="32"/>
          <w:shd w:val="clear" w:color="auto" w:fill="FFFFFF"/>
        </w:rPr>
        <w:footnoteReference w:id="7"/>
      </w:r>
      <w:r w:rsidR="00F36E12">
        <w:rPr>
          <w:rFonts w:ascii="Times New Roman" w:hAnsi="Times New Roman" w:cs="Times New Roman"/>
          <w:color w:val="000000"/>
          <w:sz w:val="32"/>
          <w:szCs w:val="32"/>
          <w:shd w:val="clear" w:color="auto" w:fill="FFFFFF"/>
        </w:rPr>
        <w:t xml:space="preserve">, This would have been a regime that appealed to citizens but as Athens was primarily a </w:t>
      </w:r>
      <w:r w:rsidR="00CF3B2B">
        <w:rPr>
          <w:rFonts w:ascii="Times New Roman" w:hAnsi="Times New Roman" w:cs="Times New Roman"/>
          <w:color w:val="000000"/>
          <w:sz w:val="32"/>
          <w:szCs w:val="32"/>
          <w:shd w:val="clear" w:color="auto" w:fill="FFFFFF"/>
        </w:rPr>
        <w:t>port city most of the residence was Metics (permanent foreigners)</w:t>
      </w:r>
      <w:bookmarkStart w:id="0" w:name="_GoBack"/>
      <w:bookmarkEnd w:id="0"/>
      <w:r w:rsidR="00CF3B2B">
        <w:rPr>
          <w:rFonts w:ascii="Times New Roman" w:hAnsi="Times New Roman" w:cs="Times New Roman"/>
          <w:color w:val="000000"/>
          <w:sz w:val="32"/>
          <w:szCs w:val="32"/>
          <w:shd w:val="clear" w:color="auto" w:fill="FFFFFF"/>
        </w:rPr>
        <w:t xml:space="preserve">  </w:t>
      </w:r>
      <w:r w:rsidR="00F36E12">
        <w:rPr>
          <w:rFonts w:ascii="Times New Roman" w:hAnsi="Times New Roman" w:cs="Times New Roman"/>
          <w:color w:val="000000"/>
          <w:sz w:val="32"/>
          <w:szCs w:val="32"/>
          <w:shd w:val="clear" w:color="auto" w:fill="FFFFFF"/>
        </w:rPr>
        <w:t>.</w:t>
      </w:r>
    </w:p>
    <w:p w14:paraId="25FB3ED8" w14:textId="32A6ACC7" w:rsidR="00DF6036" w:rsidRDefault="00DF6036" w:rsidP="006E060F">
      <w:pPr>
        <w:rPr>
          <w:rFonts w:ascii="Times New Roman" w:hAnsi="Times New Roman" w:cs="Times New Roman"/>
          <w:sz w:val="28"/>
          <w:szCs w:val="28"/>
          <w:lang w:val="en-US"/>
        </w:rPr>
      </w:pPr>
    </w:p>
    <w:p w14:paraId="3F3F0CA2" w14:textId="77777777" w:rsidR="00DF6036" w:rsidRPr="006E060F" w:rsidRDefault="00DF6036" w:rsidP="006E060F">
      <w:pPr>
        <w:rPr>
          <w:rFonts w:ascii="Times New Roman" w:hAnsi="Times New Roman" w:cs="Times New Roman"/>
          <w:sz w:val="28"/>
          <w:szCs w:val="28"/>
          <w:lang w:val="en-US"/>
        </w:rPr>
      </w:pPr>
    </w:p>
    <w:sdt>
      <w:sdtPr>
        <w:id w:val="123977134"/>
        <w:docPartObj>
          <w:docPartGallery w:val="Bibliographies"/>
          <w:docPartUnique/>
        </w:docPartObj>
      </w:sdtPr>
      <w:sdtEndPr>
        <w:rPr>
          <w:rFonts w:ascii="Times New Roman" w:eastAsiaTheme="minorHAnsi" w:hAnsi="Times New Roman" w:cs="Times New Roman"/>
          <w:color w:val="auto"/>
          <w:sz w:val="22"/>
          <w:szCs w:val="22"/>
          <w:lang w:val="en-GB"/>
        </w:rPr>
      </w:sdtEndPr>
      <w:sdtContent>
        <w:p w14:paraId="51EE147D" w14:textId="77777777" w:rsidR="00DF6036" w:rsidRPr="000B29A0" w:rsidRDefault="00DF6036" w:rsidP="00DF6036">
          <w:pPr>
            <w:pStyle w:val="Heading1"/>
            <w:rPr>
              <w:rFonts w:ascii="Times New Roman" w:hAnsi="Times New Roman" w:cs="Times New Roman"/>
            </w:rPr>
          </w:pPr>
          <w:r w:rsidRPr="000B29A0">
            <w:rPr>
              <w:rFonts w:ascii="Times New Roman" w:hAnsi="Times New Roman" w:cs="Times New Roman"/>
            </w:rPr>
            <w:t>Bibliography</w:t>
          </w:r>
        </w:p>
        <w:sdt>
          <w:sdtPr>
            <w:rPr>
              <w:rFonts w:ascii="Times New Roman" w:hAnsi="Times New Roman" w:cs="Times New Roman"/>
            </w:rPr>
            <w:id w:val="111145805"/>
            <w:bibliography/>
          </w:sdtPr>
          <w:sdtContent>
            <w:p w14:paraId="3C2B3780" w14:textId="77777777" w:rsidR="00F36E12" w:rsidRDefault="00DF6036" w:rsidP="00F36E12">
              <w:pPr>
                <w:pStyle w:val="Bibliography"/>
                <w:rPr>
                  <w:noProof/>
                  <w:sz w:val="24"/>
                  <w:szCs w:val="24"/>
                  <w:lang w:val="en-US"/>
                </w:rPr>
              </w:pPr>
              <w:r w:rsidRPr="000B29A0">
                <w:rPr>
                  <w:rFonts w:ascii="Times New Roman" w:hAnsi="Times New Roman" w:cs="Times New Roman"/>
                </w:rPr>
                <w:fldChar w:fldCharType="begin"/>
              </w:r>
              <w:r w:rsidRPr="000B29A0">
                <w:rPr>
                  <w:rFonts w:ascii="Times New Roman" w:hAnsi="Times New Roman" w:cs="Times New Roman"/>
                </w:rPr>
                <w:instrText xml:space="preserve"> BIBLIOGRAPHY </w:instrText>
              </w:r>
              <w:r w:rsidRPr="000B29A0">
                <w:rPr>
                  <w:rFonts w:ascii="Times New Roman" w:hAnsi="Times New Roman" w:cs="Times New Roman"/>
                </w:rPr>
                <w:fldChar w:fldCharType="separate"/>
              </w:r>
              <w:r w:rsidR="00F36E12">
                <w:rPr>
                  <w:noProof/>
                  <w:lang w:val="en-US"/>
                </w:rPr>
                <w:t xml:space="preserve">Aeschines, 1958. </w:t>
              </w:r>
              <w:r w:rsidR="00F36E12">
                <w:rPr>
                  <w:i/>
                  <w:iCs/>
                  <w:noProof/>
                  <w:lang w:val="en-US"/>
                </w:rPr>
                <w:t xml:space="preserve">The speeches of Aeschines : against Timarchus, on the embassy, against Ctesiphon. </w:t>
              </w:r>
              <w:r w:rsidR="00F36E12">
                <w:rPr>
                  <w:noProof/>
                  <w:lang w:val="en-US"/>
                </w:rPr>
                <w:t>s.l.:W. Heinemann.</w:t>
              </w:r>
            </w:p>
            <w:p w14:paraId="60FCF39A" w14:textId="77777777" w:rsidR="00F36E12" w:rsidRDefault="00F36E12" w:rsidP="00F36E12">
              <w:pPr>
                <w:pStyle w:val="Bibliography"/>
                <w:rPr>
                  <w:noProof/>
                  <w:lang w:val="en-US"/>
                </w:rPr>
              </w:pPr>
              <w:r>
                <w:rPr>
                  <w:noProof/>
                  <w:lang w:val="en-US"/>
                </w:rPr>
                <w:t xml:space="preserve">Gagarin, M., 2009. </w:t>
              </w:r>
              <w:r>
                <w:rPr>
                  <w:i/>
                  <w:iCs/>
                  <w:noProof/>
                  <w:lang w:val="en-US"/>
                </w:rPr>
                <w:t xml:space="preserve">The Oxford Encyclopedia of Ancient Greece and Rome. </w:t>
              </w:r>
              <w:r>
                <w:rPr>
                  <w:noProof/>
                  <w:lang w:val="en-US"/>
                </w:rPr>
                <w:t>s.l.: Oxford University Press.</w:t>
              </w:r>
            </w:p>
            <w:p w14:paraId="3594E96F" w14:textId="25CCCB9D" w:rsidR="00DF6036" w:rsidRPr="000B29A0" w:rsidRDefault="00DF6036" w:rsidP="00F36E12">
              <w:pPr>
                <w:rPr>
                  <w:rFonts w:ascii="Times New Roman" w:hAnsi="Times New Roman" w:cs="Times New Roman"/>
                </w:rPr>
              </w:pPr>
              <w:r w:rsidRPr="000B29A0">
                <w:rPr>
                  <w:rFonts w:ascii="Times New Roman" w:hAnsi="Times New Roman" w:cs="Times New Roman"/>
                  <w:b/>
                  <w:bCs/>
                  <w:noProof/>
                </w:rPr>
                <w:fldChar w:fldCharType="end"/>
              </w:r>
              <w:r w:rsidR="00F068E0" w:rsidRPr="000B29A0">
                <w:rPr>
                  <w:rFonts w:ascii="Times New Roman" w:hAnsi="Times New Roman" w:cs="Times New Roman"/>
                  <w:color w:val="000000"/>
                  <w:sz w:val="20"/>
                  <w:szCs w:val="20"/>
                  <w:shd w:val="clear" w:color="auto" w:fill="FFFFFF"/>
                </w:rPr>
                <w:t xml:space="preserve"> </w:t>
              </w:r>
              <w:r w:rsidR="00F068E0" w:rsidRPr="000B29A0">
                <w:rPr>
                  <w:rFonts w:ascii="Times New Roman" w:hAnsi="Times New Roman" w:cs="Times New Roman"/>
                  <w:color w:val="000000"/>
                  <w:sz w:val="20"/>
                  <w:szCs w:val="20"/>
                  <w:shd w:val="clear" w:color="auto" w:fill="FFFFFF"/>
                </w:rPr>
                <w:t>Aeschines. and Adams, C. (1968). </w:t>
              </w:r>
              <w:r w:rsidR="00F068E0" w:rsidRPr="000B29A0">
                <w:rPr>
                  <w:rFonts w:ascii="Times New Roman" w:hAnsi="Times New Roman" w:cs="Times New Roman"/>
                  <w:i/>
                  <w:iCs/>
                  <w:color w:val="000000"/>
                  <w:sz w:val="20"/>
                  <w:szCs w:val="20"/>
                  <w:shd w:val="clear" w:color="auto" w:fill="FFFFFF"/>
                </w:rPr>
                <w:t>The speeches of Aeschines</w:t>
              </w:r>
              <w:r w:rsidR="00F068E0" w:rsidRPr="000B29A0">
                <w:rPr>
                  <w:rFonts w:ascii="Times New Roman" w:hAnsi="Times New Roman" w:cs="Times New Roman"/>
                  <w:color w:val="000000"/>
                  <w:sz w:val="20"/>
                  <w:szCs w:val="20"/>
                  <w:shd w:val="clear" w:color="auto" w:fill="FFFFFF"/>
                </w:rPr>
                <w:t>. London: Heinemann.</w:t>
              </w:r>
            </w:p>
          </w:sdtContent>
        </w:sdt>
      </w:sdtContent>
    </w:sdt>
    <w:p w14:paraId="5A67221D" w14:textId="0C6B261A" w:rsidR="002C2118" w:rsidRPr="006E060F" w:rsidRDefault="002C2118">
      <w:pPr>
        <w:rPr>
          <w:lang w:val="en-US"/>
        </w:rPr>
      </w:pPr>
    </w:p>
    <w:sectPr w:rsidR="002C2118" w:rsidRPr="006E060F">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C350E" w14:textId="77777777" w:rsidR="0003320D" w:rsidRDefault="0003320D" w:rsidP="00901A7B">
      <w:pPr>
        <w:spacing w:after="0" w:line="240" w:lineRule="auto"/>
      </w:pPr>
      <w:r>
        <w:separator/>
      </w:r>
    </w:p>
  </w:endnote>
  <w:endnote w:type="continuationSeparator" w:id="0">
    <w:p w14:paraId="6018561A" w14:textId="77777777" w:rsidR="0003320D" w:rsidRDefault="0003320D" w:rsidP="00901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99A605" w14:textId="77777777" w:rsidR="0003320D" w:rsidRDefault="0003320D" w:rsidP="00901A7B">
      <w:pPr>
        <w:spacing w:after="0" w:line="240" w:lineRule="auto"/>
      </w:pPr>
      <w:r>
        <w:separator/>
      </w:r>
    </w:p>
  </w:footnote>
  <w:footnote w:type="continuationSeparator" w:id="0">
    <w:p w14:paraId="7836FEA3" w14:textId="77777777" w:rsidR="0003320D" w:rsidRDefault="0003320D" w:rsidP="00901A7B">
      <w:pPr>
        <w:spacing w:after="0" w:line="240" w:lineRule="auto"/>
      </w:pPr>
      <w:r>
        <w:continuationSeparator/>
      </w:r>
    </w:p>
  </w:footnote>
  <w:footnote w:id="1">
    <w:p w14:paraId="67722F82" w14:textId="3E2A248B" w:rsidR="00F068E0" w:rsidRPr="002B20C2" w:rsidRDefault="00F068E0">
      <w:pPr>
        <w:pStyle w:val="FootnoteText"/>
        <w:rPr>
          <w:rFonts w:ascii="Times New Roman" w:hAnsi="Times New Roman" w:cs="Times New Roman"/>
          <w:lang w:val="en-US"/>
        </w:rPr>
      </w:pPr>
      <w:r w:rsidRPr="002B20C2">
        <w:rPr>
          <w:rStyle w:val="FootnoteReference"/>
          <w:rFonts w:ascii="Times New Roman" w:hAnsi="Times New Roman" w:cs="Times New Roman"/>
        </w:rPr>
        <w:footnoteRef/>
      </w:r>
      <w:r w:rsidRPr="002B20C2">
        <w:rPr>
          <w:rFonts w:ascii="Times New Roman" w:hAnsi="Times New Roman" w:cs="Times New Roman"/>
        </w:rPr>
        <w:t xml:space="preserve"> </w:t>
      </w:r>
      <w:r w:rsidRPr="002B20C2">
        <w:rPr>
          <w:rFonts w:ascii="Times New Roman" w:hAnsi="Times New Roman" w:cs="Times New Roman"/>
          <w:lang w:val="en-US"/>
        </w:rPr>
        <w:t>Aeschin</w:t>
      </w:r>
      <w:r w:rsidRPr="002B20C2">
        <w:rPr>
          <w:rFonts w:ascii="Times New Roman" w:hAnsi="Times New Roman" w:cs="Times New Roman"/>
          <w:lang w:val="en-US"/>
        </w:rPr>
        <w:t>es</w:t>
      </w:r>
      <w:r w:rsidR="002F1DAF" w:rsidRPr="002B20C2">
        <w:rPr>
          <w:rFonts w:ascii="Times New Roman" w:hAnsi="Times New Roman" w:cs="Times New Roman"/>
          <w:lang w:val="en-US"/>
        </w:rPr>
        <w:t>, 1.5</w:t>
      </w:r>
    </w:p>
  </w:footnote>
  <w:footnote w:id="2">
    <w:p w14:paraId="7323D770" w14:textId="61004184" w:rsidR="002F1DAF" w:rsidRPr="002B20C2" w:rsidRDefault="002F1DAF">
      <w:pPr>
        <w:pStyle w:val="FootnoteText"/>
        <w:rPr>
          <w:rFonts w:ascii="Times New Roman" w:hAnsi="Times New Roman" w:cs="Times New Roman"/>
          <w:lang w:val="en-US"/>
        </w:rPr>
      </w:pPr>
      <w:r w:rsidRPr="002B20C2">
        <w:rPr>
          <w:rStyle w:val="FootnoteReference"/>
          <w:rFonts w:ascii="Times New Roman" w:hAnsi="Times New Roman" w:cs="Times New Roman"/>
        </w:rPr>
        <w:footnoteRef/>
      </w:r>
      <w:r w:rsidRPr="002B20C2">
        <w:rPr>
          <w:rFonts w:ascii="Times New Roman" w:hAnsi="Times New Roman" w:cs="Times New Roman"/>
        </w:rPr>
        <w:t xml:space="preserve"> </w:t>
      </w:r>
      <w:r w:rsidRPr="002B20C2">
        <w:rPr>
          <w:rFonts w:ascii="Times New Roman" w:hAnsi="Times New Roman" w:cs="Times New Roman"/>
          <w:lang w:val="en-US"/>
        </w:rPr>
        <w:t>Gagarin, 2010, p.21</w:t>
      </w:r>
    </w:p>
  </w:footnote>
  <w:footnote w:id="3">
    <w:p w14:paraId="6D7EA938" w14:textId="1EE8FF68" w:rsidR="002F1DAF" w:rsidRPr="002B20C2" w:rsidRDefault="002F1DAF">
      <w:pPr>
        <w:pStyle w:val="FootnoteText"/>
        <w:rPr>
          <w:rFonts w:ascii="Times New Roman" w:hAnsi="Times New Roman" w:cs="Times New Roman"/>
          <w:lang w:val="en-US"/>
        </w:rPr>
      </w:pPr>
      <w:r w:rsidRPr="002B20C2">
        <w:rPr>
          <w:rStyle w:val="FootnoteReference"/>
          <w:rFonts w:ascii="Times New Roman" w:hAnsi="Times New Roman" w:cs="Times New Roman"/>
        </w:rPr>
        <w:footnoteRef/>
      </w:r>
      <w:r w:rsidRPr="002B20C2">
        <w:rPr>
          <w:rFonts w:ascii="Times New Roman" w:hAnsi="Times New Roman" w:cs="Times New Roman"/>
        </w:rPr>
        <w:t xml:space="preserve"> </w:t>
      </w:r>
      <w:r w:rsidRPr="002B20C2">
        <w:rPr>
          <w:rFonts w:ascii="Times New Roman" w:hAnsi="Times New Roman" w:cs="Times New Roman"/>
          <w:lang w:val="en-US"/>
        </w:rPr>
        <w:t>Gagarin, 2010, p.21</w:t>
      </w:r>
    </w:p>
  </w:footnote>
  <w:footnote w:id="4">
    <w:p w14:paraId="18EC13AE" w14:textId="77777777" w:rsidR="002B20C2" w:rsidRPr="002B20C2" w:rsidRDefault="002B20C2" w:rsidP="002B20C2">
      <w:pPr>
        <w:pStyle w:val="FootnoteText"/>
        <w:rPr>
          <w:rFonts w:ascii="Times New Roman" w:hAnsi="Times New Roman" w:cs="Times New Roman"/>
          <w:lang w:val="en-US"/>
        </w:rPr>
      </w:pPr>
      <w:r w:rsidRPr="002B20C2">
        <w:rPr>
          <w:rStyle w:val="FootnoteReference"/>
          <w:rFonts w:ascii="Times New Roman" w:hAnsi="Times New Roman" w:cs="Times New Roman"/>
        </w:rPr>
        <w:footnoteRef/>
      </w:r>
      <w:r w:rsidRPr="002B20C2">
        <w:rPr>
          <w:rFonts w:ascii="Times New Roman" w:hAnsi="Times New Roman" w:cs="Times New Roman"/>
        </w:rPr>
        <w:t xml:space="preserve"> </w:t>
      </w:r>
      <w:r w:rsidRPr="002B20C2">
        <w:rPr>
          <w:rFonts w:ascii="Times New Roman" w:hAnsi="Times New Roman" w:cs="Times New Roman"/>
          <w:lang w:val="en-US"/>
        </w:rPr>
        <w:t>Gagarin, 2010, p.21</w:t>
      </w:r>
    </w:p>
  </w:footnote>
  <w:footnote w:id="5">
    <w:p w14:paraId="0F40CA33" w14:textId="77777777" w:rsidR="00587642" w:rsidRPr="002F1DAF" w:rsidRDefault="00587642" w:rsidP="00587642">
      <w:pPr>
        <w:pStyle w:val="FootnoteText"/>
        <w:rPr>
          <w:lang w:val="en-US"/>
        </w:rPr>
      </w:pPr>
      <w:r w:rsidRPr="002B20C2">
        <w:rPr>
          <w:rStyle w:val="FootnoteReference"/>
          <w:rFonts w:ascii="Times New Roman" w:hAnsi="Times New Roman" w:cs="Times New Roman"/>
        </w:rPr>
        <w:footnoteRef/>
      </w:r>
      <w:r w:rsidRPr="002B20C2">
        <w:rPr>
          <w:rFonts w:ascii="Times New Roman" w:hAnsi="Times New Roman" w:cs="Times New Roman"/>
        </w:rPr>
        <w:t xml:space="preserve"> </w:t>
      </w:r>
      <w:r w:rsidRPr="002B20C2">
        <w:rPr>
          <w:rFonts w:ascii="Times New Roman" w:hAnsi="Times New Roman" w:cs="Times New Roman"/>
          <w:noProof/>
          <w:lang w:val="en-US"/>
        </w:rPr>
        <w:t>Aeschines, 1958, p.3</w:t>
      </w:r>
    </w:p>
  </w:footnote>
  <w:footnote w:id="6">
    <w:p w14:paraId="4CA03F2D" w14:textId="61EAF496" w:rsidR="00160971" w:rsidRPr="00160971" w:rsidRDefault="00160971">
      <w:pPr>
        <w:pStyle w:val="FootnoteText"/>
        <w:rPr>
          <w:lang w:val="en-US"/>
        </w:rPr>
      </w:pPr>
      <w:r>
        <w:rPr>
          <w:rStyle w:val="FootnoteReference"/>
        </w:rPr>
        <w:footnoteRef/>
      </w:r>
      <w:r>
        <w:t xml:space="preserve"> </w:t>
      </w:r>
      <w:r w:rsidR="00E10B76">
        <w:rPr>
          <w:lang w:val="en-US"/>
        </w:rPr>
        <w:t>Dikastikos misthos, 2006</w:t>
      </w:r>
    </w:p>
  </w:footnote>
  <w:footnote w:id="7">
    <w:p w14:paraId="60DEB004" w14:textId="7AF492E4" w:rsidR="00F36E12" w:rsidRPr="00F36E12" w:rsidRDefault="00F36E12">
      <w:pPr>
        <w:pStyle w:val="FootnoteText"/>
        <w:rPr>
          <w:lang w:val="en-US"/>
        </w:rPr>
      </w:pPr>
      <w:r>
        <w:rPr>
          <w:rStyle w:val="FootnoteReference"/>
        </w:rPr>
        <w:footnoteRef/>
      </w:r>
      <w:r>
        <w:t xml:space="preserve"> </w:t>
      </w:r>
      <w:r>
        <w:rPr>
          <w:lang w:val="en-US"/>
        </w:rPr>
        <w:t>Hornblower, 2012, p.1036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60F"/>
    <w:rsid w:val="0003320D"/>
    <w:rsid w:val="00070757"/>
    <w:rsid w:val="00096B8B"/>
    <w:rsid w:val="000B29A0"/>
    <w:rsid w:val="000D62F3"/>
    <w:rsid w:val="000E7035"/>
    <w:rsid w:val="00160971"/>
    <w:rsid w:val="001E2427"/>
    <w:rsid w:val="002B20C2"/>
    <w:rsid w:val="002C2118"/>
    <w:rsid w:val="002F1DAF"/>
    <w:rsid w:val="00351A9E"/>
    <w:rsid w:val="0036455F"/>
    <w:rsid w:val="00391450"/>
    <w:rsid w:val="003B07B7"/>
    <w:rsid w:val="0044194C"/>
    <w:rsid w:val="00561065"/>
    <w:rsid w:val="00587642"/>
    <w:rsid w:val="00594C8C"/>
    <w:rsid w:val="006143FE"/>
    <w:rsid w:val="006A6E9C"/>
    <w:rsid w:val="006E060F"/>
    <w:rsid w:val="007179AB"/>
    <w:rsid w:val="0076024F"/>
    <w:rsid w:val="007859D8"/>
    <w:rsid w:val="008059BF"/>
    <w:rsid w:val="008224EC"/>
    <w:rsid w:val="00901A7B"/>
    <w:rsid w:val="009561FB"/>
    <w:rsid w:val="009D2837"/>
    <w:rsid w:val="00C46AC9"/>
    <w:rsid w:val="00C564FA"/>
    <w:rsid w:val="00CD4DA2"/>
    <w:rsid w:val="00CF3B2B"/>
    <w:rsid w:val="00D50E46"/>
    <w:rsid w:val="00D93798"/>
    <w:rsid w:val="00DE6D51"/>
    <w:rsid w:val="00DF6036"/>
    <w:rsid w:val="00E10B76"/>
    <w:rsid w:val="00E378BC"/>
    <w:rsid w:val="00E6042D"/>
    <w:rsid w:val="00E80E04"/>
    <w:rsid w:val="00F068E0"/>
    <w:rsid w:val="00F36E12"/>
    <w:rsid w:val="00FC6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134DE"/>
  <w15:chartTrackingRefBased/>
  <w15:docId w15:val="{E2B66742-90A1-4469-9CBE-07C62D34B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603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603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01A7B"/>
  </w:style>
  <w:style w:type="paragraph" w:styleId="FootnoteText">
    <w:name w:val="footnote text"/>
    <w:basedOn w:val="Normal"/>
    <w:link w:val="FootnoteTextChar"/>
    <w:uiPriority w:val="99"/>
    <w:semiHidden/>
    <w:unhideWhenUsed/>
    <w:rsid w:val="00901A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1A7B"/>
    <w:rPr>
      <w:sz w:val="20"/>
      <w:szCs w:val="20"/>
    </w:rPr>
  </w:style>
  <w:style w:type="character" w:styleId="FootnoteReference">
    <w:name w:val="footnote reference"/>
    <w:basedOn w:val="DefaultParagraphFont"/>
    <w:uiPriority w:val="99"/>
    <w:semiHidden/>
    <w:unhideWhenUsed/>
    <w:rsid w:val="00901A7B"/>
    <w:rPr>
      <w:vertAlign w:val="superscript"/>
    </w:rPr>
  </w:style>
  <w:style w:type="character" w:styleId="Emphasis">
    <w:name w:val="Emphasis"/>
    <w:basedOn w:val="DefaultParagraphFont"/>
    <w:uiPriority w:val="20"/>
    <w:qFormat/>
    <w:rsid w:val="00160971"/>
    <w:rPr>
      <w:i/>
      <w:iCs/>
    </w:rPr>
  </w:style>
  <w:style w:type="character" w:customStyle="1" w:styleId="hi">
    <w:name w:val="hi"/>
    <w:basedOn w:val="DefaultParagraphFont"/>
    <w:rsid w:val="00F36E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517909">
      <w:bodyDiv w:val="1"/>
      <w:marLeft w:val="0"/>
      <w:marRight w:val="0"/>
      <w:marTop w:val="0"/>
      <w:marBottom w:val="0"/>
      <w:divBdr>
        <w:top w:val="none" w:sz="0" w:space="0" w:color="auto"/>
        <w:left w:val="none" w:sz="0" w:space="0" w:color="auto"/>
        <w:bottom w:val="none" w:sz="0" w:space="0" w:color="auto"/>
        <w:right w:val="none" w:sz="0" w:space="0" w:color="auto"/>
      </w:divBdr>
    </w:div>
    <w:div w:id="164636541">
      <w:bodyDiv w:val="1"/>
      <w:marLeft w:val="0"/>
      <w:marRight w:val="0"/>
      <w:marTop w:val="0"/>
      <w:marBottom w:val="0"/>
      <w:divBdr>
        <w:top w:val="none" w:sz="0" w:space="0" w:color="auto"/>
        <w:left w:val="none" w:sz="0" w:space="0" w:color="auto"/>
        <w:bottom w:val="none" w:sz="0" w:space="0" w:color="auto"/>
        <w:right w:val="none" w:sz="0" w:space="0" w:color="auto"/>
      </w:divBdr>
    </w:div>
    <w:div w:id="198906651">
      <w:bodyDiv w:val="1"/>
      <w:marLeft w:val="0"/>
      <w:marRight w:val="0"/>
      <w:marTop w:val="0"/>
      <w:marBottom w:val="0"/>
      <w:divBdr>
        <w:top w:val="none" w:sz="0" w:space="0" w:color="auto"/>
        <w:left w:val="none" w:sz="0" w:space="0" w:color="auto"/>
        <w:bottom w:val="none" w:sz="0" w:space="0" w:color="auto"/>
        <w:right w:val="none" w:sz="0" w:space="0" w:color="auto"/>
      </w:divBdr>
    </w:div>
    <w:div w:id="297957445">
      <w:bodyDiv w:val="1"/>
      <w:marLeft w:val="0"/>
      <w:marRight w:val="0"/>
      <w:marTop w:val="0"/>
      <w:marBottom w:val="0"/>
      <w:divBdr>
        <w:top w:val="none" w:sz="0" w:space="0" w:color="auto"/>
        <w:left w:val="none" w:sz="0" w:space="0" w:color="auto"/>
        <w:bottom w:val="none" w:sz="0" w:space="0" w:color="auto"/>
        <w:right w:val="none" w:sz="0" w:space="0" w:color="auto"/>
      </w:divBdr>
    </w:div>
    <w:div w:id="353457275">
      <w:bodyDiv w:val="1"/>
      <w:marLeft w:val="0"/>
      <w:marRight w:val="0"/>
      <w:marTop w:val="0"/>
      <w:marBottom w:val="0"/>
      <w:divBdr>
        <w:top w:val="none" w:sz="0" w:space="0" w:color="auto"/>
        <w:left w:val="none" w:sz="0" w:space="0" w:color="auto"/>
        <w:bottom w:val="none" w:sz="0" w:space="0" w:color="auto"/>
        <w:right w:val="none" w:sz="0" w:space="0" w:color="auto"/>
      </w:divBdr>
    </w:div>
    <w:div w:id="422265819">
      <w:bodyDiv w:val="1"/>
      <w:marLeft w:val="0"/>
      <w:marRight w:val="0"/>
      <w:marTop w:val="0"/>
      <w:marBottom w:val="0"/>
      <w:divBdr>
        <w:top w:val="none" w:sz="0" w:space="0" w:color="auto"/>
        <w:left w:val="none" w:sz="0" w:space="0" w:color="auto"/>
        <w:bottom w:val="none" w:sz="0" w:space="0" w:color="auto"/>
        <w:right w:val="none" w:sz="0" w:space="0" w:color="auto"/>
      </w:divBdr>
    </w:div>
    <w:div w:id="623274184">
      <w:bodyDiv w:val="1"/>
      <w:marLeft w:val="0"/>
      <w:marRight w:val="0"/>
      <w:marTop w:val="0"/>
      <w:marBottom w:val="0"/>
      <w:divBdr>
        <w:top w:val="none" w:sz="0" w:space="0" w:color="auto"/>
        <w:left w:val="none" w:sz="0" w:space="0" w:color="auto"/>
        <w:bottom w:val="none" w:sz="0" w:space="0" w:color="auto"/>
        <w:right w:val="none" w:sz="0" w:space="0" w:color="auto"/>
      </w:divBdr>
    </w:div>
    <w:div w:id="655841325">
      <w:bodyDiv w:val="1"/>
      <w:marLeft w:val="0"/>
      <w:marRight w:val="0"/>
      <w:marTop w:val="0"/>
      <w:marBottom w:val="0"/>
      <w:divBdr>
        <w:top w:val="none" w:sz="0" w:space="0" w:color="auto"/>
        <w:left w:val="none" w:sz="0" w:space="0" w:color="auto"/>
        <w:bottom w:val="none" w:sz="0" w:space="0" w:color="auto"/>
        <w:right w:val="none" w:sz="0" w:space="0" w:color="auto"/>
      </w:divBdr>
    </w:div>
    <w:div w:id="667708062">
      <w:bodyDiv w:val="1"/>
      <w:marLeft w:val="0"/>
      <w:marRight w:val="0"/>
      <w:marTop w:val="0"/>
      <w:marBottom w:val="0"/>
      <w:divBdr>
        <w:top w:val="none" w:sz="0" w:space="0" w:color="auto"/>
        <w:left w:val="none" w:sz="0" w:space="0" w:color="auto"/>
        <w:bottom w:val="none" w:sz="0" w:space="0" w:color="auto"/>
        <w:right w:val="none" w:sz="0" w:space="0" w:color="auto"/>
      </w:divBdr>
    </w:div>
    <w:div w:id="991831528">
      <w:bodyDiv w:val="1"/>
      <w:marLeft w:val="0"/>
      <w:marRight w:val="0"/>
      <w:marTop w:val="0"/>
      <w:marBottom w:val="0"/>
      <w:divBdr>
        <w:top w:val="none" w:sz="0" w:space="0" w:color="auto"/>
        <w:left w:val="none" w:sz="0" w:space="0" w:color="auto"/>
        <w:bottom w:val="none" w:sz="0" w:space="0" w:color="auto"/>
        <w:right w:val="none" w:sz="0" w:space="0" w:color="auto"/>
      </w:divBdr>
    </w:div>
    <w:div w:id="1001153272">
      <w:bodyDiv w:val="1"/>
      <w:marLeft w:val="0"/>
      <w:marRight w:val="0"/>
      <w:marTop w:val="0"/>
      <w:marBottom w:val="0"/>
      <w:divBdr>
        <w:top w:val="none" w:sz="0" w:space="0" w:color="auto"/>
        <w:left w:val="none" w:sz="0" w:space="0" w:color="auto"/>
        <w:bottom w:val="none" w:sz="0" w:space="0" w:color="auto"/>
        <w:right w:val="none" w:sz="0" w:space="0" w:color="auto"/>
      </w:divBdr>
    </w:div>
    <w:div w:id="1062019903">
      <w:bodyDiv w:val="1"/>
      <w:marLeft w:val="0"/>
      <w:marRight w:val="0"/>
      <w:marTop w:val="0"/>
      <w:marBottom w:val="0"/>
      <w:divBdr>
        <w:top w:val="none" w:sz="0" w:space="0" w:color="auto"/>
        <w:left w:val="none" w:sz="0" w:space="0" w:color="auto"/>
        <w:bottom w:val="none" w:sz="0" w:space="0" w:color="auto"/>
        <w:right w:val="none" w:sz="0" w:space="0" w:color="auto"/>
      </w:divBdr>
    </w:div>
    <w:div w:id="1063870162">
      <w:bodyDiv w:val="1"/>
      <w:marLeft w:val="0"/>
      <w:marRight w:val="0"/>
      <w:marTop w:val="0"/>
      <w:marBottom w:val="0"/>
      <w:divBdr>
        <w:top w:val="none" w:sz="0" w:space="0" w:color="auto"/>
        <w:left w:val="none" w:sz="0" w:space="0" w:color="auto"/>
        <w:bottom w:val="none" w:sz="0" w:space="0" w:color="auto"/>
        <w:right w:val="none" w:sz="0" w:space="0" w:color="auto"/>
      </w:divBdr>
    </w:div>
    <w:div w:id="1263107436">
      <w:bodyDiv w:val="1"/>
      <w:marLeft w:val="0"/>
      <w:marRight w:val="0"/>
      <w:marTop w:val="0"/>
      <w:marBottom w:val="0"/>
      <w:divBdr>
        <w:top w:val="none" w:sz="0" w:space="0" w:color="auto"/>
        <w:left w:val="none" w:sz="0" w:space="0" w:color="auto"/>
        <w:bottom w:val="none" w:sz="0" w:space="0" w:color="auto"/>
        <w:right w:val="none" w:sz="0" w:space="0" w:color="auto"/>
      </w:divBdr>
    </w:div>
    <w:div w:id="1292056497">
      <w:bodyDiv w:val="1"/>
      <w:marLeft w:val="0"/>
      <w:marRight w:val="0"/>
      <w:marTop w:val="0"/>
      <w:marBottom w:val="0"/>
      <w:divBdr>
        <w:top w:val="none" w:sz="0" w:space="0" w:color="auto"/>
        <w:left w:val="none" w:sz="0" w:space="0" w:color="auto"/>
        <w:bottom w:val="none" w:sz="0" w:space="0" w:color="auto"/>
        <w:right w:val="none" w:sz="0" w:space="0" w:color="auto"/>
      </w:divBdr>
    </w:div>
    <w:div w:id="1320428064">
      <w:bodyDiv w:val="1"/>
      <w:marLeft w:val="0"/>
      <w:marRight w:val="0"/>
      <w:marTop w:val="0"/>
      <w:marBottom w:val="0"/>
      <w:divBdr>
        <w:top w:val="none" w:sz="0" w:space="0" w:color="auto"/>
        <w:left w:val="none" w:sz="0" w:space="0" w:color="auto"/>
        <w:bottom w:val="none" w:sz="0" w:space="0" w:color="auto"/>
        <w:right w:val="none" w:sz="0" w:space="0" w:color="auto"/>
      </w:divBdr>
    </w:div>
    <w:div w:id="1524439028">
      <w:bodyDiv w:val="1"/>
      <w:marLeft w:val="0"/>
      <w:marRight w:val="0"/>
      <w:marTop w:val="0"/>
      <w:marBottom w:val="0"/>
      <w:divBdr>
        <w:top w:val="none" w:sz="0" w:space="0" w:color="auto"/>
        <w:left w:val="none" w:sz="0" w:space="0" w:color="auto"/>
        <w:bottom w:val="none" w:sz="0" w:space="0" w:color="auto"/>
        <w:right w:val="none" w:sz="0" w:space="0" w:color="auto"/>
      </w:divBdr>
    </w:div>
    <w:div w:id="1682659118">
      <w:bodyDiv w:val="1"/>
      <w:marLeft w:val="0"/>
      <w:marRight w:val="0"/>
      <w:marTop w:val="0"/>
      <w:marBottom w:val="0"/>
      <w:divBdr>
        <w:top w:val="none" w:sz="0" w:space="0" w:color="auto"/>
        <w:left w:val="none" w:sz="0" w:space="0" w:color="auto"/>
        <w:bottom w:val="none" w:sz="0" w:space="0" w:color="auto"/>
        <w:right w:val="none" w:sz="0" w:space="0" w:color="auto"/>
      </w:divBdr>
    </w:div>
    <w:div w:id="1774130968">
      <w:bodyDiv w:val="1"/>
      <w:marLeft w:val="0"/>
      <w:marRight w:val="0"/>
      <w:marTop w:val="0"/>
      <w:marBottom w:val="0"/>
      <w:divBdr>
        <w:top w:val="none" w:sz="0" w:space="0" w:color="auto"/>
        <w:left w:val="none" w:sz="0" w:space="0" w:color="auto"/>
        <w:bottom w:val="none" w:sz="0" w:space="0" w:color="auto"/>
        <w:right w:val="none" w:sz="0" w:space="0" w:color="auto"/>
      </w:divBdr>
    </w:div>
    <w:div w:id="1820540346">
      <w:bodyDiv w:val="1"/>
      <w:marLeft w:val="0"/>
      <w:marRight w:val="0"/>
      <w:marTop w:val="0"/>
      <w:marBottom w:val="0"/>
      <w:divBdr>
        <w:top w:val="none" w:sz="0" w:space="0" w:color="auto"/>
        <w:left w:val="none" w:sz="0" w:space="0" w:color="auto"/>
        <w:bottom w:val="none" w:sz="0" w:space="0" w:color="auto"/>
        <w:right w:val="none" w:sz="0" w:space="0" w:color="auto"/>
      </w:divBdr>
    </w:div>
    <w:div w:id="1847817422">
      <w:bodyDiv w:val="1"/>
      <w:marLeft w:val="0"/>
      <w:marRight w:val="0"/>
      <w:marTop w:val="0"/>
      <w:marBottom w:val="0"/>
      <w:divBdr>
        <w:top w:val="none" w:sz="0" w:space="0" w:color="auto"/>
        <w:left w:val="none" w:sz="0" w:space="0" w:color="auto"/>
        <w:bottom w:val="none" w:sz="0" w:space="0" w:color="auto"/>
        <w:right w:val="none" w:sz="0" w:space="0" w:color="auto"/>
      </w:divBdr>
    </w:div>
    <w:div w:id="1848446161">
      <w:bodyDiv w:val="1"/>
      <w:marLeft w:val="0"/>
      <w:marRight w:val="0"/>
      <w:marTop w:val="0"/>
      <w:marBottom w:val="0"/>
      <w:divBdr>
        <w:top w:val="none" w:sz="0" w:space="0" w:color="auto"/>
        <w:left w:val="none" w:sz="0" w:space="0" w:color="auto"/>
        <w:bottom w:val="none" w:sz="0" w:space="0" w:color="auto"/>
        <w:right w:val="none" w:sz="0" w:space="0" w:color="auto"/>
      </w:divBdr>
    </w:div>
    <w:div w:id="1908882064">
      <w:bodyDiv w:val="1"/>
      <w:marLeft w:val="0"/>
      <w:marRight w:val="0"/>
      <w:marTop w:val="0"/>
      <w:marBottom w:val="0"/>
      <w:divBdr>
        <w:top w:val="none" w:sz="0" w:space="0" w:color="auto"/>
        <w:left w:val="none" w:sz="0" w:space="0" w:color="auto"/>
        <w:bottom w:val="none" w:sz="0" w:space="0" w:color="auto"/>
        <w:right w:val="none" w:sz="0" w:space="0" w:color="auto"/>
      </w:divBdr>
    </w:div>
    <w:div w:id="1924559440">
      <w:bodyDiv w:val="1"/>
      <w:marLeft w:val="0"/>
      <w:marRight w:val="0"/>
      <w:marTop w:val="0"/>
      <w:marBottom w:val="0"/>
      <w:divBdr>
        <w:top w:val="none" w:sz="0" w:space="0" w:color="auto"/>
        <w:left w:val="none" w:sz="0" w:space="0" w:color="auto"/>
        <w:bottom w:val="none" w:sz="0" w:space="0" w:color="auto"/>
        <w:right w:val="none" w:sz="0" w:space="0" w:color="auto"/>
      </w:divBdr>
    </w:div>
    <w:div w:id="1965037965">
      <w:bodyDiv w:val="1"/>
      <w:marLeft w:val="0"/>
      <w:marRight w:val="0"/>
      <w:marTop w:val="0"/>
      <w:marBottom w:val="0"/>
      <w:divBdr>
        <w:top w:val="none" w:sz="0" w:space="0" w:color="auto"/>
        <w:left w:val="none" w:sz="0" w:space="0" w:color="auto"/>
        <w:bottom w:val="none" w:sz="0" w:space="0" w:color="auto"/>
        <w:right w:val="none" w:sz="0" w:space="0" w:color="auto"/>
      </w:divBdr>
    </w:div>
    <w:div w:id="2034762560">
      <w:bodyDiv w:val="1"/>
      <w:marLeft w:val="0"/>
      <w:marRight w:val="0"/>
      <w:marTop w:val="0"/>
      <w:marBottom w:val="0"/>
      <w:divBdr>
        <w:top w:val="none" w:sz="0" w:space="0" w:color="auto"/>
        <w:left w:val="none" w:sz="0" w:space="0" w:color="auto"/>
        <w:bottom w:val="none" w:sz="0" w:space="0" w:color="auto"/>
        <w:right w:val="none" w:sz="0" w:space="0" w:color="auto"/>
      </w:divBdr>
    </w:div>
    <w:div w:id="2138908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Mic09</b:Tag>
    <b:SourceType>Book</b:SourceType>
    <b:Guid>{69358D37-9ACE-470D-9F43-4BED2934DD5E}</b:Guid>
    <b:Author>
      <b:Author>
        <b:NameList>
          <b:Person>
            <b:Last>Gagarin</b:Last>
            <b:First>Michael</b:First>
          </b:Person>
        </b:NameList>
      </b:Author>
    </b:Author>
    <b:Title>The Oxford Encyclopedia of Ancient Greece and Rome</b:Title>
    <b:Year>2009</b:Year>
    <b:Publisher> Oxford University Press</b:Publisher>
    <b:RefOrder>1</b:RefOrder>
  </b:Source>
  <b:Source>
    <b:Tag>Aes58</b:Tag>
    <b:SourceType>Book</b:SourceType>
    <b:Guid>{4E5A5B88-2B7D-403B-B5C6-33C532781FB6}</b:Guid>
    <b:Author>
      <b:Author>
        <b:NameList>
          <b:Person>
            <b:Last>Aeschines</b:Last>
          </b:Person>
        </b:NameList>
      </b:Author>
      <b:Translator>
        <b:NameList>
          <b:Person>
            <b:Last>Adams</b:Last>
            <b:First>Charles</b:First>
            <b:Middle>Darwin</b:Middle>
          </b:Person>
        </b:NameList>
      </b:Translator>
    </b:Author>
    <b:Title>The speeches of Aeschines : against Timarchus, on the embassy, against Ctesiphon</b:Title>
    <b:Year>1958</b:Year>
    <b:Publisher>W. Heinemann</b:Publisher>
    <b:RefOrder>2</b:RefOrder>
  </b:Source>
</b:Sources>
</file>

<file path=customXml/itemProps1.xml><?xml version="1.0" encoding="utf-8"?>
<ds:datastoreItem xmlns:ds="http://schemas.openxmlformats.org/officeDocument/2006/customXml" ds:itemID="{CAAA2EA9-3802-47CC-9624-72F00C3CA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1902</TotalTime>
  <Pages>2</Pages>
  <Words>464</Words>
  <Characters>2651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Vaughan</dc:creator>
  <cp:keywords/>
  <dc:description/>
  <cp:lastModifiedBy>Emily Vaughan</cp:lastModifiedBy>
  <cp:revision>9</cp:revision>
  <dcterms:created xsi:type="dcterms:W3CDTF">2019-10-01T14:54:00Z</dcterms:created>
  <dcterms:modified xsi:type="dcterms:W3CDTF">2019-10-02T22:36:00Z</dcterms:modified>
</cp:coreProperties>
</file>