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7C21" w:rsidRDefault="00137C21" w:rsidP="00137C21">
      <w:pPr>
        <w:spacing w:line="480" w:lineRule="auto"/>
        <w:jc w:val="both"/>
        <w:rPr>
          <w:sz w:val="28"/>
          <w:szCs w:val="28"/>
        </w:rPr>
      </w:pPr>
      <w:r>
        <w:rPr>
          <w:sz w:val="28"/>
          <w:szCs w:val="28"/>
        </w:rPr>
        <w:t>To keep adults and children safe from harm, neglect, and abuse, it is important for everyone to report any safety concerns. In Wales, the Social Services and Wellbeing (Wales) Act 2014 (SSWBA) sets out how to protect adults and children. This law led to the creation of the Wales Safeguarding Procedures in 2019 (WSP19), which explain the roles and responsibilities of those involved in safeguarding. In England, the Care Act 2014 focuses on adult safeguarding, while the Children Act 1989 is key to protecting children, including section 47 of the Children Act 1989 that applies in Wales (Social Care Wales, 2024).</w:t>
      </w:r>
    </w:p>
    <w:p w:rsidR="00137C21" w:rsidRDefault="00137C21" w:rsidP="00137C21">
      <w:pPr>
        <w:spacing w:line="480" w:lineRule="auto"/>
        <w:jc w:val="both"/>
        <w:rPr>
          <w:sz w:val="28"/>
          <w:szCs w:val="28"/>
        </w:rPr>
      </w:pPr>
    </w:p>
    <w:p w:rsidR="00137C21" w:rsidRDefault="00137C21" w:rsidP="00137C21">
      <w:pPr>
        <w:spacing w:line="480" w:lineRule="auto"/>
        <w:jc w:val="both"/>
        <w:rPr>
          <w:sz w:val="28"/>
          <w:szCs w:val="28"/>
        </w:rPr>
      </w:pPr>
      <w:r>
        <w:rPr>
          <w:sz w:val="28"/>
          <w:szCs w:val="28"/>
        </w:rPr>
        <w:t>The World Health Organization (2020) reports that about one in four adults has experienced some form of childhood abuse. Child safeguarding measures are designed to protect children from neglect, abuse, and exploitation while promoting their well-being. Adult safeguarding aims to prevent harm and abuse for those who may not be able to protect themselves (Hourglass, 2021). The "Working Together to Safeguard Children" framework encourages cooperation among different agencies (Department for Education, 2018), while Safeguarding Boards coordinate their efforts.</w:t>
      </w:r>
    </w:p>
    <w:p w:rsidR="00137C21" w:rsidRDefault="00137C21" w:rsidP="00137C21">
      <w:pPr>
        <w:spacing w:line="480" w:lineRule="auto"/>
        <w:jc w:val="both"/>
        <w:rPr>
          <w:sz w:val="28"/>
          <w:szCs w:val="28"/>
        </w:rPr>
      </w:pPr>
    </w:p>
    <w:p w:rsidR="00137C21" w:rsidRDefault="00137C21" w:rsidP="00137C21">
      <w:pPr>
        <w:spacing w:line="480" w:lineRule="auto"/>
        <w:jc w:val="both"/>
        <w:rPr>
          <w:sz w:val="28"/>
          <w:szCs w:val="28"/>
        </w:rPr>
      </w:pPr>
      <w:r>
        <w:rPr>
          <w:sz w:val="28"/>
          <w:szCs w:val="28"/>
        </w:rPr>
        <w:t xml:space="preserve">Adults have the right to make their own life decisions, so interventions usually require their consent unless they are deemed unable to make </w:t>
      </w:r>
      <w:r>
        <w:rPr>
          <w:sz w:val="28"/>
          <w:szCs w:val="28"/>
        </w:rPr>
        <w:lastRenderedPageBreak/>
        <w:t xml:space="preserve">those decisions (WSP19). This idea aligns with the SSWBA, which values adult independence. The Mental Capacity Act 2015 (MCA) does not apply to children under 16. Instead, </w:t>
      </w:r>
      <w:proofErr w:type="spellStart"/>
      <w:r>
        <w:rPr>
          <w:sz w:val="28"/>
          <w:szCs w:val="28"/>
        </w:rPr>
        <w:t>Gillick's</w:t>
      </w:r>
      <w:proofErr w:type="spellEnd"/>
      <w:r>
        <w:rPr>
          <w:sz w:val="28"/>
          <w:szCs w:val="28"/>
        </w:rPr>
        <w:t xml:space="preserve"> competency allows children to prove they can make informed choices when they understand the risks and consequences. Professionals should look into any past child protection issues and factors that might make a child more vulnerable to abuse (Munroe, 2019).</w:t>
      </w:r>
    </w:p>
    <w:p w:rsidR="00137C21" w:rsidRDefault="00137C21" w:rsidP="00137C21">
      <w:pPr>
        <w:spacing w:line="480" w:lineRule="auto"/>
        <w:jc w:val="both"/>
        <w:rPr>
          <w:sz w:val="28"/>
          <w:szCs w:val="28"/>
        </w:rPr>
      </w:pPr>
    </w:p>
    <w:p w:rsidR="00F34878" w:rsidRDefault="00137C21" w:rsidP="00137C21">
      <w:pPr>
        <w:spacing w:line="480" w:lineRule="auto"/>
        <w:jc w:val="both"/>
        <w:rPr>
          <w:sz w:val="24"/>
          <w:szCs w:val="24"/>
        </w:rPr>
      </w:pPr>
      <w:r>
        <w:rPr>
          <w:sz w:val="28"/>
          <w:szCs w:val="28"/>
        </w:rPr>
        <w:t>The MCA assumes that adults can make their own choices, including if those choices seem unwise, unless there is clear evidence suggesting otherwise. If an adult refuses to give consent, the investigation may stop unless there is proof of criminal activity (Rees et al., 2021). However, consent is not needed to act in cases of child abuse or neglect, as ensuring safety is the main priority (Children Act 1989). For adult safeguarding, courts can issue Adult Protection Support Orders to protect those unable to safeguard themselves. Both adults and children can ask a court for a Deprivation of Liberty to keep them safe. This process looks at the adult's ability to make decisions, listens to abuse claims, and clarifies their rights. For children, the priority is their well-being and respecting their rights to family life and freedom (Human Rights Act 1998).</w:t>
      </w:r>
    </w:p>
    <w:p w:rsidR="002F6543" w:rsidRDefault="00137C21" w:rsidP="00137C21">
      <w:pPr>
        <w:spacing w:line="480" w:lineRule="auto"/>
        <w:jc w:val="both"/>
      </w:pPr>
      <w:bookmarkStart w:id="0" w:name="_GoBack"/>
      <w:bookmarkEnd w:id="0"/>
    </w:p>
    <w:sectPr w:rsidR="002F65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4878"/>
    <w:rsid w:val="00137C21"/>
    <w:rsid w:val="009067EE"/>
    <w:rsid w:val="00B80318"/>
    <w:rsid w:val="00F34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5137F0"/>
  <w15:chartTrackingRefBased/>
  <w15:docId w15:val="{4C5B668C-B269-4ED5-B981-3DE5F28AE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4878"/>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2</Pages>
  <Words>397</Words>
  <Characters>2231</Characters>
  <Application>Microsoft Office Word</Application>
  <DocSecurity>0</DocSecurity>
  <Lines>41</Lines>
  <Paragraphs>3</Paragraphs>
  <ScaleCrop>false</ScaleCrop>
  <HeadingPairs>
    <vt:vector size="2" baseType="variant">
      <vt:variant>
        <vt:lpstr>Title</vt:lpstr>
      </vt:variant>
      <vt:variant>
        <vt:i4>1</vt:i4>
      </vt:variant>
    </vt:vector>
  </HeadingPairs>
  <TitlesOfParts>
    <vt:vector size="1" baseType="lpstr">
      <vt:lpstr/>
    </vt:vector>
  </TitlesOfParts>
  <Company>WCBC</Company>
  <LinksUpToDate>false</LinksUpToDate>
  <CharactersWithSpaces>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Lizzy Lloyd</dc:creator>
  <cp:keywords/>
  <dc:description/>
  <cp:lastModifiedBy>Lizzy Lloyd</cp:lastModifiedBy>
  <cp:revision>1</cp:revision>
  <dcterms:created xsi:type="dcterms:W3CDTF">2025-05-09T16:32:00Z</dcterms:created>
  <dcterms:modified xsi:type="dcterms:W3CDTF">2025-05-09T16:46:00Z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b6f50ee3-a189-4f04-a5f9-65962216c78d</vt:lpwstr>
  </property>
</Properties>
</file>