
<file path=[Content_Types].xml><?xml version="1.0" encoding="utf-8"?>
<Types xmlns="http://schemas.openxmlformats.org/package/2006/content-types">
  <Default Extension="fntdata" ContentType="application/x-fontdata"/>
  <Default Extension="jpeg" ContentType="image/jpeg"/>
  <Default Extension="png" ContentType="image/png"/>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ntTable.xml" ContentType="application/vnd.openxmlformats-officedocument.wordprocessingml.fontTable+xml"/>
  <Override PartName="/word/styles.xml" ContentType="application/vnd.openxmlformats-officedocument.wordprocessingml.styles+xml"/>
  <Override PartName="/word/numbering.xml" ContentType="application/vnd.openxmlformats-officedocument.wordprocessingml.numbering+xml"/>
  <Override PartName="/word/document.xml" ContentType="application/vnd.openxmlformats-officedocument.wordprocessingml.document.main+xml"/>
  <Override PartName="/word/charts/chart9.xml" ContentType="application/vnd.openxmlformats-officedocument.drawingml.chart+xml"/>
  <Override PartName="/word/charts/chart12.xml" ContentType="application/vnd.openxmlformats-officedocument.drawingml.chart+xml"/>
  <Override PartName="/word/charts/chart7.xml" ContentType="application/vnd.openxmlformats-officedocument.drawingml.chart+xml"/>
  <Override PartName="/word/charts/chart6.xml" ContentType="application/vnd.openxmlformats-officedocument.drawingml.chart+xml"/>
  <Override PartName="/word/charts/chart10.xml" ContentType="application/vnd.openxmlformats-officedocument.drawingml.chart+xml"/>
  <Override PartName="/word/charts/chart5.xml" ContentType="application/vnd.openxmlformats-officedocument.drawingml.chart+xml"/>
  <Override PartName="/word/charts/chart4.xml" ContentType="application/vnd.openxmlformats-officedocument.drawingml.chart+xml"/>
  <Override PartName="/word/charts/chart3.xml" ContentType="application/vnd.openxmlformats-officedocument.drawingml.chart+xml"/>
  <Override PartName="/word/charts/chart22.xml" ContentType="application/vnd.openxmlformats-officedocument.drawingml.chart+xml"/>
  <Override PartName="/word/charts/chart23.xml" ContentType="application/vnd.openxmlformats-officedocument.drawingml.chart+xml"/>
  <Override PartName="/word/charts/chart19.xml" ContentType="application/vnd.openxmlformats-officedocument.drawingml.chart+xml"/>
  <Override PartName="/word/charts/chart20.xml" ContentType="application/vnd.openxmlformats-officedocument.drawingml.chart+xml"/>
  <Override PartName="/word/charts/chart11.xml" ContentType="application/vnd.openxmlformats-officedocument.drawingml.chart+xml"/>
  <Override PartName="/word/charts/chart15.xml" ContentType="application/vnd.openxmlformats-officedocument.drawingml.chart+xml"/>
  <Override PartName="/word/charts/chart18.xml" ContentType="application/vnd.openxmlformats-officedocument.drawingml.chart+xml"/>
  <Override PartName="/word/charts/chart13.xml" ContentType="application/vnd.openxmlformats-officedocument.drawingml.chart+xml"/>
  <Override PartName="/word/charts/chart16.xml" ContentType="application/vnd.openxmlformats-officedocument.drawingml.chart+xml"/>
  <Override PartName="/word/charts/chart21.xml" ContentType="application/vnd.openxmlformats-officedocument.drawingml.chart+xml"/>
  <Override PartName="/word/charts/chart17.xml" ContentType="application/vnd.openxmlformats-officedocument.drawingml.chart+xml"/>
  <Override PartName="/word/charts/chart14.xml" ContentType="application/vnd.openxmlformats-officedocument.drawingml.chart+xml"/>
  <Override PartName="/word/charts/chart1.xml" ContentType="application/vnd.openxmlformats-officedocument.drawingml.chart+xml"/>
  <Override PartName="/word/charts/chart8.xml" ContentType="application/vnd.openxmlformats-officedocument.drawingml.chart+xml"/>
  <Override PartName="/word/charts/chart2.xml" ContentType="application/vnd.openxmlformats-officedocument.drawingml.chart+xml"/>
  <Override PartName="/word/theme/theme1.xml" ContentType="application/vnd.openxmlformats-officedocument.theme+xml"/>
  <Override PartName="/word/footer3.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settings.xml" ContentType="application/vnd.openxmlformats-officedocument.wordprocessingml.settings+xml"/>
  <Override PartName="/word/footer1.xml" ContentType="application/vnd.openxmlformats-officedocument.wordprocessingml.footer+xml"/>
  <Override PartName="/word/header3.xml" ContentType="application/vnd.openxmlformats-officedocument.wordprocessingml.header+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p>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p>
    <w:p>
      <w:pPr>
        <w:pStyle w:val="Normal"/>
        <w:bidi w:val="0"/>
        <w:spacing w:lineRule="auto" w:line="276" w:before="0" w:after="200"/>
        <w:jc w:val="center"/>
        <w:rPr>
          <w:rFonts w:ascii="Arial" w:hAnsi="Arial"/>
        </w:rPr>
      </w:pPr>
      <w:r>
        <w:rPr>
          <w:rFonts w:eastAsia="Times New Roman" w:cs="Times New Roman"/>
          <w:b/>
          <w:sz w:val="24"/>
          <w:szCs w:val="24"/>
        </w:rPr>
        <w:t>UNIVERSITY OF WALES TRINITY SAINT DAVID</w:t>
      </w:r>
    </w:p>
    <w:p>
      <w:pPr>
        <w:pStyle w:val="Normal"/>
        <w:bidi w:val="0"/>
        <w:spacing w:lineRule="auto" w:line="276" w:before="0" w:after="200"/>
        <w:jc w:val="center"/>
        <w:rPr>
          <w:rFonts w:ascii="Arial" w:hAnsi="Arial"/>
        </w:rPr>
      </w:pPr>
      <w:r>
        <w:rPr/>
      </w:r>
    </w:p>
    <w:p>
      <w:pPr>
        <w:pStyle w:val="Normal"/>
        <w:bidi w:val="0"/>
        <w:spacing w:lineRule="auto" w:line="276" w:before="0" w:after="200"/>
        <w:jc w:val="center"/>
        <w:rPr>
          <w:rFonts w:ascii="Arial" w:hAnsi="Arial"/>
        </w:rPr>
      </w:pPr>
      <w:r>
        <w:rPr>
          <w:rFonts w:eastAsia="Times New Roman" w:cs="Times New Roman"/>
          <w:b/>
          <w:sz w:val="24"/>
          <w:szCs w:val="24"/>
        </w:rPr>
        <w:t>Master of Business Administration (MBA)</w:t>
      </w:r>
    </w:p>
    <w:p>
      <w:pPr>
        <w:pStyle w:val="Normal"/>
        <w:bidi w:val="0"/>
        <w:spacing w:lineRule="auto" w:line="276" w:before="0" w:after="200"/>
        <w:jc w:val="center"/>
        <w:rPr>
          <w:rFonts w:ascii="Arial" w:hAnsi="Arial"/>
        </w:rPr>
      </w:pPr>
      <w:r>
        <w:rPr/>
      </w:r>
    </w:p>
    <w:p>
      <w:pPr>
        <w:pStyle w:val="Normal"/>
        <w:bidi w:val="0"/>
        <w:spacing w:lineRule="auto" w:line="276" w:before="0" w:after="200"/>
        <w:jc w:val="center"/>
        <w:rPr>
          <w:rFonts w:ascii="Arial" w:hAnsi="Arial"/>
        </w:rPr>
      </w:pPr>
      <w:r>
        <w:rPr>
          <w:rFonts w:eastAsia="Times New Roman" w:cs="Times New Roman"/>
          <w:b/>
          <w:sz w:val="24"/>
          <w:szCs w:val="24"/>
        </w:rPr>
        <w:t>Assessment component -</w:t>
      </w:r>
    </w:p>
    <w:p>
      <w:pPr>
        <w:pStyle w:val="Normal"/>
        <w:bidi w:val="0"/>
        <w:spacing w:lineRule="auto" w:line="276" w:before="0" w:after="200"/>
        <w:jc w:val="center"/>
        <w:rPr>
          <w:rFonts w:ascii="Arial" w:hAnsi="Arial"/>
        </w:rPr>
      </w:pPr>
      <w:r>
        <w:rPr>
          <w:rFonts w:eastAsia="Times New Roman" w:cs="Times New Roman"/>
          <w:b/>
          <w:sz w:val="24"/>
          <w:szCs w:val="24"/>
        </w:rPr>
        <w:t>Financial performance and management</w:t>
      </w:r>
    </w:p>
    <w:p>
      <w:pPr>
        <w:pStyle w:val="Normal"/>
        <w:spacing w:lineRule="auto" w:line="276" w:before="0" w:after="200"/>
        <w:jc w:val="center"/>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spacing w:lineRule="auto" w:line="276" w:before="0" w:after="200"/>
        <w:jc w:val="center"/>
        <w:rPr>
          <w:rFonts w:ascii="Arial" w:hAnsi="Arial"/>
        </w:rPr>
      </w:pPr>
      <w:r>
        <w:rPr>
          <w:rFonts w:eastAsia="Times New Roman" w:cs="Times New Roman"/>
          <w:b/>
          <w:sz w:val="24"/>
          <w:szCs w:val="24"/>
        </w:rPr>
        <w:t xml:space="preserve">Student Name - </w:t>
      </w:r>
      <w:r>
        <w:rPr>
          <w:rFonts w:eastAsia="Times New Roman" w:cs="Times New Roman"/>
          <w:b w:val="false"/>
          <w:bCs w:val="false"/>
          <w:sz w:val="24"/>
          <w:szCs w:val="24"/>
        </w:rPr>
        <w:t>Krishna Lakhu Khunti</w:t>
      </w:r>
    </w:p>
    <w:p>
      <w:pPr>
        <w:pStyle w:val="Normal"/>
        <w:bidi w:val="0"/>
        <w:spacing w:lineRule="auto" w:line="276" w:before="0" w:after="200"/>
        <w:jc w:val="center"/>
        <w:rPr>
          <w:rFonts w:ascii="Arial" w:hAnsi="Arial"/>
        </w:rPr>
      </w:pPr>
      <w:r>
        <w:rPr>
          <w:rFonts w:eastAsia="Times New Roman" w:cs="Times New Roman"/>
          <w:b/>
          <w:sz w:val="24"/>
          <w:szCs w:val="24"/>
        </w:rPr>
        <w:t xml:space="preserve">Student ID - </w:t>
      </w:r>
      <w:r>
        <w:rPr>
          <w:rFonts w:eastAsia="Times New Roman" w:cs="Times New Roman"/>
          <w:b w:val="false"/>
          <w:bCs w:val="false"/>
          <w:sz w:val="24"/>
          <w:szCs w:val="24"/>
        </w:rPr>
        <w:t>2515605</w:t>
      </w:r>
      <w:r>
        <w:rPr>
          <w:rFonts w:eastAsia="Times New Roman" w:cs="Times New Roman"/>
          <w:b/>
          <w:sz w:val="24"/>
          <w:szCs w:val="24"/>
        </w:rPr>
        <w:br/>
        <w:t>Module Name -</w:t>
      </w:r>
      <w:r>
        <w:rPr>
          <w:rFonts w:eastAsia="Times New Roman" w:cs="Times New Roman"/>
          <w:b w:val="false"/>
          <w:bCs w:val="false"/>
          <w:sz w:val="24"/>
          <w:szCs w:val="24"/>
        </w:rPr>
        <w:t xml:space="preserve"> Financial Management</w:t>
      </w:r>
    </w:p>
    <w:p>
      <w:pPr>
        <w:pStyle w:val="Normal"/>
        <w:spacing w:lineRule="auto" w:line="276" w:before="0" w:after="200"/>
        <w:jc w:val="center"/>
        <w:rPr>
          <w:rFonts w:ascii="Arial" w:hAnsi="Arial"/>
        </w:rPr>
      </w:pPr>
      <w:r>
        <w:rPr>
          <w:rFonts w:eastAsia="Times New Roman" w:cs="Times New Roman"/>
          <w:b/>
          <w:sz w:val="24"/>
          <w:szCs w:val="24"/>
        </w:rPr>
        <w:t xml:space="preserve">Module Code - </w:t>
      </w:r>
      <w:r>
        <w:rPr>
          <w:rFonts w:eastAsia="Times New Roman" w:cs="Times New Roman"/>
          <w:b w:val="false"/>
          <w:bCs w:val="false"/>
          <w:sz w:val="24"/>
          <w:szCs w:val="24"/>
        </w:rPr>
        <w:t>LCMB7002</w:t>
      </w:r>
    </w:p>
    <w:p>
      <w:pPr>
        <w:pStyle w:val="Normal"/>
        <w:spacing w:lineRule="auto" w:line="276" w:before="0" w:after="200"/>
        <w:jc w:val="center"/>
        <w:rPr>
          <w:rFonts w:ascii="Arial" w:hAnsi="Arial"/>
        </w:rPr>
      </w:pPr>
      <w:r>
        <w:rPr>
          <w:rFonts w:eastAsia="Times New Roman" w:cs="Times New Roman"/>
          <w:b/>
          <w:sz w:val="24"/>
          <w:szCs w:val="24"/>
        </w:rPr>
        <w:t>Lecturers -</w:t>
      </w:r>
      <w:r>
        <w:rPr>
          <w:sz w:val="24"/>
          <w:szCs w:val="24"/>
        </w:rPr>
        <w:t xml:space="preserve"> Shengfeng Mei</w:t>
      </w:r>
    </w:p>
    <w:p>
      <w:pPr>
        <w:pStyle w:val="Normal"/>
        <w:spacing w:lineRule="auto" w:line="276" w:before="0" w:after="200"/>
        <w:jc w:val="center"/>
        <w:rPr>
          <w:rFonts w:ascii="Arial" w:hAnsi="Arial"/>
        </w:rPr>
      </w:pPr>
      <w:r>
        <w:rPr>
          <w:sz w:val="24"/>
          <w:szCs w:val="24"/>
        </w:rPr>
        <w:t>Patrick Yeboah</w:t>
      </w:r>
    </w:p>
    <w:p>
      <w:pPr>
        <w:pStyle w:val="Normal"/>
        <w:spacing w:lineRule="auto" w:line="276" w:before="0" w:after="200"/>
        <w:jc w:val="center"/>
        <w:rPr>
          <w:rFonts w:ascii="Arial" w:hAnsi="Arial"/>
        </w:rPr>
      </w:pPr>
      <w:r>
        <w:rPr>
          <w:rFonts w:eastAsia="Times New Roman" w:cs="Times New Roman"/>
          <w:b/>
          <w:sz w:val="24"/>
          <w:szCs w:val="24"/>
        </w:rPr>
        <w:t xml:space="preserve">Word Count - </w:t>
      </w:r>
      <w:r>
        <w:rPr>
          <w:sz w:val="24"/>
          <w:szCs w:val="24"/>
        </w:rPr>
        <w:t xml:space="preserve">5000 words (± 10%) </w:t>
      </w:r>
    </w:p>
    <w:p>
      <w:pPr>
        <w:pStyle w:val="Normal"/>
        <w:spacing w:lineRule="auto" w:line="276" w:before="0" w:after="200"/>
        <w:jc w:val="center"/>
        <w:rPr>
          <w:rFonts w:ascii="Arial" w:hAnsi="Arial"/>
        </w:rPr>
      </w:pPr>
      <w:r>
        <w:rPr>
          <w:rFonts w:eastAsia="Times New Roman" w:cs="Times New Roman"/>
          <w:b w:val="false"/>
          <w:bCs w:val="false"/>
          <w:sz w:val="24"/>
          <w:szCs w:val="24"/>
        </w:rPr>
        <w:t>Term 1</w:t>
      </w:r>
    </w:p>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p>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r>
        <w:br w:type="page"/>
      </w:r>
    </w:p>
    <w:p>
      <w:pPr>
        <w:pStyle w:val="Normal"/>
        <w:spacing w:lineRule="auto" w:line="360" w:before="0" w:after="200"/>
        <w:jc w:val="center"/>
        <w:rPr>
          <w:rFonts w:ascii="Arial" w:hAnsi="Arial"/>
        </w:rPr>
      </w:pPr>
      <w:r>
        <w:rPr>
          <w:rFonts w:eastAsia="Times New Roman" w:cs="Times New Roman"/>
          <w:b/>
          <w:sz w:val="24"/>
          <w:szCs w:val="24"/>
        </w:rPr>
        <w:t>Table of contents</w:t>
      </w:r>
    </w:p>
    <w:sdt>
      <w:sdtPr>
        <w:docPartObj>
          <w:docPartGallery w:val="Table of Contents"/>
          <w:docPartUnique w:val="true"/>
        </w:docPartObj>
      </w:sdtPr>
      <w:sdtContent>
        <w:p>
          <w:pPr>
            <w:pStyle w:val="TOC1"/>
            <w:tabs>
              <w:tab w:val="clear" w:pos="720"/>
              <w:tab w:val="right" w:pos="9350" w:leader="dot"/>
            </w:tabs>
            <w:spacing w:lineRule="auto" w:line="360"/>
            <w:jc w:val="both"/>
            <w:rPr>
              <w:rFonts w:ascii="Cambria" w:hAnsi="Cambria"/>
              <w:sz w:val="24"/>
              <w:lang w:val="en-IN"/>
            </w:rPr>
          </w:pPr>
          <w:r>
            <w:fldChar w:fldCharType="begin"/>
          </w:r>
          <w:r>
            <w:rPr>
              <w:vanish w:val="false"/>
              <w:sz w:val="24"/>
            </w:rPr>
            <w:instrText xml:space="preserve"> TOC \z \o "1-9" \u \t "heading 1,1,heading 2,2,heading 3,3,heading 4,4,heading 5,5,heading 6,6" \h</w:instrText>
          </w:r>
          <w:r>
            <w:rPr>
              <w:vanish w:val="false"/>
              <w:sz w:val="24"/>
            </w:rPr>
            <w:fldChar w:fldCharType="separate"/>
          </w:r>
          <w:r>
            <w:rPr>
              <w:vanish w:val="false"/>
              <w:sz w:val="24"/>
            </w:rPr>
            <w:t>1</w:t>
          </w:r>
          <w:hyperlink w:anchor="_Toc213703055">
            <w:r>
              <w:rPr>
                <w:rStyle w:val="IndexLink"/>
                <w:vanish w:val="false"/>
                <w:webHidden/>
                <w:sz w:val="24"/>
              </w:rPr>
              <w:t>. Financial Health Check</w:t>
            </w:r>
          </w:hyperlink>
          <w:r>
            <w:rPr>
              <w:vanish w:val="false"/>
              <w:sz w:val="24"/>
            </w:rPr>
            <w:t xml:space="preserve"> ......................................................................................    3</w:t>
          </w:r>
        </w:p>
        <w:p>
          <w:pPr>
            <w:pStyle w:val="TOC2"/>
            <w:tabs>
              <w:tab w:val="clear" w:pos="720"/>
              <w:tab w:val="right" w:pos="9350" w:leader="dot"/>
            </w:tabs>
            <w:spacing w:lineRule="auto" w:line="360"/>
            <w:jc w:val="both"/>
            <w:rPr>
              <w:rFonts w:ascii="Cambria" w:hAnsi="Cambria"/>
              <w:sz w:val="24"/>
              <w:lang w:val="en-IN"/>
            </w:rPr>
          </w:pPr>
          <w:r>
            <w:rPr>
              <w:vanish w:val="false"/>
              <w:sz w:val="24"/>
            </w:rPr>
            <w:t>1</w:t>
          </w:r>
          <w:hyperlink w:anchor="_Toc213703056">
            <w:r>
              <w:rPr>
                <w:rStyle w:val="IndexLink"/>
                <w:vanish w:val="false"/>
                <w:webHidden/>
                <w:sz w:val="24"/>
              </w:rPr>
              <w:t xml:space="preserve">.1 </w:t>
            </w:r>
            <w:r>
              <w:rPr>
                <w:rStyle w:val="IndexLink"/>
                <w:vanish w:val="false"/>
                <w:sz w:val="24"/>
              </w:rPr>
              <w:t>Five Year</w:t>
            </w:r>
            <w:r>
              <w:rPr>
                <w:rStyle w:val="IndexLink"/>
                <w:vanish w:val="false"/>
                <w:sz w:val="24"/>
              </w:rPr>
              <w:t xml:space="preserve"> Financial Statements</w:t>
            </w:r>
          </w:hyperlink>
          <w:r>
            <w:rPr>
              <w:vanish w:val="false"/>
              <w:sz w:val="24"/>
            </w:rPr>
            <w:t xml:space="preserve"> </w:t>
          </w:r>
          <w:hyperlink w:anchor="_Toc213703056">
            <w:r>
              <w:rPr>
                <w:rStyle w:val="IndexLink"/>
                <w:vanish w:val="false"/>
                <w:webHidden/>
                <w:sz w:val="24"/>
              </w:rPr>
              <w:t>Analysis</w:t>
            </w:r>
          </w:hyperlink>
          <w:r>
            <w:rPr>
              <w:vanish w:val="false"/>
              <w:sz w:val="24"/>
            </w:rPr>
            <w:t xml:space="preserve">     ................................................     4</w:t>
          </w:r>
        </w:p>
        <w:p>
          <w:pPr>
            <w:pStyle w:val="TOC2"/>
            <w:tabs>
              <w:tab w:val="clear" w:pos="720"/>
              <w:tab w:val="right" w:pos="9350" w:leader="dot"/>
            </w:tabs>
            <w:spacing w:lineRule="auto" w:line="360"/>
            <w:jc w:val="both"/>
            <w:rPr>
              <w:rFonts w:ascii="Cambria" w:hAnsi="Cambria"/>
              <w:sz w:val="24"/>
              <w:lang w:val="en-IN"/>
            </w:rPr>
          </w:pPr>
          <w:r>
            <w:rPr>
              <w:vanish w:val="false"/>
              <w:sz w:val="24"/>
            </w:rPr>
            <w:t>1</w:t>
          </w:r>
          <w:hyperlink w:anchor="_Toc213703057">
            <w:r>
              <w:rPr>
                <w:rStyle w:val="IndexLink"/>
                <w:vanish w:val="false"/>
                <w:webHidden/>
                <w:sz w:val="24"/>
              </w:rPr>
              <w:t xml:space="preserve">.2 </w:t>
            </w:r>
            <w:r>
              <w:rPr>
                <w:rStyle w:val="IndexLink"/>
                <w:vanish w:val="false"/>
                <w:sz w:val="24"/>
              </w:rPr>
              <w:t>Key Matrics</w:t>
            </w:r>
            <w:r>
              <w:rPr>
                <w:rStyle w:val="IndexLink"/>
                <w:vanish w:val="false"/>
                <w:sz w:val="24"/>
              </w:rPr>
              <w:t xml:space="preserve"> Analysis</w:t>
            </w:r>
          </w:hyperlink>
          <w:r>
            <w:rPr>
              <w:vanish w:val="false"/>
              <w:sz w:val="24"/>
            </w:rPr>
            <w:t xml:space="preserve">    .................................................................................... </w:t>
          </w:r>
          <w:r>
            <w:rPr>
              <w:rFonts w:ascii="Cambria" w:hAnsi="Cambria"/>
              <w:vanish w:val="false"/>
              <w:sz w:val="24"/>
              <w:lang w:val="en-IN"/>
            </w:rPr>
            <w:t>4</w:t>
          </w:r>
        </w:p>
        <w:p>
          <w:pPr>
            <w:pStyle w:val="TOC2"/>
            <w:tabs>
              <w:tab w:val="clear" w:pos="720"/>
              <w:tab w:val="right" w:pos="9350" w:leader="dot"/>
            </w:tabs>
            <w:spacing w:lineRule="auto" w:line="360"/>
            <w:jc w:val="both"/>
            <w:rPr>
              <w:rFonts w:ascii="Cambria" w:hAnsi="Cambria"/>
              <w:sz w:val="24"/>
              <w:lang w:val="en-IN"/>
            </w:rPr>
          </w:pPr>
          <w:r>
            <w:rPr>
              <w:vanish w:val="false"/>
              <w:sz w:val="24"/>
            </w:rPr>
            <w:t>1</w:t>
          </w:r>
          <w:hyperlink w:anchor="_Toc213703058">
            <w:r>
              <w:rPr>
                <w:rStyle w:val="IndexLink"/>
                <w:vanish w:val="false"/>
                <w:webHidden/>
                <w:sz w:val="24"/>
              </w:rPr>
              <w:t>.3 Trends, Strengths and Threats</w:t>
            </w:r>
          </w:hyperlink>
          <w:r>
            <w:rPr>
              <w:vanish w:val="false"/>
              <w:sz w:val="24"/>
            </w:rPr>
            <w:t xml:space="preserve"> .......................................................................</w:t>
          </w:r>
          <w:r>
            <w:rPr>
              <w:rFonts w:ascii="Cambria" w:hAnsi="Cambria"/>
              <w:vanish w:val="false"/>
              <w:sz w:val="24"/>
              <w:lang w:val="en-IN"/>
            </w:rPr>
            <w:t xml:space="preserve">  9</w:t>
          </w:r>
        </w:p>
        <w:p>
          <w:pPr>
            <w:pStyle w:val="TOC2"/>
            <w:tabs>
              <w:tab w:val="clear" w:pos="720"/>
              <w:tab w:val="right" w:pos="9350" w:leader="dot"/>
            </w:tabs>
            <w:spacing w:lineRule="auto" w:line="360"/>
            <w:jc w:val="both"/>
            <w:rPr>
              <w:rFonts w:ascii="Cambria" w:hAnsi="Cambria"/>
              <w:sz w:val="24"/>
              <w:lang w:val="en-IN"/>
            </w:rPr>
          </w:pPr>
          <w:r>
            <w:rPr>
              <w:vanish w:val="false"/>
              <w:sz w:val="24"/>
            </w:rPr>
            <w:t>1</w:t>
          </w:r>
          <w:hyperlink w:anchor="_Toc213703059">
            <w:r>
              <w:rPr>
                <w:rStyle w:val="IndexLink"/>
                <w:vanish w:val="false"/>
                <w:webHidden/>
                <w:sz w:val="24"/>
              </w:rPr>
              <w:t xml:space="preserve">.4 </w:t>
            </w:r>
            <w:r>
              <w:rPr>
                <w:rStyle w:val="IndexLink"/>
                <w:vanish w:val="false"/>
                <w:sz w:val="24"/>
              </w:rPr>
              <w:t>C</w:t>
            </w:r>
            <w:r>
              <w:rPr>
                <w:rStyle w:val="IndexLink"/>
                <w:vanish w:val="false"/>
                <w:sz w:val="24"/>
              </w:rPr>
              <w:t>orporate failure prediction models</w:t>
            </w:r>
          </w:hyperlink>
          <w:r>
            <w:rPr>
              <w:vanish w:val="false"/>
              <w:sz w:val="24"/>
            </w:rPr>
            <w:t xml:space="preserve"> .............................................................   </w:t>
          </w:r>
          <w:r>
            <w:rPr>
              <w:rFonts w:ascii="Cambria" w:hAnsi="Cambria"/>
              <w:vanish w:val="false"/>
              <w:sz w:val="24"/>
              <w:lang w:val="en-IN"/>
            </w:rPr>
            <w:t>10</w:t>
          </w:r>
        </w:p>
        <w:p>
          <w:pPr>
            <w:pStyle w:val="TOC1"/>
            <w:tabs>
              <w:tab w:val="clear" w:pos="720"/>
              <w:tab w:val="right" w:pos="9350" w:leader="dot"/>
            </w:tabs>
            <w:spacing w:lineRule="auto" w:line="360"/>
            <w:jc w:val="both"/>
            <w:rPr>
              <w:rFonts w:ascii="Cambria" w:hAnsi="Cambria"/>
              <w:sz w:val="24"/>
              <w:lang w:val="en-IN"/>
            </w:rPr>
          </w:pPr>
          <w:r>
            <w:rPr>
              <w:vanish w:val="false"/>
              <w:sz w:val="24"/>
            </w:rPr>
            <w:t>2</w:t>
          </w:r>
          <w:hyperlink w:anchor="_Toc213703060">
            <w:r>
              <w:rPr>
                <w:rStyle w:val="IndexLink"/>
                <w:vanish w:val="false"/>
                <w:webHidden/>
                <w:sz w:val="24"/>
              </w:rPr>
              <w:t xml:space="preserve">. </w:t>
            </w:r>
          </w:hyperlink>
          <w:hyperlink w:anchor="_Toc213703060">
            <w:r>
              <w:rPr>
                <w:webHidden/>
              </w:rPr>
              <w:fldChar w:fldCharType="begin"/>
            </w:r>
            <w:r>
              <w:rPr>
                <w:webHidden/>
              </w:rPr>
              <w:instrText xml:space="preserve">PAGEREF _Toc213703060 \h</w:instrText>
            </w:r>
            <w:r>
              <w:rPr>
                <w:webHidden/>
              </w:rPr>
              <w:fldChar w:fldCharType="separate"/>
            </w:r>
            <w:r>
              <w:rPr>
                <w:rStyle w:val="IndexLink"/>
                <w:vanish w:val="false"/>
                <w:webHidden/>
                <w:sz w:val="24"/>
              </w:rPr>
              <w:t>Analysis</w:t>
            </w:r>
            <w:r>
              <w:rPr>
                <w:webHidden/>
              </w:rPr>
              <w:fldChar w:fldCharType="end"/>
            </w:r>
          </w:hyperlink>
          <w:r>
            <w:rPr>
              <w:vanish w:val="false"/>
              <w:sz w:val="24"/>
            </w:rPr>
            <w:t xml:space="preserve"> </w:t>
          </w:r>
          <w:r>
            <w:rPr>
              <w:vanish w:val="false"/>
              <w:sz w:val="24"/>
            </w:rPr>
            <w:t xml:space="preserve">of </w:t>
          </w:r>
          <w:hyperlink w:anchor="_Toc213703060">
            <w:r>
              <w:rPr>
                <w:rStyle w:val="IndexLink"/>
                <w:vanish w:val="false"/>
                <w:webHidden/>
                <w:sz w:val="24"/>
              </w:rPr>
              <w:t xml:space="preserve">Working Capital </w:t>
            </w:r>
          </w:hyperlink>
          <w:r>
            <w:rPr>
              <w:vanish w:val="false"/>
              <w:sz w:val="24"/>
            </w:rPr>
            <w:t xml:space="preserve"> ..............................................................................  </w:t>
          </w:r>
          <w:r>
            <w:rPr>
              <w:rFonts w:ascii="Cambria" w:hAnsi="Cambria"/>
              <w:vanish w:val="false"/>
              <w:sz w:val="24"/>
              <w:lang w:val="en-IN"/>
            </w:rPr>
            <w:t xml:space="preserve"> 12</w:t>
          </w:r>
        </w:p>
        <w:p>
          <w:pPr>
            <w:pStyle w:val="TOC2"/>
            <w:tabs>
              <w:tab w:val="clear" w:pos="720"/>
              <w:tab w:val="right" w:pos="9350" w:leader="dot"/>
            </w:tabs>
            <w:spacing w:lineRule="auto" w:line="360"/>
            <w:jc w:val="both"/>
            <w:rPr>
              <w:rFonts w:ascii="Cambria" w:hAnsi="Cambria"/>
              <w:sz w:val="24"/>
              <w:lang w:val="en-IN"/>
            </w:rPr>
          </w:pPr>
          <w:r>
            <w:rPr>
              <w:vanish w:val="false"/>
              <w:sz w:val="24"/>
            </w:rPr>
            <w:t>2</w:t>
          </w:r>
          <w:hyperlink w:anchor="_Toc213703061">
            <w:r>
              <w:rPr>
                <w:rStyle w:val="IndexLink"/>
                <w:vanish w:val="false"/>
                <w:webHidden/>
                <w:sz w:val="24"/>
              </w:rPr>
              <w:t>.1 Cash Operating Cycle</w:t>
            </w:r>
          </w:hyperlink>
          <w:r>
            <w:rPr>
              <w:vanish w:val="false"/>
              <w:sz w:val="24"/>
            </w:rPr>
            <w:t xml:space="preserve"> .................................................................................    12</w:t>
          </w:r>
        </w:p>
        <w:p>
          <w:pPr>
            <w:pStyle w:val="TOC2"/>
            <w:tabs>
              <w:tab w:val="clear" w:pos="720"/>
              <w:tab w:val="right" w:pos="9350" w:leader="dot"/>
            </w:tabs>
            <w:spacing w:lineRule="auto" w:line="360"/>
            <w:jc w:val="both"/>
            <w:rPr>
              <w:rFonts w:ascii="Cambria" w:hAnsi="Cambria"/>
              <w:sz w:val="24"/>
              <w:lang w:val="en-IN"/>
            </w:rPr>
          </w:pPr>
          <w:r>
            <w:rPr>
              <w:vanish w:val="false"/>
              <w:sz w:val="24"/>
            </w:rPr>
            <w:t>2</w:t>
          </w:r>
          <w:hyperlink w:anchor="_Toc213703062">
            <w:r>
              <w:rPr>
                <w:rStyle w:val="IndexLink"/>
                <w:vanish w:val="false"/>
                <w:webHidden/>
                <w:sz w:val="24"/>
              </w:rPr>
              <w:t>.2 Strateg</w:t>
            </w:r>
          </w:hyperlink>
          <w:r>
            <w:rPr>
              <w:vanish w:val="false"/>
              <w:sz w:val="24"/>
            </w:rPr>
            <w:t xml:space="preserve">y </w:t>
          </w:r>
          <w:hyperlink w:anchor="_Toc213703062">
            <w:r>
              <w:rPr>
                <w:rStyle w:val="IndexLink"/>
                <w:vanish w:val="false"/>
                <w:webHidden/>
                <w:sz w:val="24"/>
              </w:rPr>
              <w:t>Recommen</w:t>
            </w:r>
          </w:hyperlink>
          <w:r>
            <w:rPr>
              <w:vanish w:val="false"/>
              <w:sz w:val="24"/>
            </w:rPr>
            <w:t>dations ..</w:t>
          </w:r>
          <w:r>
            <w:rPr>
              <w:vanish w:val="false"/>
              <w:sz w:val="24"/>
            </w:rPr>
            <w:t>........................................................................</w:t>
          </w:r>
          <w:r>
            <w:rPr>
              <w:rFonts w:ascii="Cambria" w:hAnsi="Cambria"/>
              <w:vanish w:val="false"/>
              <w:sz w:val="24"/>
              <w:lang w:val="en-IN"/>
            </w:rPr>
            <w:t xml:space="preserve">  12</w:t>
          </w:r>
        </w:p>
        <w:p>
          <w:pPr>
            <w:pStyle w:val="TOC2"/>
            <w:tabs>
              <w:tab w:val="clear" w:pos="720"/>
              <w:tab w:val="right" w:pos="9350" w:leader="dot"/>
            </w:tabs>
            <w:spacing w:lineRule="auto" w:line="360"/>
            <w:jc w:val="both"/>
            <w:rPr>
              <w:rFonts w:ascii="Cambria" w:hAnsi="Cambria"/>
              <w:sz w:val="24"/>
              <w:lang w:val="en-IN"/>
            </w:rPr>
          </w:pPr>
          <w:r>
            <w:rPr>
              <w:vanish w:val="false"/>
              <w:sz w:val="24"/>
            </w:rPr>
            <w:t>2</w:t>
          </w:r>
          <w:hyperlink w:anchor="_Toc213703063">
            <w:r>
              <w:rPr>
                <w:rStyle w:val="IndexLink"/>
                <w:vanish w:val="false"/>
                <w:webHidden/>
                <w:sz w:val="24"/>
              </w:rPr>
              <w:t xml:space="preserve">.3 Short-Term </w:t>
            </w:r>
            <w:r>
              <w:rPr>
                <w:rStyle w:val="IndexLink"/>
                <w:vanish w:val="false"/>
                <w:sz w:val="24"/>
              </w:rPr>
              <w:t>vs</w:t>
            </w:r>
            <w:r>
              <w:rPr>
                <w:rStyle w:val="IndexLink"/>
                <w:vanish w:val="false"/>
                <w:sz w:val="24"/>
              </w:rPr>
              <w:t xml:space="preserve"> Long-Term Financing Options</w:t>
            </w:r>
          </w:hyperlink>
          <w:r>
            <w:rPr>
              <w:vanish w:val="false"/>
              <w:sz w:val="24"/>
            </w:rPr>
            <w:t xml:space="preserve"> </w:t>
          </w:r>
          <w:hyperlink w:anchor="_Toc213703063">
            <w:r>
              <w:rPr>
                <w:rStyle w:val="IndexLink"/>
                <w:vanish w:val="false"/>
                <w:webHidden/>
                <w:sz w:val="24"/>
              </w:rPr>
              <w:t>Compar</w:t>
            </w:r>
          </w:hyperlink>
          <w:r>
            <w:rPr>
              <w:vanish w:val="false"/>
              <w:sz w:val="24"/>
            </w:rPr>
            <w:t xml:space="preserve">ed  </w:t>
          </w:r>
          <w:r>
            <w:rPr>
              <w:vanish w:val="false"/>
              <w:sz w:val="24"/>
            </w:rPr>
            <w:t xml:space="preserve">............................ </w:t>
          </w:r>
          <w:r>
            <w:rPr>
              <w:rFonts w:ascii="Cambria" w:hAnsi="Cambria"/>
              <w:vanish w:val="false"/>
              <w:sz w:val="24"/>
              <w:lang w:val="en-IN"/>
            </w:rPr>
            <w:t xml:space="preserve"> 14</w:t>
          </w:r>
        </w:p>
        <w:p>
          <w:pPr>
            <w:pStyle w:val="TOC1"/>
            <w:tabs>
              <w:tab w:val="clear" w:pos="720"/>
              <w:tab w:val="right" w:pos="9350" w:leader="dot"/>
            </w:tabs>
            <w:spacing w:lineRule="auto" w:line="360"/>
            <w:jc w:val="both"/>
            <w:rPr>
              <w:rFonts w:ascii="Cambria" w:hAnsi="Cambria"/>
              <w:sz w:val="24"/>
              <w:lang w:val="en-IN"/>
            </w:rPr>
          </w:pPr>
          <w:r>
            <w:rPr>
              <w:vanish w:val="false"/>
              <w:sz w:val="24"/>
            </w:rPr>
            <w:t>3</w:t>
          </w:r>
          <w:hyperlink w:anchor="_Toc213703064">
            <w:r>
              <w:rPr>
                <w:rStyle w:val="IndexLink"/>
                <w:vanish w:val="false"/>
                <w:webHidden/>
                <w:sz w:val="24"/>
              </w:rPr>
              <w:t xml:space="preserve">. </w:t>
            </w:r>
            <w:r>
              <w:rPr>
                <w:rStyle w:val="IndexLink"/>
                <w:vanish w:val="false"/>
                <w:sz w:val="24"/>
              </w:rPr>
              <w:t xml:space="preserve">Recommended </w:t>
            </w:r>
            <w:r>
              <w:rPr>
                <w:rStyle w:val="IndexLink"/>
                <w:vanish w:val="false"/>
                <w:sz w:val="24"/>
              </w:rPr>
              <w:t>Financial Restructuring Plan</w:t>
            </w:r>
          </w:hyperlink>
          <w:r>
            <w:rPr>
              <w:vanish w:val="false"/>
              <w:sz w:val="24"/>
            </w:rPr>
            <w:t xml:space="preserve"> ..................................................... </w:t>
          </w:r>
          <w:r>
            <w:rPr>
              <w:rFonts w:ascii="Cambria" w:hAnsi="Cambria"/>
              <w:vanish w:val="false"/>
              <w:sz w:val="24"/>
              <w:lang w:val="en-IN"/>
            </w:rPr>
            <w:t xml:space="preserve"> 15</w:t>
          </w:r>
        </w:p>
        <w:p>
          <w:pPr>
            <w:pStyle w:val="TOC2"/>
            <w:tabs>
              <w:tab w:val="clear" w:pos="720"/>
              <w:tab w:val="right" w:pos="9350" w:leader="dot"/>
            </w:tabs>
            <w:spacing w:lineRule="auto" w:line="360"/>
            <w:jc w:val="both"/>
            <w:rPr>
              <w:rFonts w:ascii="Cambria" w:hAnsi="Cambria"/>
              <w:sz w:val="24"/>
              <w:lang w:val="en-IN"/>
            </w:rPr>
          </w:pPr>
          <w:r>
            <w:rPr>
              <w:vanish w:val="false"/>
              <w:sz w:val="24"/>
            </w:rPr>
            <w:t>3</w:t>
          </w:r>
          <w:hyperlink w:anchor="_Toc213703065">
            <w:r>
              <w:rPr>
                <w:rStyle w:val="IndexLink"/>
                <w:vanish w:val="false"/>
                <w:webHidden/>
                <w:sz w:val="24"/>
              </w:rPr>
              <w:t xml:space="preserve">.1 </w:t>
            </w:r>
            <w:r>
              <w:rPr>
                <w:rStyle w:val="IndexLink"/>
                <w:vanish w:val="false"/>
                <w:sz w:val="24"/>
              </w:rPr>
              <w:t>Fi</w:t>
            </w:r>
            <w:r>
              <w:rPr>
                <w:rStyle w:val="IndexLink"/>
                <w:vanish w:val="false"/>
                <w:sz w:val="24"/>
              </w:rPr>
              <w:t>nancial Restructuring</w:t>
            </w:r>
          </w:hyperlink>
          <w:r>
            <w:rPr>
              <w:vanish w:val="false"/>
              <w:sz w:val="24"/>
            </w:rPr>
            <w:t xml:space="preserve"> </w:t>
          </w:r>
          <w:r>
            <w:rPr>
              <w:vanish w:val="false"/>
              <w:sz w:val="24"/>
            </w:rPr>
            <w:t>options ................................</w:t>
          </w:r>
          <w:r>
            <w:rPr>
              <w:vanish w:val="false"/>
              <w:sz w:val="24"/>
            </w:rPr>
            <w:t>.....................................  15</w:t>
          </w:r>
        </w:p>
        <w:p>
          <w:pPr>
            <w:pStyle w:val="TOC2"/>
            <w:tabs>
              <w:tab w:val="clear" w:pos="720"/>
              <w:tab w:val="right" w:pos="9350" w:leader="dot"/>
            </w:tabs>
            <w:spacing w:lineRule="auto" w:line="360"/>
            <w:jc w:val="both"/>
            <w:rPr>
              <w:rFonts w:ascii="Cambria" w:hAnsi="Cambria"/>
              <w:sz w:val="24"/>
              <w:lang w:val="en-IN"/>
            </w:rPr>
          </w:pPr>
          <w:r>
            <w:rPr>
              <w:vanish w:val="false"/>
              <w:sz w:val="24"/>
            </w:rPr>
            <w:t>3</w:t>
          </w:r>
          <w:hyperlink w:anchor="_Toc213703066">
            <w:r>
              <w:rPr>
                <w:rStyle w:val="IndexLink"/>
                <w:vanish w:val="false"/>
                <w:webHidden/>
                <w:sz w:val="24"/>
              </w:rPr>
              <w:t>.2 Impact on Debt, Shareholder Value and Operational Flexibility</w:t>
            </w:r>
          </w:hyperlink>
          <w:r>
            <w:rPr>
              <w:vanish w:val="false"/>
              <w:sz w:val="24"/>
            </w:rPr>
            <w:t xml:space="preserve"> ....................</w:t>
          </w:r>
          <w:r>
            <w:rPr>
              <w:rFonts w:ascii="Cambria" w:hAnsi="Cambria"/>
              <w:vanish w:val="false"/>
              <w:sz w:val="24"/>
              <w:lang w:val="en-IN"/>
            </w:rPr>
            <w:t xml:space="preserve">  16</w:t>
          </w:r>
        </w:p>
        <w:p>
          <w:pPr>
            <w:pStyle w:val="TOC2"/>
            <w:tabs>
              <w:tab w:val="clear" w:pos="720"/>
              <w:tab w:val="right" w:pos="9350" w:leader="dot"/>
            </w:tabs>
            <w:spacing w:lineRule="auto" w:line="360"/>
            <w:jc w:val="both"/>
            <w:rPr>
              <w:rFonts w:ascii="Cambria" w:hAnsi="Cambria"/>
              <w:sz w:val="24"/>
              <w:lang w:val="en-IN"/>
            </w:rPr>
          </w:pPr>
          <w:r>
            <w:rPr>
              <w:vanish w:val="false"/>
              <w:sz w:val="24"/>
            </w:rPr>
            <w:t>3</w:t>
          </w:r>
          <w:hyperlink w:anchor="_Toc213703067">
            <w:r>
              <w:rPr>
                <w:rStyle w:val="IndexLink"/>
                <w:vanish w:val="false"/>
                <w:webHidden/>
                <w:sz w:val="24"/>
              </w:rPr>
              <w:t>.3 International and Ethical Considerations</w:t>
            </w:r>
          </w:hyperlink>
          <w:r>
            <w:rPr>
              <w:vanish w:val="false"/>
              <w:sz w:val="24"/>
            </w:rPr>
            <w:t xml:space="preserve"> .......................................................</w:t>
          </w:r>
          <w:r>
            <w:rPr>
              <w:rFonts w:ascii="Cambria" w:hAnsi="Cambria"/>
              <w:vanish w:val="false"/>
              <w:sz w:val="24"/>
              <w:lang w:val="en-IN"/>
            </w:rPr>
            <w:t xml:space="preserve">  17</w:t>
          </w:r>
        </w:p>
        <w:p>
          <w:pPr>
            <w:pStyle w:val="TOC1"/>
            <w:tabs>
              <w:tab w:val="clear" w:pos="720"/>
              <w:tab w:val="right" w:pos="9350" w:leader="dot"/>
            </w:tabs>
            <w:spacing w:lineRule="auto" w:line="360"/>
            <w:jc w:val="both"/>
            <w:rPr>
              <w:rFonts w:ascii="Cambria" w:hAnsi="Cambria"/>
              <w:sz w:val="24"/>
              <w:lang w:val="en-IN"/>
            </w:rPr>
          </w:pPr>
          <w:r>
            <w:rPr>
              <w:vanish w:val="false"/>
              <w:sz w:val="24"/>
            </w:rPr>
            <w:t>4</w:t>
          </w:r>
          <w:hyperlink w:anchor="_Toc213703068">
            <w:r>
              <w:rPr>
                <w:rStyle w:val="IndexLink"/>
                <w:vanish w:val="false"/>
                <w:webHidden/>
                <w:sz w:val="24"/>
              </w:rPr>
              <w:t>. Investment Appraisal and Capital Budgeting</w:t>
            </w:r>
          </w:hyperlink>
          <w:r>
            <w:rPr>
              <w:vanish w:val="false"/>
              <w:sz w:val="24"/>
            </w:rPr>
            <w:t xml:space="preserve"> .....................................................</w:t>
          </w:r>
          <w:r>
            <w:rPr>
              <w:rFonts w:ascii="Cambria" w:hAnsi="Cambria"/>
              <w:vanish w:val="false"/>
              <w:sz w:val="24"/>
              <w:lang w:val="en-IN"/>
            </w:rPr>
            <w:t xml:space="preserve">   18</w:t>
          </w:r>
        </w:p>
        <w:p>
          <w:pPr>
            <w:pStyle w:val="TOC2"/>
            <w:tabs>
              <w:tab w:val="clear" w:pos="720"/>
              <w:tab w:val="right" w:pos="9350" w:leader="dot"/>
            </w:tabs>
            <w:spacing w:lineRule="auto" w:line="360"/>
            <w:jc w:val="both"/>
            <w:rPr>
              <w:rFonts w:ascii="Cambria" w:hAnsi="Cambria"/>
              <w:sz w:val="24"/>
              <w:lang w:val="en-IN"/>
            </w:rPr>
          </w:pPr>
          <w:r>
            <w:rPr>
              <w:vanish w:val="false"/>
              <w:sz w:val="24"/>
            </w:rPr>
            <w:t>4</w:t>
          </w:r>
          <w:hyperlink w:anchor="_Toc213703069">
            <w:r>
              <w:rPr>
                <w:rStyle w:val="IndexLink"/>
                <w:vanish w:val="false"/>
                <w:webHidden/>
                <w:sz w:val="24"/>
              </w:rPr>
              <w:t xml:space="preserve">.1 </w:t>
            </w:r>
            <w:r>
              <w:rPr>
                <w:rStyle w:val="IndexLink"/>
                <w:vanish w:val="false"/>
                <w:sz w:val="24"/>
              </w:rPr>
              <w:t>Selection of</w:t>
            </w:r>
            <w:r>
              <w:rPr>
                <w:rStyle w:val="IndexLink"/>
                <w:vanish w:val="false"/>
                <w:sz w:val="24"/>
              </w:rPr>
              <w:t xml:space="preserve"> Proposed Investment Projects</w:t>
            </w:r>
          </w:hyperlink>
          <w:r>
            <w:rPr>
              <w:vanish w:val="false"/>
              <w:sz w:val="24"/>
            </w:rPr>
            <w:t xml:space="preserve"> .................................................</w:t>
          </w:r>
          <w:r>
            <w:rPr>
              <w:rFonts w:ascii="Cambria" w:hAnsi="Cambria"/>
              <w:vanish w:val="false"/>
              <w:sz w:val="24"/>
              <w:lang w:val="en-IN"/>
            </w:rPr>
            <w:t xml:space="preserve">   18</w:t>
          </w:r>
        </w:p>
        <w:p>
          <w:pPr>
            <w:pStyle w:val="TOC2"/>
            <w:tabs>
              <w:tab w:val="clear" w:pos="720"/>
              <w:tab w:val="right" w:pos="9350" w:leader="dot"/>
            </w:tabs>
            <w:spacing w:lineRule="auto" w:line="360"/>
            <w:jc w:val="both"/>
            <w:rPr>
              <w:rFonts w:ascii="Cambria" w:hAnsi="Cambria"/>
              <w:sz w:val="24"/>
              <w:lang w:val="en-IN"/>
            </w:rPr>
          </w:pPr>
          <w:r>
            <w:rPr>
              <w:vanish w:val="false"/>
              <w:sz w:val="24"/>
            </w:rPr>
            <w:t>4</w:t>
          </w:r>
          <w:hyperlink w:anchor="_Toc213703070">
            <w:r>
              <w:rPr>
                <w:rStyle w:val="IndexLink"/>
                <w:vanish w:val="false"/>
                <w:webHidden/>
                <w:sz w:val="24"/>
              </w:rPr>
              <w:t xml:space="preserve">.2 Final </w:t>
            </w:r>
            <w:r>
              <w:rPr>
                <w:rStyle w:val="IndexLink"/>
                <w:vanish w:val="false"/>
                <w:sz w:val="24"/>
              </w:rPr>
              <w:t>project</w:t>
            </w:r>
            <w:r>
              <w:rPr>
                <w:rStyle w:val="IndexLink"/>
                <w:vanish w:val="false"/>
                <w:sz w:val="24"/>
              </w:rPr>
              <w:t xml:space="preserve"> Recommendation and Justification</w:t>
            </w:r>
          </w:hyperlink>
          <w:r>
            <w:rPr>
              <w:vanish w:val="false"/>
              <w:sz w:val="24"/>
            </w:rPr>
            <w:t xml:space="preserve"> .........................................</w:t>
          </w:r>
          <w:r>
            <w:rPr>
              <w:rFonts w:ascii="Cambria" w:hAnsi="Cambria"/>
              <w:vanish w:val="false"/>
              <w:sz w:val="24"/>
              <w:lang w:val="en-IN"/>
            </w:rPr>
            <w:t xml:space="preserve">   21</w:t>
          </w:r>
        </w:p>
        <w:p>
          <w:pPr>
            <w:pStyle w:val="TOC1"/>
            <w:tabs>
              <w:tab w:val="clear" w:pos="720"/>
              <w:tab w:val="right" w:pos="9350" w:leader="dot"/>
            </w:tabs>
            <w:spacing w:lineRule="auto" w:line="360"/>
            <w:jc w:val="both"/>
            <w:rPr>
              <w:rFonts w:ascii="Cambria" w:hAnsi="Cambria"/>
              <w:sz w:val="24"/>
              <w:lang w:val="en-IN"/>
            </w:rPr>
          </w:pPr>
          <w:r>
            <w:rPr>
              <w:vanish w:val="false"/>
              <w:sz w:val="24"/>
            </w:rPr>
            <w:t xml:space="preserve">5. </w:t>
          </w:r>
          <w:hyperlink w:anchor="_Toc213703071">
            <w:r>
              <w:rPr>
                <w:rStyle w:val="IndexLink"/>
                <w:vanish w:val="false"/>
                <w:webHidden/>
                <w:sz w:val="24"/>
              </w:rPr>
              <w:t>Conclusion</w:t>
            </w:r>
          </w:hyperlink>
          <w:r>
            <w:rPr>
              <w:vanish w:val="false"/>
              <w:sz w:val="24"/>
            </w:rPr>
            <w:t xml:space="preserve"> ........................................................................................................</w:t>
          </w:r>
          <w:r>
            <w:rPr>
              <w:rFonts w:ascii="Cambria" w:hAnsi="Cambria"/>
              <w:vanish w:val="false"/>
              <w:sz w:val="24"/>
              <w:lang w:val="en-IN"/>
            </w:rPr>
            <w:t xml:space="preserve">    21</w:t>
          </w:r>
        </w:p>
        <w:p>
          <w:pPr>
            <w:pStyle w:val="TOC1"/>
            <w:tabs>
              <w:tab w:val="clear" w:pos="720"/>
              <w:tab w:val="right" w:pos="9350" w:leader="dot"/>
            </w:tabs>
            <w:spacing w:lineRule="auto" w:line="360"/>
            <w:jc w:val="both"/>
            <w:rPr>
              <w:rFonts w:ascii="Cambria" w:hAnsi="Cambria"/>
              <w:sz w:val="24"/>
              <w:lang w:val="en-IN"/>
            </w:rPr>
          </w:pPr>
          <w:hyperlink w:anchor="_Toc213703072">
            <w:r>
              <w:rPr>
                <w:rStyle w:val="IndexLink"/>
                <w:vanish w:val="false"/>
                <w:webHidden/>
                <w:sz w:val="24"/>
              </w:rPr>
              <w:t>References</w:t>
            </w:r>
          </w:hyperlink>
          <w:r>
            <w:rPr>
              <w:vanish w:val="false"/>
              <w:sz w:val="24"/>
            </w:rPr>
            <w:t xml:space="preserve"> ...........................................................................................................</w:t>
          </w:r>
          <w:r>
            <w:rPr>
              <w:rFonts w:ascii="Cambria" w:hAnsi="Cambria"/>
              <w:vanish w:val="false"/>
              <w:sz w:val="24"/>
              <w:lang w:val="en-IN"/>
            </w:rPr>
            <w:t xml:space="preserve">     22</w:t>
          </w:r>
        </w:p>
        <w:p>
          <w:pPr>
            <w:pStyle w:val="TOC1"/>
            <w:tabs>
              <w:tab w:val="clear" w:pos="720"/>
              <w:tab w:val="right" w:pos="9350" w:leader="dot"/>
            </w:tabs>
            <w:spacing w:lineRule="auto" w:line="360"/>
            <w:jc w:val="both"/>
            <w:rPr>
              <w:rFonts w:ascii="Cambria" w:hAnsi="Cambria"/>
              <w:sz w:val="24"/>
              <w:lang w:val="en-IN"/>
            </w:rPr>
          </w:pPr>
          <w:hyperlink w:anchor="_Toc213703073">
            <w:r>
              <w:rPr>
                <w:rStyle w:val="IndexLink"/>
                <w:vanish w:val="false"/>
                <w:webHidden/>
                <w:sz w:val="24"/>
              </w:rPr>
              <w:t>Appendices</w:t>
            </w:r>
          </w:hyperlink>
          <w:r>
            <w:rPr>
              <w:vanish w:val="false"/>
              <w:sz w:val="24"/>
            </w:rPr>
            <w:t xml:space="preserve"> ...........................................................................................................</w:t>
          </w:r>
          <w:r>
            <w:rPr>
              <w:rFonts w:ascii="Cambria" w:hAnsi="Cambria"/>
              <w:vanish w:val="false"/>
              <w:sz w:val="24"/>
              <w:lang w:val="en-IN"/>
            </w:rPr>
            <w:t xml:space="preserve">    24</w:t>
          </w:r>
        </w:p>
        <w:p>
          <w:pPr>
            <w:pStyle w:val="TOC2"/>
            <w:tabs>
              <w:tab w:val="clear" w:pos="720"/>
              <w:tab w:val="right" w:pos="9350" w:leader="dot"/>
            </w:tabs>
            <w:spacing w:lineRule="auto" w:line="360"/>
            <w:jc w:val="both"/>
            <w:rPr>
              <w:rFonts w:ascii="Cambria" w:hAnsi="Cambria"/>
              <w:sz w:val="24"/>
              <w:lang w:val="en-IN"/>
            </w:rPr>
          </w:pPr>
          <w:hyperlink w:anchor="_Toc213703074">
            <w:r>
              <w:rPr>
                <w:rStyle w:val="IndexLink"/>
                <w:vanish w:val="false"/>
                <w:webHidden/>
                <w:sz w:val="24"/>
              </w:rPr>
              <w:t>Appendix 1: Ratio analysis</w:t>
            </w:r>
          </w:hyperlink>
          <w:r>
            <w:rPr>
              <w:vanish w:val="false"/>
              <w:sz w:val="24"/>
            </w:rPr>
            <w:t xml:space="preserve"> ................................................................................</w:t>
          </w:r>
          <w:r>
            <w:rPr>
              <w:rFonts w:ascii="Cambria" w:hAnsi="Cambria"/>
              <w:vanish w:val="false"/>
              <w:sz w:val="24"/>
              <w:lang w:val="en-IN"/>
            </w:rPr>
            <w:t xml:space="preserve">    24</w:t>
          </w:r>
        </w:p>
        <w:p>
          <w:pPr>
            <w:pStyle w:val="TOC2"/>
            <w:tabs>
              <w:tab w:val="clear" w:pos="720"/>
              <w:tab w:val="right" w:pos="9350" w:leader="dot"/>
            </w:tabs>
            <w:spacing w:lineRule="auto" w:line="360"/>
            <w:jc w:val="both"/>
            <w:rPr>
              <w:rFonts w:ascii="Cambria" w:hAnsi="Cambria"/>
              <w:lang w:val="en-IN"/>
            </w:rPr>
          </w:pPr>
          <w:hyperlink w:anchor="_Toc213703087">
            <w:r>
              <w:rPr>
                <w:rStyle w:val="IndexLink"/>
                <w:rFonts w:eastAsia="Times New Roman" w:cs="Times New Roman"/>
                <w:b w:val="false"/>
                <w:i w:val="false"/>
                <w:caps w:val="false"/>
                <w:smallCaps w:val="false"/>
                <w:strike w:val="false"/>
                <w:dstrike w:val="false"/>
                <w:vanish w:val="false"/>
                <w:webHidden/>
                <w:color w:val="000000"/>
                <w:position w:val="0"/>
                <w:sz w:val="24"/>
                <w:szCs w:val="24"/>
                <w:u w:val="none"/>
                <w:shd w:fill="auto" w:val="clear"/>
                <w:vertAlign w:val="baseline"/>
              </w:rPr>
              <w:t>Appendix 2: Investment analysis</w:t>
            </w:r>
          </w:hyperlink>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 xml:space="preserve"> .......................................................................</w:t>
          </w:r>
          <w:r>
            <w:rPr>
              <w:rFonts w:eastAsia="Times New Roman" w:cs="Times New Roman" w:ascii="Cambria" w:hAnsi="Cambria"/>
              <w:b w:val="false"/>
              <w:i w:val="false"/>
              <w:caps w:val="false"/>
              <w:smallCaps w:val="false"/>
              <w:strike w:val="false"/>
              <w:dstrike w:val="false"/>
              <w:vanish w:val="false"/>
              <w:color w:val="000000"/>
              <w:position w:val="0"/>
              <w:sz w:val="24"/>
              <w:szCs w:val="24"/>
              <w:u w:val="none"/>
              <w:shd w:fill="auto" w:val="clear"/>
              <w:vertAlign w:val="baseline"/>
              <w:lang w:val="en-IN"/>
            </w:rPr>
            <w:t xml:space="preserve">    37</w:t>
          </w:r>
          <w:r>
            <w:rPr>
              <w:rFonts w:eastAsia="Times New Roman" w:cs="Times New Roman" w:ascii="Cambria" w:hAnsi="Cambria"/>
              <w:b w:val="false"/>
              <w:i w:val="false"/>
              <w:caps w:val="false"/>
              <w:smallCaps w:val="false"/>
              <w:strike w:val="false"/>
              <w:dstrike w:val="false"/>
              <w:vanish w:val="false"/>
              <w:color w:val="000000"/>
              <w:position w:val="0"/>
              <w:sz w:val="24"/>
              <w:szCs w:val="24"/>
              <w:u w:val="none"/>
              <w:shd w:fill="auto" w:val="clear"/>
              <w:vertAlign w:val="baseline"/>
              <w:lang w:val="en-IN"/>
            </w:rPr>
            <w:fldChar w:fldCharType="end"/>
          </w:r>
        </w:p>
      </w:sdtContent>
    </w:sdt>
    <w:p>
      <w:pPr>
        <w:pStyle w:val="Heading1"/>
        <w:spacing w:lineRule="auto" w:line="360" w:before="0" w:after="200"/>
        <w:jc w:val="both"/>
        <w:rPr>
          <w:rFonts w:ascii="Arial" w:hAnsi="Arial"/>
          <w:sz w:val="24"/>
          <w:szCs w:val="24"/>
        </w:rPr>
      </w:pPr>
      <w:r>
        <w:rPr>
          <w:rFonts w:ascii="Arial" w:hAnsi="Arial"/>
          <w:sz w:val="24"/>
          <w:szCs w:val="24"/>
        </w:rPr>
      </w:r>
      <w:r>
        <w:br w:type="page"/>
      </w:r>
    </w:p>
    <w:p>
      <w:pPr>
        <w:pStyle w:val="Heading1"/>
        <w:spacing w:lineRule="auto" w:line="360" w:before="0" w:after="200"/>
        <w:jc w:val="both"/>
        <w:rPr>
          <w:rFonts w:ascii="Arial" w:hAnsi="Arial"/>
        </w:rPr>
      </w:pPr>
      <w:r>
        <w:rPr>
          <w:rFonts w:ascii="Arial" w:hAnsi="Arial"/>
          <w:sz w:val="24"/>
          <w:szCs w:val="24"/>
        </w:rPr>
        <w:t xml:space="preserve">Section 0 : </w:t>
      </w:r>
      <w:r>
        <w:rPr>
          <w:rFonts w:ascii="Arial" w:hAnsi="Arial"/>
          <w:sz w:val="24"/>
          <w:szCs w:val="24"/>
        </w:rPr>
        <w:t>Introduction</w:t>
      </w:r>
    </w:p>
    <w:p>
      <w:pPr>
        <w:pStyle w:val="normal2"/>
        <w:pageBreakBefore w:val="false"/>
        <w:widowControl/>
        <w:bidi w:val="0"/>
        <w:spacing w:lineRule="auto" w:line="360" w:before="0" w:after="200"/>
        <w:ind w:hanging="0" w:start="0" w:end="0"/>
        <w:jc w:val="both"/>
        <w:rPr>
          <w:rFonts w:ascii="Arial" w:hAnsi="Arial"/>
        </w:rPr>
      </w:pPr>
      <w:r>
        <w:rPr>
          <w:rFonts w:eastAsia="Arial" w:cs="Arial" w:ascii="Arial" w:hAnsi="Arial"/>
          <w:b w:val="false"/>
          <w:i w:val="false"/>
          <w:caps w:val="false"/>
          <w:smallCaps w:val="false"/>
          <w:strike w:val="false"/>
          <w:dstrike w:val="false"/>
          <w:color w:val="000000"/>
          <w:sz w:val="24"/>
          <w:szCs w:val="24"/>
          <w:u w:val="none"/>
          <w:shd w:fill="auto" w:val="clear"/>
        </w:rPr>
        <w:tab/>
        <w:t>Volkswagen Group (VW) is an European car manufacturer based in Wolfsburg, Germany. It has a vast brand portfolio of passenger cars, motorcycles and commercial vehicles. The firm reported revenue of €321.9 billion in 2025 but it’s operating profit has collepsed 53%. Despite the strong revenue, Volkswagen is currently experiencing severe margin compression and massive capital expenditure burdens.</w:t>
      </w:r>
    </w:p>
    <w:p>
      <w:pPr>
        <w:pStyle w:val="normal2"/>
        <w:widowControl/>
        <w:bidi w:val="0"/>
        <w:spacing w:lineRule="auto" w:line="360" w:before="0" w:after="200"/>
        <w:ind w:hanging="0" w:start="0" w:end="0"/>
        <w:jc w:val="both"/>
        <w:rPr>
          <w:rFonts w:ascii="Arial" w:hAnsi="Arial"/>
        </w:rPr>
      </w:pPr>
      <w:r>
        <w:rPr>
          <w:rFonts w:eastAsia="Arial" w:cs="Arial" w:ascii="Arial" w:hAnsi="Arial"/>
          <w:b w:val="false"/>
          <w:i w:val="false"/>
          <w:caps w:val="false"/>
          <w:smallCaps w:val="false"/>
          <w:strike w:val="false"/>
          <w:dstrike w:val="false"/>
          <w:color w:val="000000"/>
          <w:sz w:val="24"/>
          <w:szCs w:val="24"/>
          <w:u w:val="none"/>
          <w:shd w:fill="auto" w:val="clear"/>
        </w:rPr>
        <w:t>Assuming the role of the newly appointed Chief Financial Officer (CFO), this report presents a comprehensive analysis of Volkswagen’s current financial health and proposes a strategic roadmap to stabilize operations and secure long-term shareholder value. The report is structured in 4 core pillars. First, a rigorous five-year ratio analysis (2021–2025) is pinpointing underlying profitability and solvency vulnerabilities. Second, evaluation of firm’s working capital management to address cash cycles inefficiencies and short-term liquidity problems. The report also presents a strategic financial restructuring plan to manage fixed costs and international risks. Finally, a rigorous investment analysis under strict capital rationing constraints to determine the optimal allocation and ensure the firm capitalizes on high-yield innovations for he future electric vehicle landscape.</w:t>
      </w:r>
      <w:r>
        <w:br w:type="page"/>
      </w:r>
    </w:p>
    <w:p>
      <w:pPr>
        <w:pStyle w:val="BodyText"/>
        <w:bidi w:val="0"/>
        <w:spacing w:lineRule="auto" w:line="360" w:before="0" w:after="0"/>
        <w:ind w:hanging="0" w:start="0" w:end="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S</w:t>
      </w:r>
      <w:r>
        <w:rPr>
          <w:rFonts w:eastAsia="Times New Roman" w:cs="Times New Roman"/>
          <w:b/>
          <w:bCs/>
          <w:i w:val="false"/>
          <w:caps w:val="false"/>
          <w:smallCaps w:val="false"/>
          <w:strike w:val="false"/>
          <w:dstrike w:val="false"/>
          <w:color w:val="000000"/>
          <w:sz w:val="24"/>
          <w:szCs w:val="24"/>
          <w:u w:val="none"/>
          <w:effect w:val="none"/>
          <w:shd w:fill="auto" w:val="clear"/>
        </w:rPr>
        <w:t>e</w:t>
      </w:r>
      <w:r>
        <w:rPr>
          <w:rFonts w:eastAsia="Times New Roman" w:cs="Times New Roman"/>
          <w:b/>
          <w:bCs/>
          <w:i w:val="false"/>
          <w:caps w:val="false"/>
          <w:smallCaps w:val="false"/>
          <w:strike w:val="false"/>
          <w:dstrike w:val="false"/>
          <w:color w:val="000000"/>
          <w:sz w:val="24"/>
          <w:szCs w:val="24"/>
          <w:u w:val="none"/>
          <w:effect w:val="none"/>
          <w:shd w:fill="auto" w:val="clear"/>
        </w:rPr>
        <w:t>c</w:t>
      </w:r>
      <w:r>
        <w:rPr>
          <w:rFonts w:eastAsia="Times New Roman" w:cs="Times New Roman"/>
          <w:b/>
          <w:bCs/>
          <w:i w:val="false"/>
          <w:caps w:val="false"/>
          <w:smallCaps w:val="false"/>
          <w:strike w:val="false"/>
          <w:dstrike w:val="false"/>
          <w:color w:val="000000"/>
          <w:sz w:val="24"/>
          <w:szCs w:val="24"/>
          <w:u w:val="none"/>
          <w:effect w:val="none"/>
          <w:shd w:fill="auto" w:val="clear"/>
        </w:rPr>
        <w:t>t</w:t>
      </w:r>
      <w:r>
        <w:rPr>
          <w:rFonts w:eastAsia="Times New Roman" w:cs="Times New Roman"/>
          <w:b/>
          <w:bCs/>
          <w:i w:val="false"/>
          <w:caps w:val="false"/>
          <w:smallCaps w:val="false"/>
          <w:strike w:val="false"/>
          <w:dstrike w:val="false"/>
          <w:color w:val="000000"/>
          <w:sz w:val="24"/>
          <w:szCs w:val="24"/>
          <w:u w:val="none"/>
          <w:effect w:val="none"/>
          <w:shd w:fill="auto" w:val="clear"/>
        </w:rPr>
        <w:t>i</w:t>
      </w:r>
      <w:r>
        <w:rPr>
          <w:rFonts w:eastAsia="Times New Roman" w:cs="Times New Roman"/>
          <w:b/>
          <w:bCs/>
          <w:i w:val="false"/>
          <w:caps w:val="false"/>
          <w:smallCaps w:val="false"/>
          <w:strike w:val="false"/>
          <w:dstrike w:val="false"/>
          <w:color w:val="000000"/>
          <w:sz w:val="24"/>
          <w:szCs w:val="24"/>
          <w:u w:val="none"/>
          <w:effect w:val="none"/>
          <w:shd w:fill="auto" w:val="clear"/>
        </w:rPr>
        <w:t>o</w:t>
      </w:r>
      <w:r>
        <w:rPr>
          <w:rFonts w:eastAsia="Times New Roman" w:cs="Times New Roman"/>
          <w:b/>
          <w:bCs/>
          <w:i w:val="false"/>
          <w:caps w:val="false"/>
          <w:smallCaps w:val="false"/>
          <w:strike w:val="false"/>
          <w:dstrike w:val="false"/>
          <w:color w:val="000000"/>
          <w:sz w:val="24"/>
          <w:szCs w:val="24"/>
          <w:u w:val="none"/>
          <w:effect w:val="none"/>
          <w:shd w:fill="auto" w:val="clear"/>
        </w:rPr>
        <w:t xml:space="preserve">n </w:t>
      </w:r>
      <w:r>
        <w:rPr>
          <w:rFonts w:eastAsia="Times New Roman" w:cs="Times New Roman"/>
          <w:b/>
          <w:bCs/>
          <w:i w:val="false"/>
          <w:caps w:val="false"/>
          <w:smallCaps w:val="false"/>
          <w:strike w:val="false"/>
          <w:dstrike w:val="false"/>
          <w:color w:val="000000"/>
          <w:sz w:val="24"/>
          <w:szCs w:val="24"/>
          <w:u w:val="none"/>
          <w:effect w:val="none"/>
          <w:shd w:fill="auto" w:val="clear"/>
        </w:rPr>
        <w:t>1 :</w:t>
      </w:r>
      <w:r>
        <w:rPr>
          <w:rFonts w:eastAsia="Times New Roman" w:cs="Times New Roman"/>
          <w:b/>
          <w:bCs/>
          <w:i w:val="false"/>
          <w:caps w:val="false"/>
          <w:smallCaps w:val="false"/>
          <w:strike w:val="false"/>
          <w:dstrike w:val="false"/>
          <w:color w:val="000000"/>
          <w:sz w:val="24"/>
          <w:szCs w:val="24"/>
          <w:u w:val="none"/>
          <w:effect w:val="none"/>
          <w:shd w:fill="auto" w:val="clear"/>
        </w:rPr>
        <w:t xml:space="preserve"> Financial Health Check</w:t>
      </w:r>
    </w:p>
    <w:p>
      <w:pPr>
        <w:pStyle w:val="BodyText"/>
        <w:bidi w:val="0"/>
        <w:spacing w:lineRule="auto" w:line="360" w:before="0" w:after="0"/>
        <w:ind w:hanging="0" w:start="0" w:end="0"/>
        <w:jc w:val="both"/>
        <w:rPr>
          <w:rFonts w:ascii="Arial" w:hAnsi="Arial" w:eastAsia="Times New Roman" w:cs="Times New Roman"/>
          <w:b/>
          <w:bCs/>
          <w:i w:val="false"/>
          <w:caps w:val="false"/>
          <w:smallCaps w:val="false"/>
          <w:strike w:val="false"/>
          <w:dstrike w:val="false"/>
          <w:color w:val="000000"/>
          <w:sz w:val="24"/>
          <w:szCs w:val="24"/>
          <w:u w:val="none"/>
          <w:effect w:val="none"/>
          <w:shd w:fill="auto" w:val="clear"/>
        </w:rPr>
      </w:pPr>
      <w:r>
        <w:rPr>
          <w:rFonts w:eastAsia="Times New Roman" w:cs="Times New Roman"/>
          <w:b/>
          <w:bCs/>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ind w:hanging="0" w:start="0" w:end="0"/>
        <w:jc w:val="both"/>
        <w:rPr>
          <w:rFonts w:ascii="Arial" w:hAnsi="Arial"/>
        </w:rPr>
      </w:pPr>
      <w:r>
        <w:rPr>
          <w:rFonts w:eastAsia="Times New Roman" w:cs="Times New Roman"/>
          <w:b/>
          <w:bCs/>
          <w:i w:val="false"/>
          <w:caps w:val="false"/>
          <w:smallCaps w:val="false"/>
          <w:strike w:val="false"/>
          <w:dstrike w:val="false"/>
          <w:color w:val="000000"/>
          <w:position w:val="0"/>
          <w:sz w:val="24"/>
          <w:szCs w:val="24"/>
          <w:u w:val="none"/>
          <w:effect w:val="none"/>
          <w:shd w:fill="auto" w:val="clear"/>
          <w:vertAlign w:val="baseline"/>
        </w:rPr>
        <w:t>1.1 Analysis of Firm’s Financial Statements</w:t>
      </w:r>
    </w:p>
    <w:p>
      <w:pPr>
        <w:pStyle w:val="Normal"/>
        <w:bidi w:val="0"/>
        <w:spacing w:lineRule="auto" w:line="360" w:before="0" w:after="200"/>
        <w:jc w:val="both"/>
        <w:rPr>
          <w:rFonts w:ascii="Arial" w:hAnsi="Arial"/>
        </w:rPr>
      </w:pPr>
      <w:r>
        <w:rPr>
          <w:rFonts w:eastAsia="Times New Roman" w:cs="Times New Roman"/>
          <w:b w:val="false"/>
          <w:bCs w:val="false"/>
          <w:sz w:val="24"/>
          <w:szCs w:val="24"/>
        </w:rPr>
        <w:t>Volkswagen Group (VW) is currently facing a severe profitability crisis despite despite showing a strong revenue growth year over year. While it’s business volume expanded 28.6% Over the period of 2021 to 2025, the firm reported just €6,904 million net profit in 2025, which is massive decline compared to a strong net profit of €15,428 million in 2021. Firm’s operating income  has contracted to 54% with reported income of €8,868 million in 2025. Volkswagen’s margin is severly compressed; it is also struggling with capital expenditures and fixed cost management. Hence, Volkswagen requires a strategic restructuring plan to improve these matrics and maintain its competitive position in the automobile market.</w:t>
      </w:r>
    </w:p>
    <w:p>
      <w:pPr>
        <w:pStyle w:val="Normal"/>
        <w:bidi w:val="0"/>
        <w:spacing w:lineRule="auto" w:line="360" w:before="0" w:after="200"/>
        <w:jc w:val="both"/>
        <w:rPr>
          <w:rFonts w:ascii="Arial" w:hAnsi="Arial"/>
        </w:rPr>
      </w:pPr>
      <w: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1.2 Full Ratio Analysis</w:t>
      </w:r>
    </w:p>
    <w:p>
      <w:pPr>
        <w:pStyle w:val="BodyText"/>
        <w:bidi w:val="0"/>
        <w:spacing w:lineRule="auto" w:line="360" w:before="0" w:after="0"/>
        <w:jc w:val="both"/>
        <w:rPr>
          <w:rFonts w:ascii="Arial" w:hAnsi="Arial" w:eastAsia="Times New Roman" w:cs="Times New Roman"/>
          <w:b w:val="false"/>
          <w:i w:val="false"/>
          <w:caps w:val="false"/>
          <w:smallCaps w:val="false"/>
          <w:strike w:val="false"/>
          <w:dstrike w:val="false"/>
          <w:color w:val="000000"/>
          <w:sz w:val="24"/>
          <w:szCs w:val="24"/>
          <w:u w:val="none"/>
          <w:effect w:val="none"/>
          <w:shd w:fill="auto" w:val="clear"/>
        </w:rPr>
      </w:pPr>
      <w:r>
        <w:rPr>
          <w:rFonts w:eastAsia="Times New Roman" w:cs="Times New Roman"/>
          <w:b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Profitability</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For profitability, Net Profit Margin (NPM), Operating Profit Margin, and Return on Equity (ROE) are analysed the income statement and balance sheet because they provide a holistic "top-to-bottom" view of a company's financial efficiency across different layers.</w:t>
      </w:r>
    </w:p>
    <w:p>
      <w:pPr>
        <w:pStyle w:val="BodyText"/>
        <w:bidi w:val="0"/>
        <w:spacing w:lineRule="auto" w:line="360" w:before="0" w:after="0"/>
        <w:jc w:val="both"/>
        <w:rPr>
          <w:rFonts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1) Operating Profit Margin</w:t>
      </w:r>
    </w:p>
    <w:p>
      <w:pPr>
        <w:pStyle w:val="BodyText"/>
        <w:bidi w:val="0"/>
        <w:spacing w:lineRule="auto" w:line="360" w:before="0" w:after="0"/>
        <w:jc w:val="both"/>
        <w:rPr>
          <w:rFonts w:ascii="Arial" w:hAnsi="Arial" w:eastAsia="Times New Roman" w:cs="Times New Roman"/>
          <w:b w:val="false"/>
          <w:i w:val="false"/>
          <w:caps w:val="false"/>
          <w:smallCaps w:val="false"/>
          <w:strike w:val="false"/>
          <w:dstrike w:val="false"/>
          <w:color w:val="000000"/>
          <w:sz w:val="24"/>
          <w:szCs w:val="24"/>
          <w:u w:val="none"/>
          <w:effect w:val="none"/>
          <w:shd w:fill="auto" w:val="clear"/>
        </w:rPr>
      </w:pPr>
      <w:r>
        <w:rPr>
          <w:rFonts w:eastAsia="Times New Roman" w:cs="Times New Roman"/>
          <w:b w:val="false"/>
          <w:i w:val="false"/>
          <w:caps w:val="false"/>
          <w:smallCaps w:val="false"/>
          <w:strike w:val="false"/>
          <w:dstrike w:val="false"/>
          <w:color w:val="000000"/>
          <w:sz w:val="24"/>
          <w:szCs w:val="24"/>
          <w:u w:val="none"/>
          <w:effect w:val="none"/>
          <w:shd w:fill="auto" w:val="clear"/>
        </w:rPr>
      </w:r>
    </w:p>
    <w:p>
      <w:pPr>
        <w:pStyle w:val="BodyText"/>
        <w:numPr>
          <w:ilvl w:val="0"/>
          <w:numId w:val="1"/>
        </w:numPr>
        <w:bidi w:val="0"/>
        <w:spacing w:lineRule="auto" w:line="360" w:before="0" w:after="0"/>
        <w:jc w:val="both"/>
        <w:rPr>
          <w:rFonts w:ascii="Arial" w:hAnsi="Arial"/>
        </w:rPr>
      </w:pPr>
      <w:r>
        <w:rPr>
          <w:rFonts w:eastAsia="Times New Roman" w:cs="Times New Roman"/>
          <w:b w:val="false"/>
          <w:i w:val="false"/>
          <w:caps w:val="false"/>
          <w:smallCaps w:val="false"/>
          <w:strike w:val="false"/>
          <w:dstrike w:val="false"/>
          <w:color w:val="000000"/>
          <w:sz w:val="24"/>
          <w:szCs w:val="24"/>
          <w:u w:val="none"/>
          <w:effect w:val="none"/>
          <w:shd w:fill="auto" w:val="clear"/>
        </w:rPr>
        <w:t xml:space="preserve">Operating profit margin shows core business health. It shows if company’s day-to-day operations are profitable or not before the taxes or debt interest. </w:t>
      </w:r>
    </w:p>
    <w:p>
      <w:pPr>
        <w:pStyle w:val="BodyText"/>
        <w:numPr>
          <w:ilvl w:val="0"/>
          <w:numId w:val="1"/>
        </w:numPr>
        <w:bidi w:val="0"/>
        <w:spacing w:lineRule="auto" w:line="360" w:before="0" w:after="0"/>
        <w:jc w:val="both"/>
        <w:rPr>
          <w:rFonts w:ascii="Arial" w:hAnsi="Arial"/>
        </w:rPr>
      </w:pPr>
      <w:r>
        <w:rPr>
          <w:rFonts w:eastAsia="Times New Roman" w:cs="Times New Roman"/>
          <w:b w:val="false"/>
          <w:i w:val="false"/>
          <w:caps w:val="false"/>
          <w:smallCaps w:val="false"/>
          <w:strike w:val="false"/>
          <w:dstrike w:val="false"/>
          <w:color w:val="000000"/>
          <w:sz w:val="24"/>
          <w:szCs w:val="24"/>
          <w:u w:val="none"/>
          <w:effect w:val="none"/>
          <w:shd w:fill="auto" w:val="clear"/>
        </w:rPr>
        <w:t>Operating profit margins are declining from 7.70% in 2021 to 2.75% in 2025.which can be seen in consolidated income statement as it dropped from £182,861 million in 2023 to £129,291 million in 2024.</w:t>
      </w:r>
    </w:p>
    <w:p>
      <w:pPr>
        <w:pStyle w:val="BodyText"/>
        <w:numPr>
          <w:ilvl w:val="0"/>
          <w:numId w:val="1"/>
        </w:numPr>
        <w:bidi w:val="0"/>
        <w:spacing w:lineRule="auto" w:line="360" w:before="0" w:after="0"/>
        <w:jc w:val="both"/>
        <w:rPr>
          <w:rFonts w:ascii="Arial" w:hAnsi="Arial"/>
        </w:rPr>
      </w:pPr>
      <w:r>
        <w:rPr>
          <w:rFonts w:eastAsia="Times New Roman" w:cs="Times New Roman"/>
          <w:b w:val="false"/>
          <w:i w:val="false"/>
          <w:caps w:val="false"/>
          <w:smallCaps w:val="false"/>
          <w:strike w:val="false"/>
          <w:dstrike w:val="false"/>
          <w:color w:val="000000"/>
          <w:sz w:val="24"/>
          <w:szCs w:val="24"/>
          <w:u w:val="none"/>
          <w:effect w:val="none"/>
          <w:shd w:fill="auto" w:val="clear"/>
        </w:rPr>
        <w:t>This is a high-level warning that the operational efficiency needs to be improved (Brealey, Myers and Allen, 2022).</w:t>
      </w:r>
    </w:p>
    <w:p>
      <w:pPr>
        <w:pStyle w:val="BodyText"/>
        <w:bidi w:val="0"/>
        <w:spacing w:lineRule="auto" w:line="360" w:before="0" w:after="0"/>
        <w:jc w:val="both"/>
        <w:rPr>
          <w:rFonts w:ascii="Arial" w:hAnsi="Arial"/>
        </w:rPr>
      </w:pPr>
      <w: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2) Net Profit Margin</w:t>
      </w:r>
    </w:p>
    <w:p>
      <w:pPr>
        <w:pStyle w:val="BodyText"/>
        <w:bidi w:val="0"/>
        <w:spacing w:lineRule="auto" w:line="360" w:before="0" w:after="0"/>
        <w:jc w:val="both"/>
        <w:rPr>
          <w:rFonts w:ascii="Arial" w:hAnsi="Arial"/>
        </w:rPr>
      </w:pPr>
      <w:r>
        <w:rPr/>
      </w:r>
    </w:p>
    <w:p>
      <w:pPr>
        <w:pStyle w:val="BodyText"/>
        <w:numPr>
          <w:ilvl w:val="0"/>
          <w:numId w:val="2"/>
        </w:numPr>
        <w:bidi w:val="0"/>
        <w:spacing w:lineRule="auto" w:line="360" w:before="0" w:after="0"/>
        <w:jc w:val="both"/>
        <w:rPr>
          <w:rFonts w:ascii="Arial" w:hAnsi="Arial"/>
        </w:rPr>
      </w:pPr>
      <w:r>
        <w:rPr>
          <w:rFonts w:eastAsia="Times New Roman" w:cs="Times New Roman"/>
          <w:b w:val="false"/>
          <w:i w:val="false"/>
          <w:caps w:val="false"/>
          <w:smallCaps w:val="false"/>
          <w:strike w:val="false"/>
          <w:dstrike w:val="false"/>
          <w:color w:val="000000"/>
          <w:sz w:val="24"/>
          <w:szCs w:val="24"/>
          <w:u w:val="none"/>
          <w:effect w:val="none"/>
          <w:shd w:fill="auto" w:val="clear"/>
        </w:rPr>
        <w:t xml:space="preserve">NPM is the ultimate measure of survival because it considers everything from operating costs, interest on loans to taxes. it shows the pure profit that remains in the firm. </w:t>
      </w:r>
    </w:p>
    <w:p>
      <w:pPr>
        <w:pStyle w:val="BodyText"/>
        <w:numPr>
          <w:ilvl w:val="0"/>
          <w:numId w:val="2"/>
        </w:numPr>
        <w:bidi w:val="0"/>
        <w:spacing w:lineRule="auto" w:line="360" w:before="0" w:after="0"/>
        <w:jc w:val="both"/>
        <w:rPr>
          <w:rFonts w:ascii="Arial" w:hAnsi="Arial"/>
        </w:rPr>
      </w:pPr>
      <w:r>
        <w:rPr>
          <w:rFonts w:eastAsia="Times New Roman" w:cs="Times New Roman"/>
          <w:b w:val="false"/>
          <w:i w:val="false"/>
          <w:caps w:val="false"/>
          <w:smallCaps w:val="false"/>
          <w:strike w:val="false"/>
          <w:dstrike w:val="false"/>
          <w:color w:val="000000"/>
          <w:sz w:val="24"/>
          <w:szCs w:val="24"/>
          <w:u w:val="none"/>
          <w:effect w:val="none"/>
          <w:shd w:fill="auto" w:val="clear"/>
        </w:rPr>
        <w:t>Net profit margins are at 5 years low with only 2.14% in 2025. The firm had healthy profit margin of 6.17% in 2021. Deteriorating net profit margins despite increasing revenu shows bottom line inefficiencies in the firm.</w:t>
      </w:r>
    </w:p>
    <w:p>
      <w:pPr>
        <w:pStyle w:val="BodyText"/>
        <w:numPr>
          <w:ilvl w:val="0"/>
          <w:numId w:val="2"/>
        </w:numPr>
        <w:bidi w:val="0"/>
        <w:spacing w:lineRule="auto" w:line="360" w:before="0" w:after="0"/>
        <w:jc w:val="both"/>
        <w:rPr>
          <w:rFonts w:ascii="Arial" w:hAnsi="Arial"/>
        </w:rPr>
      </w:pPr>
      <w:r>
        <w:rPr>
          <w:rFonts w:eastAsia="Times New Roman" w:cs="Times New Roman"/>
          <w:b w:val="false"/>
          <w:i w:val="false"/>
          <w:caps w:val="false"/>
          <w:smallCaps w:val="false"/>
          <w:strike w:val="false"/>
          <w:dstrike w:val="false"/>
          <w:color w:val="000000"/>
          <w:sz w:val="24"/>
          <w:szCs w:val="24"/>
          <w:u w:val="none"/>
          <w:effect w:val="none"/>
          <w:shd w:fill="auto" w:val="clear"/>
        </w:rPr>
        <w:t xml:space="preserve">This increasingly thin margin leaves almost no buffer to absorb external market shocks and the firm becomes vulnerable to future supply chain disruptions or global tariff hikes. </w:t>
      </w:r>
    </w:p>
    <w:p>
      <w:pPr>
        <w:pStyle w:val="BodyText"/>
        <w:bidi w:val="0"/>
        <w:spacing w:lineRule="auto" w:line="360" w:before="0" w:after="0"/>
        <w:jc w:val="both"/>
        <w:rPr>
          <w:rFonts w:ascii="Arial" w:hAnsi="Arial"/>
        </w:rPr>
      </w:pPr>
      <w: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3) Return on Equity</w:t>
      </w:r>
    </w:p>
    <w:p>
      <w:pPr>
        <w:pStyle w:val="BodyText"/>
        <w:bidi w:val="0"/>
        <w:spacing w:lineRule="auto" w:line="360" w:before="0" w:after="0"/>
        <w:jc w:val="both"/>
        <w:rPr>
          <w:rFonts w:ascii="Arial" w:hAnsi="Arial"/>
        </w:rPr>
      </w:pPr>
      <w:r>
        <w:rPr/>
      </w:r>
    </w:p>
    <w:p>
      <w:pPr>
        <w:pStyle w:val="BodyText"/>
        <w:numPr>
          <w:ilvl w:val="0"/>
          <w:numId w:val="3"/>
        </w:numPr>
        <w:bidi w:val="0"/>
        <w:spacing w:lineRule="auto" w:line="360" w:before="0" w:after="0"/>
        <w:jc w:val="both"/>
        <w:rPr>
          <w:rFonts w:ascii="Arial" w:hAnsi="Arial"/>
        </w:rPr>
      </w:pPr>
      <w:r>
        <w:rPr>
          <w:rFonts w:eastAsia="Times New Roman" w:cs="Times New Roman"/>
          <w:b w:val="false"/>
          <w:i w:val="false"/>
          <w:caps w:val="false"/>
          <w:smallCaps w:val="false"/>
          <w:strike w:val="false"/>
          <w:dstrike w:val="false"/>
          <w:color w:val="000000"/>
          <w:sz w:val="24"/>
          <w:szCs w:val="24"/>
          <w:u w:val="none"/>
          <w:effect w:val="none"/>
          <w:shd w:fill="auto" w:val="clear"/>
        </w:rPr>
        <w:t>ROE shows the efficiency of the management in translating shareholder’s investments into returns. It shows staggering drop from 10.56% in 2021 to 3.41% in 2025U+002e</w:t>
      </w:r>
    </w:p>
    <w:p>
      <w:pPr>
        <w:pStyle w:val="BodyText"/>
        <w:numPr>
          <w:ilvl w:val="0"/>
          <w:numId w:val="3"/>
        </w:numPr>
        <w:bidi w:val="0"/>
        <w:spacing w:lineRule="auto" w:line="360" w:before="0" w:after="0"/>
        <w:jc w:val="both"/>
        <w:rPr>
          <w:sz w:val="24"/>
          <w:szCs w:val="24"/>
        </w:rPr>
      </w:pPr>
      <w:r>
        <w:rPr>
          <w:rFonts w:eastAsia="Times New Roman" w:cs="Times New Roman"/>
          <w:b w:val="false"/>
          <w:i w:val="false"/>
          <w:caps w:val="false"/>
          <w:smallCaps w:val="false"/>
          <w:strike w:val="false"/>
          <w:dstrike w:val="false"/>
          <w:color w:val="000000"/>
          <w:sz w:val="24"/>
          <w:szCs w:val="24"/>
          <w:u w:val="none"/>
          <w:effect w:val="none"/>
          <w:shd w:fill="auto" w:val="clear"/>
        </w:rPr>
        <w:t>Shareholder’s Equity has continuously expanded (up to €202,400 million) through retained earnings, but the actual returns generated on this larger equity base have shrunk, meaning shareholders are seeing a significant decline in their investment value. Which can heavily penalize the firm's valuation and weaken its appeal to institutional investors (Hillier et al., 2020).</w:t>
      </w:r>
    </w:p>
    <w:p>
      <w:pPr>
        <w:pStyle w:val="Normal"/>
        <w:bidi w:val="0"/>
        <w:spacing w:lineRule="auto" w:line="360" w:before="0" w:after="200"/>
        <w:jc w:val="both"/>
        <w:rPr>
          <w:rFonts w:ascii="Arial" w:hAnsi="Arial"/>
          <w:sz w:val="24"/>
          <w:szCs w:val="24"/>
        </w:rPr>
      </w:pPr>
      <w:r>
        <w:rPr>
          <w:sz w:val="24"/>
          <w:szCs w:val="24"/>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Liquidity</w:t>
      </w:r>
    </w:p>
    <w:p>
      <w:pPr>
        <w:pStyle w:val="BodyText"/>
        <w:bidi w:val="0"/>
        <w:spacing w:lineRule="auto" w:line="360" w:before="0" w:after="0"/>
        <w:jc w:val="both"/>
        <w:rPr>
          <w:rFonts w:ascii="Arial" w:hAnsi="Arial" w:eastAsia="Times New Roman" w:cs="Times New Roman"/>
          <w:b w:val="false"/>
          <w:i w:val="false"/>
          <w:caps w:val="false"/>
          <w:smallCaps w:val="false"/>
          <w:strike w:val="false"/>
          <w:dstrike w:val="false"/>
          <w:color w:val="000000"/>
          <w:sz w:val="24"/>
          <w:szCs w:val="24"/>
          <w:u w:val="none"/>
          <w:effect w:val="none"/>
          <w:shd w:fill="auto" w:val="clear"/>
        </w:rPr>
      </w:pPr>
      <w:r>
        <w:rPr>
          <w:rFonts w:eastAsia="Times New Roman" w:cs="Times New Roman"/>
          <w:b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rPr>
      </w:pPr>
      <w:r>
        <w:rPr>
          <w:rFonts w:eastAsia="Times New Roman" w:cs="Times New Roman"/>
          <w:b w:val="false"/>
          <w:i w:val="false"/>
          <w:caps w:val="false"/>
          <w:smallCaps w:val="false"/>
          <w:strike w:val="false"/>
          <w:dstrike w:val="false"/>
          <w:color w:val="000000"/>
          <w:sz w:val="24"/>
          <w:szCs w:val="24"/>
          <w:u w:val="none"/>
          <w:effect w:val="none"/>
          <w:shd w:fill="auto" w:val="clear"/>
        </w:rPr>
        <w:t>The current ratio and quick ratio were selected as they provide dual view of the safety net for Volkswegan. These 2 will be able to provide us the broad view as well as the crisis view.</w:t>
      </w:r>
    </w:p>
    <w:p>
      <w:pPr>
        <w:pStyle w:val="BodyText"/>
        <w:bidi w:val="0"/>
        <w:spacing w:lineRule="auto" w:line="360" w:before="0" w:after="0"/>
        <w:jc w:val="both"/>
        <w:rPr>
          <w:rFonts w:ascii="Arial" w:hAnsi="Arial"/>
        </w:rPr>
      </w:pPr>
      <w:r>
        <w:rPr/>
      </w:r>
    </w:p>
    <w:p>
      <w:pPr>
        <w:pStyle w:val="BodyText"/>
        <w:bidi w:val="0"/>
        <w:spacing w:lineRule="auto" w:line="360" w:before="0" w:after="0"/>
        <w:jc w:val="both"/>
        <w:rPr>
          <w:rFonts w:ascii="Arial" w:hAnsi="Arial" w:eastAsia="Times New Roman" w:cs="Times New Roman"/>
          <w:b w:val="false"/>
          <w:i w:val="false"/>
          <w:caps w:val="false"/>
          <w:smallCaps w:val="false"/>
          <w:strike w:val="false"/>
          <w:dstrike w:val="false"/>
          <w:color w:val="000000"/>
          <w:sz w:val="24"/>
          <w:szCs w:val="24"/>
          <w:u w:val="none"/>
          <w:effect w:val="none"/>
          <w:shd w:fill="auto" w:val="clear"/>
        </w:rPr>
      </w:pPr>
      <w:r>
        <w:rPr>
          <w:rFonts w:eastAsia="Times New Roman" w:cs="Times New Roman"/>
          <w:b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1) Current Ratio</w:t>
      </w:r>
    </w:p>
    <w:p>
      <w:pPr>
        <w:pStyle w:val="BodyText"/>
        <w:bidi w:val="0"/>
        <w:spacing w:lineRule="auto" w:line="360" w:before="0" w:after="0"/>
        <w:jc w:val="both"/>
        <w:rPr>
          <w:rFonts w:ascii="Arial" w:hAnsi="Arial" w:eastAsia="Times New Roman" w:cs="Times New Roman"/>
          <w:b w:val="false"/>
          <w:i w:val="false"/>
          <w:caps w:val="false"/>
          <w:smallCaps w:val="false"/>
          <w:strike w:val="false"/>
          <w:dstrike w:val="false"/>
          <w:color w:val="000000"/>
          <w:sz w:val="24"/>
          <w:szCs w:val="24"/>
          <w:u w:val="none"/>
          <w:effect w:val="none"/>
          <w:shd w:fill="auto" w:val="clear"/>
        </w:rPr>
      </w:pPr>
      <w:r>
        <w:rPr>
          <w:rFonts w:eastAsia="Times New Roman" w:cs="Times New Roman"/>
          <w:b w:val="false"/>
          <w:i w:val="false"/>
          <w:caps w:val="false"/>
          <w:smallCaps w:val="false"/>
          <w:strike w:val="false"/>
          <w:dstrike w:val="false"/>
          <w:color w:val="000000"/>
          <w:sz w:val="24"/>
          <w:szCs w:val="24"/>
          <w:u w:val="none"/>
          <w:effect w:val="none"/>
          <w:shd w:fill="auto" w:val="clear"/>
        </w:rPr>
      </w:r>
    </w:p>
    <w:p>
      <w:pPr>
        <w:pStyle w:val="BodyText"/>
        <w:numPr>
          <w:ilvl w:val="0"/>
          <w:numId w:val="4"/>
        </w:numPr>
        <w:bidi w:val="0"/>
        <w:spacing w:lineRule="auto" w:line="360" w:before="0" w:after="0"/>
        <w:jc w:val="both"/>
        <w:rPr>
          <w:rFonts w:ascii="Arial" w:hAnsi="Arial"/>
        </w:rPr>
      </w:pPr>
      <w:r>
        <w:rPr>
          <w:rFonts w:eastAsia="Times New Roman" w:cs="Times New Roman"/>
          <w:b w:val="false"/>
          <w:i w:val="false"/>
          <w:caps w:val="false"/>
          <w:smallCaps w:val="false"/>
          <w:strike w:val="false"/>
          <w:dstrike w:val="false"/>
          <w:color w:val="000000"/>
          <w:sz w:val="24"/>
          <w:szCs w:val="24"/>
          <w:u w:val="none"/>
          <w:effect w:val="none"/>
          <w:shd w:fill="auto" w:val="clear"/>
        </w:rPr>
        <w:t>This  is also known as working capital ratio as it shows if Volkswegan has enough current assets to cover its total current liabilities. This ratio slightly dropped from 11.17 in 2021 to 1.15 in 2025 but it has halted at 1.15 for the past four years.</w:t>
      </w:r>
    </w:p>
    <w:p>
      <w:pPr>
        <w:pStyle w:val="BodyText"/>
        <w:numPr>
          <w:ilvl w:val="0"/>
          <w:numId w:val="4"/>
        </w:numPr>
        <w:bidi w:val="0"/>
        <w:spacing w:lineRule="auto" w:line="360" w:before="0" w:after="0"/>
        <w:jc w:val="both"/>
        <w:rPr>
          <w:rFonts w:ascii="Arial" w:hAnsi="Arial"/>
        </w:rPr>
      </w:pPr>
      <w:r>
        <w:rPr>
          <w:rFonts w:eastAsia="Times New Roman" w:cs="Times New Roman"/>
          <w:b w:val="false"/>
          <w:i w:val="false"/>
          <w:caps w:val="false"/>
          <w:smallCaps w:val="false"/>
          <w:strike w:val="false"/>
          <w:dstrike w:val="false"/>
          <w:color w:val="000000"/>
          <w:sz w:val="24"/>
          <w:szCs w:val="24"/>
          <w:u w:val="none"/>
          <w:effect w:val="none"/>
          <w:shd w:fill="auto" w:val="clear"/>
        </w:rPr>
        <w:t>The firm has €242,100 million in current assets and short-term debt of €210,500 million as of  2025. Technically it has sufficient resources to comfortably clear its short-term debt and prevent any immediate liquidity crisis in worsecase.</w:t>
      </w:r>
    </w:p>
    <w:p>
      <w:pPr>
        <w:pStyle w:val="BodyText"/>
        <w:numPr>
          <w:ilvl w:val="0"/>
          <w:numId w:val="4"/>
        </w:numPr>
        <w:bidi w:val="0"/>
        <w:spacing w:lineRule="auto" w:line="360" w:before="0" w:after="0"/>
        <w:jc w:val="both"/>
        <w:rPr>
          <w:rFonts w:ascii="Arial" w:hAnsi="Arial"/>
        </w:rPr>
      </w:pPr>
      <w:r>
        <w:rPr>
          <w:rFonts w:eastAsia="Times New Roman" w:cs="Times New Roman"/>
          <w:b w:val="false"/>
          <w:i w:val="false"/>
          <w:caps w:val="false"/>
          <w:smallCaps w:val="false"/>
          <w:strike w:val="false"/>
          <w:dstrike w:val="false"/>
          <w:color w:val="000000"/>
          <w:sz w:val="24"/>
          <w:szCs w:val="24"/>
          <w:u w:val="none"/>
          <w:effect w:val="none"/>
          <w:shd w:fill="auto" w:val="clear"/>
        </w:rPr>
        <w:t>Both the numbers over time also suggests that a massive volume of capital is trapped in the working capital cycle, which can limit Volkswagen’s agility as it will be difficult to fund sudden strategic pivots.</w:t>
      </w:r>
    </w:p>
    <w:p>
      <w:pPr>
        <w:pStyle w:val="BodyText"/>
        <w:bidi w:val="0"/>
        <w:spacing w:lineRule="auto" w:line="360" w:before="0" w:after="0"/>
        <w:jc w:val="both"/>
        <w:rPr>
          <w:rFonts w:ascii="Arial" w:hAnsi="Arial" w:eastAsia="Times New Roman" w:cs="Times New Roman"/>
          <w:b w:val="false"/>
          <w:i w:val="false"/>
          <w:caps w:val="false"/>
          <w:smallCaps w:val="false"/>
          <w:strike w:val="false"/>
          <w:dstrike w:val="false"/>
          <w:color w:val="000000"/>
          <w:sz w:val="24"/>
          <w:szCs w:val="24"/>
          <w:u w:val="none"/>
          <w:effect w:val="none"/>
          <w:shd w:fill="auto" w:val="clear"/>
        </w:rPr>
      </w:pPr>
      <w:r>
        <w:rPr>
          <w:rFonts w:eastAsia="Times New Roman" w:cs="Times New Roman"/>
          <w:b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2) Quick Ratio</w:t>
      </w:r>
    </w:p>
    <w:p>
      <w:pPr>
        <w:pStyle w:val="BodyText"/>
        <w:bidi w:val="0"/>
        <w:spacing w:lineRule="auto" w:line="360" w:before="0" w:after="0"/>
        <w:jc w:val="both"/>
        <w:rPr>
          <w:rFonts w:ascii="Arial" w:hAnsi="Arial" w:eastAsia="Times New Roman" w:cs="Times New Roman"/>
          <w:b w:val="false"/>
          <w:i w:val="false"/>
          <w:caps w:val="false"/>
          <w:smallCaps w:val="false"/>
          <w:strike w:val="false"/>
          <w:dstrike w:val="false"/>
          <w:color w:val="000000"/>
          <w:sz w:val="24"/>
          <w:szCs w:val="24"/>
          <w:u w:val="none"/>
          <w:effect w:val="none"/>
          <w:shd w:fill="auto" w:val="clear"/>
        </w:rPr>
      </w:pPr>
      <w:r>
        <w:rPr>
          <w:rFonts w:eastAsia="Times New Roman" w:cs="Times New Roman"/>
          <w:b w:val="false"/>
          <w:i w:val="false"/>
          <w:caps w:val="false"/>
          <w:smallCaps w:val="false"/>
          <w:strike w:val="false"/>
          <w:dstrike w:val="false"/>
          <w:color w:val="000000"/>
          <w:sz w:val="24"/>
          <w:szCs w:val="24"/>
          <w:u w:val="none"/>
          <w:effect w:val="none"/>
          <w:shd w:fill="auto" w:val="clear"/>
        </w:rPr>
      </w:r>
    </w:p>
    <w:p>
      <w:pPr>
        <w:pStyle w:val="BodyText"/>
        <w:numPr>
          <w:ilvl w:val="0"/>
          <w:numId w:val="4"/>
        </w:numPr>
        <w:bidi w:val="0"/>
        <w:spacing w:lineRule="auto" w:line="360" w:before="0" w:after="0"/>
        <w:jc w:val="both"/>
        <w:rPr>
          <w:rFonts w:ascii="Arial" w:hAnsi="Arial"/>
        </w:rPr>
      </w:pPr>
      <w:r>
        <w:rPr>
          <w:rFonts w:eastAsia="Times New Roman" w:cs="Times New Roman"/>
          <w:b w:val="false"/>
          <w:i w:val="false"/>
          <w:caps w:val="false"/>
          <w:smallCaps w:val="false"/>
          <w:strike w:val="false"/>
          <w:dstrike w:val="false"/>
          <w:color w:val="000000"/>
          <w:sz w:val="24"/>
          <w:szCs w:val="24"/>
          <w:u w:val="none"/>
          <w:effect w:val="none"/>
          <w:shd w:fill="auto" w:val="clear"/>
        </w:rPr>
        <w:t>This shows if Volkswegan has enough current assets to cover its total current liabilities without considering the inventory. Hence, it is also known as working capital ratio. This ratio dropped from 0.90 in 2021 to 0.86 in 2025.</w:t>
      </w:r>
    </w:p>
    <w:p>
      <w:pPr>
        <w:pStyle w:val="BodyText"/>
        <w:numPr>
          <w:ilvl w:val="0"/>
          <w:numId w:val="4"/>
        </w:numPr>
        <w:bidi w:val="0"/>
        <w:spacing w:lineRule="auto" w:line="360" w:before="0" w:after="0"/>
        <w:jc w:val="both"/>
        <w:rPr>
          <w:rFonts w:ascii="Arial" w:hAnsi="Arial"/>
        </w:rPr>
      </w:pPr>
      <w:r>
        <w:rPr>
          <w:rFonts w:eastAsia="Times New Roman" w:cs="Times New Roman"/>
          <w:b w:val="false"/>
          <w:i w:val="false"/>
          <w:caps w:val="false"/>
          <w:smallCaps w:val="false"/>
          <w:strike w:val="false"/>
          <w:dstrike w:val="false"/>
          <w:color w:val="000000"/>
          <w:sz w:val="24"/>
          <w:szCs w:val="24"/>
          <w:u w:val="none"/>
          <w:effect w:val="none"/>
          <w:shd w:fill="auto" w:val="clear"/>
        </w:rPr>
        <w:t>Meaning firm’s liabilities have increased more than the assets over the 5 years and safety margins have become thinner. It also indicates that liquid cash and equivalents are growing at a slower pace than it’s immediate financial obligations.</w:t>
      </w:r>
    </w:p>
    <w:p>
      <w:pPr>
        <w:pStyle w:val="BodyText"/>
        <w:numPr>
          <w:ilvl w:val="0"/>
          <w:numId w:val="4"/>
        </w:numPr>
        <w:bidi w:val="0"/>
        <w:spacing w:lineRule="auto" w:line="360" w:before="0" w:after="0"/>
        <w:jc w:val="both"/>
        <w:rPr>
          <w:rFonts w:ascii="Arial" w:hAnsi="Arial"/>
        </w:rPr>
      </w:pPr>
      <w:r>
        <w:rPr>
          <w:rFonts w:eastAsia="Times New Roman" w:cs="Times New Roman"/>
          <w:b w:val="false"/>
          <w:i w:val="false"/>
          <w:caps w:val="false"/>
          <w:smallCaps w:val="false"/>
          <w:strike w:val="false"/>
          <w:dstrike w:val="false"/>
          <w:color w:val="000000"/>
          <w:sz w:val="24"/>
          <w:szCs w:val="24"/>
          <w:u w:val="none"/>
          <w:effect w:val="none"/>
          <w:shd w:fill="auto" w:val="clear"/>
        </w:rPr>
        <w:t>Moreover, the quick ratio consistently below the traditional 1.0 benchmark reveals that the firm is unable to cover it’s short-term liabilities without relying on the assumed future inventory sales. if global car sales were to stall, the available liquid cash and receivables would be insufficient to meet immediate obligations.</w:t>
      </w:r>
    </w:p>
    <w:p>
      <w:pPr>
        <w:pStyle w:val="BodyText"/>
        <w:bidi w:val="0"/>
        <w:spacing w:lineRule="auto" w:line="360" w:before="0" w:after="0"/>
        <w:jc w:val="both"/>
        <w:rPr>
          <w:rFonts w:ascii="Arial" w:hAnsi="Arial"/>
        </w:rPr>
      </w:pPr>
      <w: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Efficiency</w:t>
      </w:r>
    </w:p>
    <w:p>
      <w:pPr>
        <w:pStyle w:val="BodyText"/>
        <w:bidi w:val="0"/>
        <w:spacing w:lineRule="auto" w:line="360" w:before="0" w:after="0"/>
        <w:jc w:val="both"/>
        <w:rPr>
          <w:rFonts w:ascii="Arial" w:hAnsi="Arial"/>
        </w:rPr>
      </w:pPr>
      <w: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1) Receivable turnover ratio</w:t>
      </w:r>
    </w:p>
    <w:p>
      <w:pPr>
        <w:pStyle w:val="BodyText"/>
        <w:bidi w:val="0"/>
        <w:spacing w:lineRule="auto" w:line="360" w:before="0" w:after="0"/>
        <w:jc w:val="both"/>
        <w:rPr>
          <w:rFonts w:ascii="Arial" w:hAnsi="Arial" w:eastAsia="Times New Roman" w:cs="Times New Roman"/>
          <w:b w:val="false"/>
          <w:i w:val="false"/>
          <w:caps w:val="false"/>
          <w:smallCaps w:val="false"/>
          <w:strike w:val="false"/>
          <w:dstrike w:val="false"/>
          <w:color w:val="000000"/>
          <w:sz w:val="24"/>
          <w:szCs w:val="24"/>
          <w:u w:val="none"/>
          <w:effect w:val="none"/>
          <w:shd w:fill="auto" w:val="clear"/>
        </w:rPr>
      </w:pPr>
      <w:r>
        <w:rPr>
          <w:rFonts w:eastAsia="Times New Roman" w:cs="Times New Roman"/>
          <w:b w:val="false"/>
          <w:i w:val="false"/>
          <w:caps w:val="false"/>
          <w:smallCaps w:val="false"/>
          <w:strike w:val="false"/>
          <w:dstrike w:val="false"/>
          <w:color w:val="000000"/>
          <w:sz w:val="24"/>
          <w:szCs w:val="24"/>
          <w:u w:val="none"/>
          <w:effect w:val="none"/>
          <w:shd w:fill="auto" w:val="clear"/>
        </w:rPr>
      </w:r>
    </w:p>
    <w:p>
      <w:pPr>
        <w:pStyle w:val="BodyText"/>
        <w:numPr>
          <w:ilvl w:val="0"/>
          <w:numId w:val="6"/>
        </w:numPr>
        <w:bidi w:val="0"/>
        <w:spacing w:lineRule="auto" w:line="360" w:before="0" w:after="0"/>
        <w:jc w:val="both"/>
        <w:rPr/>
      </w:pPr>
      <w:r>
        <w:rPr>
          <w:rFonts w:eastAsia="Times New Roman" w:cs="Times New Roman"/>
          <w:b w:val="false"/>
          <w:i w:val="false"/>
          <w:caps w:val="false"/>
          <w:smallCaps w:val="false"/>
          <w:strike w:val="false"/>
          <w:dstrike w:val="false"/>
          <w:color w:val="000000"/>
          <w:sz w:val="24"/>
          <w:szCs w:val="24"/>
          <w:u w:val="none"/>
          <w:effect w:val="none"/>
          <w:shd w:fill="auto" w:val="clear"/>
        </w:rPr>
        <w:t>It measures how many times Volkswegan collects its average accounts receivable every year.</w:t>
      </w:r>
    </w:p>
    <w:p>
      <w:pPr>
        <w:pStyle w:val="BodyText"/>
        <w:numPr>
          <w:ilvl w:val="0"/>
          <w:numId w:val="6"/>
        </w:numPr>
        <w:bidi w:val="0"/>
        <w:spacing w:lineRule="auto" w:line="360" w:before="0" w:after="0"/>
        <w:jc w:val="both"/>
        <w:rPr/>
      </w:pPr>
      <w:r>
        <w:rPr>
          <w:rFonts w:eastAsia="Times New Roman" w:cs="Times New Roman"/>
          <w:b w:val="false"/>
          <w:i w:val="false"/>
          <w:caps w:val="false"/>
          <w:smallCaps w:val="false"/>
          <w:strike w:val="false"/>
          <w:dstrike w:val="false"/>
          <w:color w:val="000000"/>
          <w:sz w:val="24"/>
          <w:szCs w:val="24"/>
          <w:u w:val="none"/>
          <w:effect w:val="none"/>
          <w:shd w:fill="auto" w:val="clear"/>
        </w:rPr>
        <w:t>The receivable turnover ratio has steadily dropped from 13.82 to 11.33. which shows that Volkswegan is taking significantly longer to collect payments from its customers and the collection period has stretched from roughly 79 days to 82 days.</w:t>
      </w:r>
    </w:p>
    <w:p>
      <w:pPr>
        <w:pStyle w:val="BodyText"/>
        <w:bidi w:val="0"/>
        <w:spacing w:lineRule="auto" w:line="360" w:before="0" w:after="0"/>
        <w:jc w:val="both"/>
        <w:rPr>
          <w:rFonts w:ascii="Arial" w:hAnsi="Arial"/>
        </w:rPr>
      </w:pPr>
      <w: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2) Inventory turnover ratio</w:t>
      </w:r>
    </w:p>
    <w:p>
      <w:pPr>
        <w:pStyle w:val="BodyText"/>
        <w:bidi w:val="0"/>
        <w:spacing w:lineRule="auto" w:line="360" w:before="0" w:after="0"/>
        <w:jc w:val="both"/>
        <w:rPr>
          <w:rFonts w:ascii="Arial" w:hAnsi="Arial" w:eastAsia="Times New Roman" w:cs="Times New Roman"/>
          <w:b w:val="false"/>
          <w:i w:val="false"/>
          <w:caps w:val="false"/>
          <w:smallCaps w:val="false"/>
          <w:strike w:val="false"/>
          <w:dstrike w:val="false"/>
          <w:color w:val="000000"/>
          <w:sz w:val="24"/>
          <w:szCs w:val="24"/>
          <w:u w:val="none"/>
          <w:effect w:val="none"/>
          <w:shd w:fill="auto" w:val="clear"/>
        </w:rPr>
      </w:pPr>
      <w:r>
        <w:rPr>
          <w:rFonts w:eastAsia="Times New Roman" w:cs="Times New Roman"/>
          <w:b w:val="false"/>
          <w:i w:val="false"/>
          <w:caps w:val="false"/>
          <w:smallCaps w:val="false"/>
          <w:strike w:val="false"/>
          <w:dstrike w:val="false"/>
          <w:color w:val="000000"/>
          <w:sz w:val="24"/>
          <w:szCs w:val="24"/>
          <w:u w:val="none"/>
          <w:effect w:val="none"/>
          <w:shd w:fill="auto" w:val="clear"/>
        </w:rPr>
      </w:r>
    </w:p>
    <w:p>
      <w:pPr>
        <w:pStyle w:val="BodyText"/>
        <w:numPr>
          <w:ilvl w:val="0"/>
          <w:numId w:val="7"/>
        </w:numPr>
        <w:bidi w:val="0"/>
        <w:spacing w:lineRule="auto" w:line="360" w:before="0" w:after="0"/>
        <w:jc w:val="both"/>
        <w:rPr/>
      </w:pPr>
      <w:r>
        <w:rPr>
          <w:rFonts w:eastAsia="Times New Roman" w:cs="Times New Roman"/>
          <w:b w:val="false"/>
          <w:i w:val="false"/>
          <w:caps w:val="false"/>
          <w:smallCaps w:val="false"/>
          <w:strike w:val="false"/>
          <w:dstrike w:val="false"/>
          <w:color w:val="000000"/>
          <w:sz w:val="24"/>
          <w:szCs w:val="24"/>
          <w:u w:val="none"/>
          <w:effect w:val="none"/>
          <w:shd w:fill="auto" w:val="clear"/>
        </w:rPr>
        <w:t>The Inventory Turnover Ratio shows how often the firm's stock is sold and replaced. For Volkwegan, it was 4.59 in 2021 and now it is 4.44 in 2025.</w:t>
      </w:r>
    </w:p>
    <w:p>
      <w:pPr>
        <w:pStyle w:val="BodyText"/>
        <w:numPr>
          <w:ilvl w:val="0"/>
          <w:numId w:val="7"/>
        </w:numPr>
        <w:bidi w:val="0"/>
        <w:spacing w:lineRule="auto" w:line="360" w:before="0" w:after="0"/>
        <w:jc w:val="both"/>
        <w:rPr>
          <w:rFonts w:ascii="Arial" w:hAnsi="Arial"/>
        </w:rPr>
      </w:pPr>
      <w:r>
        <w:rPr>
          <w:rFonts w:eastAsia="Times New Roman" w:cs="Times New Roman"/>
          <w:b w:val="false"/>
          <w:i w:val="false"/>
          <w:caps w:val="false"/>
          <w:smallCaps w:val="false"/>
          <w:strike w:val="false"/>
          <w:dstrike w:val="false"/>
          <w:color w:val="000000"/>
          <w:sz w:val="24"/>
          <w:szCs w:val="24"/>
          <w:u w:val="none"/>
          <w:effect w:val="none"/>
          <w:shd w:fill="auto" w:val="clear"/>
        </w:rPr>
        <w:t>The decreasing ratio suggests and €61,000 million(2025) in physical inventory shows that a massive amount of working capital is freezed. Which could be deployed into debt reduction or software development, if available.</w:t>
      </w:r>
    </w:p>
    <w:p>
      <w:pPr>
        <w:pStyle w:val="BodyText"/>
        <w:bidi w:val="0"/>
        <w:spacing w:lineRule="auto" w:line="360" w:before="0" w:after="0"/>
        <w:jc w:val="both"/>
        <w:rPr>
          <w:rFonts w:ascii="Arial" w:hAnsi="Arial"/>
        </w:rPr>
      </w:pPr>
      <w: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Gearing</w:t>
      </w:r>
    </w:p>
    <w:p>
      <w:pPr>
        <w:pStyle w:val="BodyText"/>
        <w:bidi w:val="0"/>
        <w:spacing w:lineRule="auto" w:line="360" w:before="0" w:after="0"/>
        <w:jc w:val="both"/>
        <w:rPr>
          <w:rFonts w:ascii="Arial" w:hAnsi="Arial"/>
        </w:rPr>
      </w:pPr>
      <w: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1) Debt to equity ratio</w:t>
      </w:r>
    </w:p>
    <w:p>
      <w:pPr>
        <w:pStyle w:val="BodyText"/>
        <w:bidi w:val="0"/>
        <w:spacing w:lineRule="auto" w:line="360" w:before="0" w:after="0"/>
        <w:jc w:val="both"/>
        <w:rPr>
          <w:rFonts w:ascii="Arial" w:hAnsi="Arial" w:eastAsia="Times New Roman" w:cs="Times New Roman"/>
          <w:b w:val="false"/>
          <w:i w:val="false"/>
          <w:caps w:val="false"/>
          <w:smallCaps w:val="false"/>
          <w:strike w:val="false"/>
          <w:dstrike w:val="false"/>
          <w:color w:val="000000"/>
          <w:sz w:val="24"/>
          <w:szCs w:val="24"/>
          <w:u w:val="none"/>
          <w:effect w:val="none"/>
          <w:shd w:fill="auto" w:val="clear"/>
        </w:rPr>
      </w:pPr>
      <w:r>
        <w:rPr>
          <w:rFonts w:eastAsia="Times New Roman" w:cs="Times New Roman"/>
          <w:b w:val="false"/>
          <w:i w:val="false"/>
          <w:caps w:val="false"/>
          <w:smallCaps w:val="false"/>
          <w:strike w:val="false"/>
          <w:dstrike w:val="false"/>
          <w:color w:val="000000"/>
          <w:sz w:val="24"/>
          <w:szCs w:val="24"/>
          <w:u w:val="none"/>
          <w:effect w:val="none"/>
          <w:shd w:fill="auto" w:val="clear"/>
        </w:rPr>
      </w:r>
    </w:p>
    <w:p>
      <w:pPr>
        <w:pStyle w:val="BodyText"/>
        <w:numPr>
          <w:ilvl w:val="0"/>
          <w:numId w:val="8"/>
        </w:numPr>
        <w:bidi w:val="0"/>
        <w:spacing w:lineRule="auto" w:line="360" w:before="0" w:after="0"/>
        <w:jc w:val="both"/>
        <w:rPr/>
      </w:pPr>
      <w:r>
        <w:rPr>
          <w:rFonts w:eastAsia="Times New Roman" w:cs="Times New Roman"/>
          <w:b w:val="false"/>
          <w:i w:val="false"/>
          <w:caps w:val="false"/>
          <w:smallCaps w:val="false"/>
          <w:strike w:val="false"/>
          <w:dstrike w:val="false"/>
          <w:color w:val="000000"/>
          <w:sz w:val="24"/>
          <w:szCs w:val="24"/>
          <w:u w:val="none"/>
          <w:effect w:val="none"/>
          <w:shd w:fill="auto" w:val="clear"/>
        </w:rPr>
        <w:t>It is the ratio between total liabilities of the firm and shareholder equity. It has steadily decreased from 2.62 in 2021 to 2.22 in 2025.</w:t>
      </w:r>
    </w:p>
    <w:p>
      <w:pPr>
        <w:pStyle w:val="BodyText"/>
        <w:numPr>
          <w:ilvl w:val="0"/>
          <w:numId w:val="8"/>
        </w:numPr>
        <w:bidi w:val="0"/>
        <w:spacing w:lineRule="auto" w:line="360" w:before="0" w:after="0"/>
        <w:jc w:val="both"/>
        <w:rPr/>
      </w:pPr>
      <w:r>
        <w:rPr>
          <w:rFonts w:eastAsia="Times New Roman" w:cs="Times New Roman"/>
          <w:b w:val="false"/>
          <w:i w:val="false"/>
          <w:caps w:val="false"/>
          <w:smallCaps w:val="false"/>
          <w:strike w:val="false"/>
          <w:dstrike w:val="false"/>
          <w:color w:val="000000"/>
          <w:sz w:val="24"/>
          <w:szCs w:val="24"/>
          <w:u w:val="none"/>
          <w:effect w:val="none"/>
          <w:shd w:fill="auto" w:val="clear"/>
        </w:rPr>
        <w:t>Total shareholders' equity has increased from £146,154 million in 2021 to £202,400 million in 2025.</w:t>
      </w:r>
    </w:p>
    <w:p>
      <w:pPr>
        <w:pStyle w:val="BodyText"/>
        <w:numPr>
          <w:ilvl w:val="0"/>
          <w:numId w:val="8"/>
        </w:numPr>
        <w:bidi w:val="0"/>
        <w:spacing w:lineRule="auto" w:line="360" w:before="0" w:after="0"/>
        <w:jc w:val="both"/>
        <w:rPr/>
      </w:pPr>
      <w:r>
        <w:rPr>
          <w:rFonts w:eastAsia="Times New Roman" w:cs="Times New Roman"/>
          <w:b w:val="false"/>
          <w:i w:val="false"/>
          <w:caps w:val="false"/>
          <w:smallCaps w:val="false"/>
          <w:strike w:val="false"/>
          <w:dstrike w:val="false"/>
          <w:color w:val="000000"/>
          <w:sz w:val="24"/>
          <w:szCs w:val="24"/>
          <w:u w:val="none"/>
          <w:effect w:val="none"/>
          <w:shd w:fill="auto" w:val="clear"/>
        </w:rPr>
        <w:t>This means firm is funding most of its assets through internally generated equity rather than debt.</w:t>
      </w:r>
    </w:p>
    <w:p>
      <w:pPr>
        <w:pStyle w:val="BodyText"/>
        <w:bidi w:val="0"/>
        <w:spacing w:lineRule="auto" w:line="360" w:before="0" w:after="0"/>
        <w:jc w:val="both"/>
        <w:rPr>
          <w:rFonts w:ascii="Arial" w:hAnsi="Arial"/>
        </w:rPr>
      </w:pPr>
      <w: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2) Interest coverage ratio</w:t>
      </w:r>
    </w:p>
    <w:p>
      <w:pPr>
        <w:pStyle w:val="BodyText"/>
        <w:bidi w:val="0"/>
        <w:spacing w:lineRule="auto" w:line="360" w:before="0" w:after="0"/>
        <w:jc w:val="both"/>
        <w:rPr>
          <w:rFonts w:ascii="Arial" w:hAnsi="Arial" w:eastAsia="Times New Roman" w:cs="Times New Roman"/>
          <w:b w:val="false"/>
          <w:i w:val="false"/>
          <w:caps w:val="false"/>
          <w:smallCaps w:val="false"/>
          <w:strike w:val="false"/>
          <w:dstrike w:val="false"/>
          <w:color w:val="000000"/>
          <w:sz w:val="24"/>
          <w:szCs w:val="24"/>
          <w:u w:val="none"/>
          <w:effect w:val="none"/>
          <w:shd w:fill="auto" w:val="clear"/>
        </w:rPr>
      </w:pPr>
      <w:r>
        <w:rPr>
          <w:rFonts w:eastAsia="Times New Roman" w:cs="Times New Roman"/>
          <w:b w:val="false"/>
          <w:i w:val="false"/>
          <w:caps w:val="false"/>
          <w:smallCaps w:val="false"/>
          <w:strike w:val="false"/>
          <w:dstrike w:val="false"/>
          <w:color w:val="000000"/>
          <w:sz w:val="24"/>
          <w:szCs w:val="24"/>
          <w:u w:val="none"/>
          <w:effect w:val="none"/>
          <w:shd w:fill="auto" w:val="clear"/>
        </w:rPr>
      </w:r>
    </w:p>
    <w:p>
      <w:pPr>
        <w:pStyle w:val="BodyText"/>
        <w:numPr>
          <w:ilvl w:val="0"/>
          <w:numId w:val="9"/>
        </w:numPr>
        <w:bidi w:val="0"/>
        <w:spacing w:lineRule="auto" w:line="360" w:before="0" w:after="0"/>
        <w:jc w:val="both"/>
        <w:rPr/>
      </w:pPr>
      <w:r>
        <w:rPr>
          <w:rFonts w:eastAsia="Times New Roman" w:cs="Times New Roman"/>
          <w:b w:val="false"/>
          <w:i w:val="false"/>
          <w:caps w:val="false"/>
          <w:smallCaps w:val="false"/>
          <w:strike w:val="false"/>
          <w:dstrike w:val="false"/>
          <w:color w:val="000000"/>
          <w:sz w:val="24"/>
          <w:szCs w:val="24"/>
          <w:u w:val="none"/>
          <w:effect w:val="none"/>
          <w:shd w:fill="auto" w:val="clear"/>
        </w:rPr>
        <w:t xml:space="preserve">The firm has operating income of £19,275 million in 2021, which dropped to £8,868 million in 2025. on the other side, firm’s expanses have increased from £1,304 million in 2021 to £3,245 million in 2025. </w:t>
      </w:r>
    </w:p>
    <w:p>
      <w:pPr>
        <w:pStyle w:val="BodyText"/>
        <w:numPr>
          <w:ilvl w:val="0"/>
          <w:numId w:val="9"/>
        </w:numPr>
        <w:bidi w:val="0"/>
        <w:spacing w:lineRule="auto" w:line="360" w:before="0" w:after="0"/>
        <w:jc w:val="both"/>
        <w:rPr>
          <w:sz w:val="24"/>
          <w:szCs w:val="24"/>
        </w:rPr>
      </w:pPr>
      <w:r>
        <w:rPr>
          <w:rFonts w:eastAsia="Times New Roman" w:cs="Times New Roman"/>
          <w:b w:val="false"/>
          <w:i w:val="false"/>
          <w:caps w:val="false"/>
          <w:smallCaps w:val="false"/>
          <w:strike w:val="false"/>
          <w:dstrike w:val="false"/>
          <w:color w:val="000000"/>
          <w:sz w:val="24"/>
          <w:szCs w:val="24"/>
          <w:u w:val="none"/>
          <w:effect w:val="none"/>
          <w:shd w:fill="auto" w:val="clear"/>
        </w:rPr>
        <w:t>This is Perhaps the most alarming metric in this report as the Interest Coverage Ratio has collapsed from 14.78 in 2021 to 2.73 in 2025.</w:t>
      </w:r>
    </w:p>
    <w:p>
      <w:pPr>
        <w:pStyle w:val="BodyText"/>
        <w:numPr>
          <w:ilvl w:val="0"/>
          <w:numId w:val="9"/>
        </w:numPr>
        <w:bidi w:val="0"/>
        <w:spacing w:lineRule="auto" w:line="360" w:before="0" w:after="0"/>
        <w:jc w:val="both"/>
        <w:rPr>
          <w:sz w:val="24"/>
          <w:szCs w:val="24"/>
        </w:rPr>
      </w:pPr>
      <w:r>
        <w:rPr>
          <w:rFonts w:eastAsia="Times New Roman" w:cs="Times New Roman"/>
          <w:b w:val="false"/>
          <w:i w:val="false"/>
          <w:caps w:val="false"/>
          <w:smallCaps w:val="false"/>
          <w:strike w:val="false"/>
          <w:dstrike w:val="false"/>
          <w:color w:val="000000"/>
          <w:sz w:val="24"/>
          <w:szCs w:val="24"/>
          <w:u w:val="none"/>
          <w:effect w:val="none"/>
          <w:shd w:fill="auto" w:val="clear"/>
        </w:rPr>
        <w:t>This dramatic drop increases financial vulnerability and default risk for the firm and that might result in credit downgrades; which makes future debt issuance for EV infrastructure significantly more expensive.</w:t>
      </w:r>
    </w:p>
    <w:p>
      <w:pPr>
        <w:pStyle w:val="BodyText"/>
        <w:bidi w:val="0"/>
        <w:spacing w:lineRule="auto" w:line="360" w:before="0" w:after="0"/>
        <w:jc w:val="both"/>
        <w:rPr>
          <w:rFonts w:ascii="Arial" w:hAnsi="Arial"/>
          <w:sz w:val="24"/>
          <w:szCs w:val="24"/>
        </w:rPr>
      </w:pPr>
      <w:r>
        <w:rPr>
          <w:sz w:val="24"/>
          <w:szCs w:val="24"/>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Investment</w:t>
      </w:r>
    </w:p>
    <w:p>
      <w:pPr>
        <w:pStyle w:val="BodyText"/>
        <w:bidi w:val="0"/>
        <w:spacing w:lineRule="auto" w:line="360" w:before="0" w:after="0"/>
        <w:jc w:val="both"/>
        <w:rPr>
          <w:rFonts w:ascii="Arial" w:hAnsi="Arial"/>
        </w:rPr>
      </w:pPr>
      <w: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1) Earning Per Share</w:t>
      </w:r>
    </w:p>
    <w:p>
      <w:pPr>
        <w:pStyle w:val="BodyText"/>
        <w:bidi w:val="0"/>
        <w:spacing w:lineRule="auto" w:line="360" w:before="0" w:after="0"/>
        <w:jc w:val="both"/>
        <w:rPr>
          <w:rFonts w:ascii="Arial" w:hAnsi="Arial" w:eastAsia="Times New Roman" w:cs="Times New Roman"/>
          <w:b w:val="false"/>
          <w:i w:val="false"/>
          <w:caps w:val="false"/>
          <w:smallCaps w:val="false"/>
          <w:strike w:val="false"/>
          <w:dstrike w:val="false"/>
          <w:color w:val="000000"/>
          <w:sz w:val="24"/>
          <w:szCs w:val="24"/>
          <w:u w:val="none"/>
          <w:effect w:val="none"/>
          <w:shd w:fill="auto" w:val="clear"/>
        </w:rPr>
      </w:pPr>
      <w:r>
        <w:rPr>
          <w:rFonts w:eastAsia="Times New Roman" w:cs="Times New Roman"/>
          <w:b w:val="false"/>
          <w:i w:val="false"/>
          <w:caps w:val="false"/>
          <w:smallCaps w:val="false"/>
          <w:strike w:val="false"/>
          <w:dstrike w:val="false"/>
          <w:color w:val="000000"/>
          <w:sz w:val="24"/>
          <w:szCs w:val="24"/>
          <w:u w:val="none"/>
          <w:effect w:val="none"/>
          <w:shd w:fill="auto" w:val="clear"/>
        </w:rPr>
      </w:r>
    </w:p>
    <w:p>
      <w:pPr>
        <w:pStyle w:val="BodyText"/>
        <w:numPr>
          <w:ilvl w:val="0"/>
          <w:numId w:val="10"/>
        </w:numPr>
        <w:bidi w:val="0"/>
        <w:spacing w:lineRule="auto" w:line="360" w:before="0" w:after="0"/>
        <w:jc w:val="both"/>
        <w:rPr/>
      </w:pPr>
      <w:r>
        <w:rPr>
          <w:rFonts w:eastAsia="Times New Roman" w:cs="Times New Roman"/>
          <w:b w:val="false"/>
          <w:i w:val="false"/>
          <w:caps w:val="false"/>
          <w:smallCaps w:val="false"/>
          <w:strike w:val="false"/>
          <w:dstrike w:val="false"/>
          <w:color w:val="000000"/>
          <w:sz w:val="24"/>
          <w:szCs w:val="24"/>
          <w:u w:val="none"/>
          <w:effect w:val="none"/>
          <w:shd w:fill="auto" w:val="clear"/>
        </w:rPr>
        <w:t xml:space="preserve">The EPS represents - how much profit a company allocates to each outstanding share of common stock. For Volkswagen It has been falling from €29.59 in 2021 to €11.50 in 2025. </w:t>
      </w:r>
    </w:p>
    <w:p>
      <w:pPr>
        <w:pStyle w:val="BodyText"/>
        <w:numPr>
          <w:ilvl w:val="0"/>
          <w:numId w:val="10"/>
        </w:numPr>
        <w:bidi w:val="0"/>
        <w:spacing w:lineRule="auto" w:line="360" w:before="0" w:after="0"/>
        <w:jc w:val="both"/>
        <w:rPr>
          <w:rFonts w:eastAsia="Times New Roman" w:cs="Times New Roman"/>
          <w:b w:val="false"/>
          <w:i w:val="false"/>
          <w:caps w:val="false"/>
          <w:smallCaps w:val="false"/>
          <w:strike w:val="false"/>
          <w:dstrike w:val="false"/>
          <w:color w:val="000000"/>
          <w:sz w:val="24"/>
          <w:szCs w:val="24"/>
          <w:u w:val="none"/>
          <w:effect w:val="none"/>
          <w:shd w:fill="auto" w:val="clear"/>
        </w:rPr>
      </w:pPr>
      <w:r>
        <w:rPr>
          <w:rFonts w:eastAsia="Times New Roman" w:cs="Times New Roman"/>
          <w:b w:val="false"/>
          <w:i w:val="false"/>
          <w:caps w:val="false"/>
          <w:smallCaps w:val="false"/>
          <w:strike w:val="false"/>
          <w:dstrike w:val="false"/>
          <w:color w:val="000000"/>
          <w:sz w:val="24"/>
          <w:szCs w:val="24"/>
          <w:u w:val="none"/>
          <w:effect w:val="none"/>
          <w:shd w:fill="auto" w:val="clear"/>
        </w:rPr>
        <w:t>This drop can create negative perception for investors as it indicates that company has to cut future dividend payouts to preserve capital.</w:t>
      </w:r>
    </w:p>
    <w:p>
      <w:pPr>
        <w:pStyle w:val="BodyText"/>
        <w:bidi w:val="0"/>
        <w:spacing w:lineRule="auto" w:line="360" w:before="0" w:after="0"/>
        <w:jc w:val="both"/>
        <w:rPr>
          <w:rFonts w:ascii="Arial" w:hAnsi="Arial"/>
          <w:sz w:val="24"/>
          <w:szCs w:val="24"/>
        </w:rPr>
      </w:pPr>
      <w:r>
        <w:rPr>
          <w:sz w:val="24"/>
          <w:szCs w:val="24"/>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Cashflow</w:t>
      </w:r>
    </w:p>
    <w:p>
      <w:pPr>
        <w:pStyle w:val="BodyText"/>
        <w:bidi w:val="0"/>
        <w:spacing w:lineRule="auto" w:line="360" w:before="0" w:after="0"/>
        <w:jc w:val="both"/>
        <w:rPr>
          <w:rFonts w:ascii="Arial" w:hAnsi="Arial"/>
          <w:sz w:val="24"/>
          <w:szCs w:val="24"/>
        </w:rPr>
      </w:pPr>
      <w:r>
        <w:rPr>
          <w:sz w:val="24"/>
          <w:szCs w:val="24"/>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1) Operating Cash Flow Margin</w:t>
      </w:r>
    </w:p>
    <w:p>
      <w:pPr>
        <w:pStyle w:val="BodyText"/>
        <w:bidi w:val="0"/>
        <w:spacing w:lineRule="auto" w:line="360" w:before="0" w:after="0"/>
        <w:jc w:val="both"/>
        <w:rPr>
          <w:rFonts w:ascii="Arial" w:hAnsi="Arial" w:eastAsia="Times New Roman" w:cs="Times New Roman"/>
          <w:b w:val="false"/>
          <w:i w:val="false"/>
          <w:caps w:val="false"/>
          <w:smallCaps w:val="false"/>
          <w:strike w:val="false"/>
          <w:dstrike w:val="false"/>
          <w:color w:val="000000"/>
          <w:sz w:val="24"/>
          <w:szCs w:val="24"/>
          <w:u w:val="none"/>
          <w:effect w:val="none"/>
          <w:shd w:fill="auto" w:val="clear"/>
        </w:rPr>
      </w:pPr>
      <w:r>
        <w:rPr>
          <w:rFonts w:eastAsia="Times New Roman" w:cs="Times New Roman"/>
          <w:b w:val="false"/>
          <w:i w:val="false"/>
          <w:caps w:val="false"/>
          <w:smallCaps w:val="false"/>
          <w:strike w:val="false"/>
          <w:dstrike w:val="false"/>
          <w:color w:val="000000"/>
          <w:sz w:val="24"/>
          <w:szCs w:val="24"/>
          <w:u w:val="none"/>
          <w:effect w:val="none"/>
          <w:shd w:fill="auto" w:val="clear"/>
        </w:rPr>
      </w:r>
    </w:p>
    <w:p>
      <w:pPr>
        <w:pStyle w:val="BodyText"/>
        <w:numPr>
          <w:ilvl w:val="0"/>
          <w:numId w:val="11"/>
        </w:numPr>
        <w:bidi w:val="0"/>
        <w:spacing w:lineRule="auto" w:line="360" w:before="0" w:after="0"/>
        <w:jc w:val="both"/>
        <w:rPr>
          <w:sz w:val="24"/>
          <w:szCs w:val="24"/>
        </w:rPr>
      </w:pPr>
      <w:r>
        <w:rPr>
          <w:rFonts w:eastAsia="Times New Roman" w:cs="Times New Roman"/>
          <w:b w:val="false"/>
          <w:i w:val="false"/>
          <w:caps w:val="false"/>
          <w:smallCaps w:val="false"/>
          <w:strike w:val="false"/>
          <w:dstrike w:val="false"/>
          <w:color w:val="000000"/>
          <w:sz w:val="24"/>
          <w:szCs w:val="24"/>
          <w:u w:val="none"/>
          <w:effect w:val="none"/>
          <w:shd w:fill="auto" w:val="clear"/>
        </w:rPr>
        <w:t>The net sales were £250,200 million in 2021, which has increased to £321,913 million in 2025. An operating cashflow has decreased from £32,402 million in 2021 to £31,406 million in 2025. Which suggests that Volkswegan’s core automotive operations are becoming less efficient.</w:t>
      </w:r>
    </w:p>
    <w:p>
      <w:pPr>
        <w:pStyle w:val="BodyText"/>
        <w:numPr>
          <w:ilvl w:val="0"/>
          <w:numId w:val="11"/>
        </w:numPr>
        <w:bidi w:val="0"/>
        <w:spacing w:lineRule="auto" w:line="360" w:before="0" w:after="0"/>
        <w:jc w:val="both"/>
        <w:rPr>
          <w:sz w:val="24"/>
          <w:szCs w:val="24"/>
        </w:rPr>
      </w:pPr>
      <w:r>
        <w:rPr>
          <w:rFonts w:eastAsia="Times New Roman" w:cs="Times New Roman"/>
          <w:b w:val="false"/>
          <w:i w:val="false"/>
          <w:caps w:val="false"/>
          <w:smallCaps w:val="false"/>
          <w:strike w:val="false"/>
          <w:dstrike w:val="false"/>
          <w:color w:val="000000"/>
          <w:sz w:val="24"/>
          <w:szCs w:val="24"/>
          <w:u w:val="none"/>
          <w:effect w:val="none"/>
          <w:shd w:fill="auto" w:val="clear"/>
        </w:rPr>
        <w:t>The dropp in operating cash flow margin from 12.95% in 2021 to 9.76% in 2025 as a result is reducing internally generated capital that can be used for future transitions.</w:t>
      </w:r>
    </w:p>
    <w:p>
      <w:pPr>
        <w:pStyle w:val="BodyText"/>
        <w:bidi w:val="0"/>
        <w:spacing w:lineRule="auto" w:line="360" w:before="0" w:after="0"/>
        <w:jc w:val="both"/>
        <w:rPr>
          <w:rFonts w:ascii="Arial" w:hAnsi="Arial"/>
          <w:sz w:val="24"/>
          <w:szCs w:val="24"/>
        </w:rPr>
      </w:pPr>
      <w:r>
        <w:rPr>
          <w:sz w:val="24"/>
          <w:szCs w:val="24"/>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2) Free Cash Flow Margin</w:t>
      </w:r>
    </w:p>
    <w:p>
      <w:pPr>
        <w:pStyle w:val="BodyText"/>
        <w:bidi w:val="0"/>
        <w:spacing w:lineRule="auto" w:line="360" w:before="0" w:after="0"/>
        <w:jc w:val="both"/>
        <w:rPr>
          <w:rFonts w:ascii="Arial" w:hAnsi="Arial" w:eastAsia="Times New Roman" w:cs="Times New Roman"/>
          <w:b w:val="false"/>
          <w:i w:val="false"/>
          <w:caps w:val="false"/>
          <w:smallCaps w:val="false"/>
          <w:strike w:val="false"/>
          <w:dstrike w:val="false"/>
          <w:color w:val="000000"/>
          <w:sz w:val="24"/>
          <w:szCs w:val="24"/>
          <w:u w:val="none"/>
          <w:effect w:val="none"/>
          <w:shd w:fill="auto" w:val="clear"/>
        </w:rPr>
      </w:pPr>
      <w:r>
        <w:rPr>
          <w:rFonts w:eastAsia="Times New Roman" w:cs="Times New Roman"/>
          <w:b w:val="false"/>
          <w:i w:val="false"/>
          <w:caps w:val="false"/>
          <w:smallCaps w:val="false"/>
          <w:strike w:val="false"/>
          <w:dstrike w:val="false"/>
          <w:color w:val="000000"/>
          <w:sz w:val="24"/>
          <w:szCs w:val="24"/>
          <w:u w:val="none"/>
          <w:effect w:val="none"/>
          <w:shd w:fill="auto" w:val="clear"/>
        </w:rPr>
      </w:r>
    </w:p>
    <w:p>
      <w:pPr>
        <w:pStyle w:val="BodyText"/>
        <w:numPr>
          <w:ilvl w:val="0"/>
          <w:numId w:val="12"/>
        </w:numPr>
        <w:bidi w:val="0"/>
        <w:spacing w:lineRule="auto" w:line="360" w:before="0" w:after="0"/>
        <w:jc w:val="both"/>
        <w:rPr>
          <w:sz w:val="24"/>
          <w:szCs w:val="24"/>
        </w:rPr>
      </w:pPr>
      <w:r>
        <w:rPr>
          <w:rFonts w:eastAsia="Times New Roman" w:cs="Times New Roman"/>
          <w:b w:val="false"/>
          <w:i w:val="false"/>
          <w:caps w:val="false"/>
          <w:smallCaps w:val="false"/>
          <w:strike w:val="false"/>
          <w:dstrike w:val="false"/>
          <w:color w:val="000000"/>
          <w:sz w:val="24"/>
          <w:szCs w:val="24"/>
          <w:u w:val="none"/>
          <w:effect w:val="none"/>
          <w:shd w:fill="auto" w:val="clear"/>
        </w:rPr>
        <w:t>This is cash remaining after the firm has paid for the capital expenditures (CapEx) needed to maintain its assets.</w:t>
      </w:r>
    </w:p>
    <w:p>
      <w:pPr>
        <w:pStyle w:val="BodyText"/>
        <w:numPr>
          <w:ilvl w:val="0"/>
          <w:numId w:val="12"/>
        </w:numPr>
        <w:bidi w:val="0"/>
        <w:spacing w:lineRule="auto" w:line="360" w:before="0" w:after="0"/>
        <w:jc w:val="both"/>
        <w:rPr>
          <w:sz w:val="24"/>
          <w:szCs w:val="24"/>
        </w:rPr>
      </w:pPr>
      <w:r>
        <w:rPr>
          <w:rFonts w:eastAsia="Times New Roman" w:cs="Times New Roman"/>
          <w:b w:val="false"/>
          <w:i w:val="false"/>
          <w:caps w:val="false"/>
          <w:smallCaps w:val="false"/>
          <w:strike w:val="false"/>
          <w:dstrike w:val="false"/>
          <w:color w:val="000000"/>
          <w:sz w:val="24"/>
          <w:szCs w:val="24"/>
          <w:u w:val="none"/>
          <w:effect w:val="none"/>
          <w:shd w:fill="auto" w:val="clear"/>
        </w:rPr>
        <w:t xml:space="preserve">Firm’s free cash flow margin dropped from 8.76% in 2021 to 0.59% in 2025. </w:t>
      </w:r>
      <w:r>
        <w:rPr>
          <w:sz w:val="24"/>
          <w:szCs w:val="24"/>
        </w:rPr>
        <w:t>This shows immense, unyielding cost of modernizing manufacturing facilities and EV infrastructure.</w:t>
      </w:r>
    </w:p>
    <w:p>
      <w:pPr>
        <w:pStyle w:val="BodyText"/>
        <w:bidi w:val="0"/>
        <w:spacing w:lineRule="auto" w:line="360" w:before="0" w:after="0"/>
        <w:jc w:val="both"/>
        <w:rPr>
          <w:sz w:val="24"/>
          <w:szCs w:val="24"/>
        </w:rPr>
      </w:pPr>
      <w:r>
        <w:rPr>
          <w:sz w:val="24"/>
          <w:szCs w:val="24"/>
        </w:rPr>
      </w:r>
    </w:p>
    <w:p>
      <w:pPr>
        <w:pStyle w:val="BodyText"/>
        <w:bidi w:val="0"/>
        <w:spacing w:lineRule="auto" w:line="360" w:before="0" w:after="0"/>
        <w:jc w:val="both"/>
        <w:rPr>
          <w:sz w:val="24"/>
          <w:szCs w:val="24"/>
        </w:rPr>
      </w:pPr>
      <w:r>
        <w:rPr>
          <w:sz w:val="24"/>
          <w:szCs w:val="24"/>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1.3 Identification of Trends, Strengths and Threats</w:t>
      </w:r>
    </w:p>
    <w:p>
      <w:pPr>
        <w:pStyle w:val="BodyText"/>
        <w:bidi w:val="0"/>
        <w:spacing w:lineRule="auto" w:line="360" w:before="0" w:after="0"/>
        <w:jc w:val="both"/>
        <w:rPr>
          <w:rFonts w:ascii="Arial" w:hAnsi="Arial"/>
          <w:sz w:val="24"/>
          <w:szCs w:val="24"/>
        </w:rPr>
      </w:pPr>
      <w:r>
        <w:rPr>
          <w:sz w:val="24"/>
          <w:szCs w:val="24"/>
        </w:rPr>
      </w:r>
    </w:p>
    <w:tbl>
      <w:tblPr>
        <w:tblW w:w="5000" w:type="pct"/>
        <w:jc w:val="start"/>
        <w:tblInd w:w="-5" w:type="dxa"/>
        <w:tblLayout w:type="fixed"/>
        <w:tblCellMar>
          <w:top w:w="55" w:type="dxa"/>
          <w:start w:w="55" w:type="dxa"/>
          <w:bottom w:w="55" w:type="dxa"/>
          <w:end w:w="55" w:type="dxa"/>
        </w:tblCellMar>
      </w:tblPr>
      <w:tblGrid>
        <w:gridCol w:w="2130"/>
        <w:gridCol w:w="2382"/>
        <w:gridCol w:w="2020"/>
        <w:gridCol w:w="2494"/>
      </w:tblGrid>
      <w:tr>
        <w:trPr>
          <w:trHeight w:val="861" w:hRule="atLeast"/>
        </w:trPr>
        <w:tc>
          <w:tcPr>
            <w:tcW w:w="2130" w:type="dxa"/>
            <w:tcBorders>
              <w:top w:val="single" w:sz="4" w:space="0" w:color="000000"/>
              <w:start w:val="single" w:sz="4" w:space="0" w:color="000000"/>
              <w:bottom w:val="single" w:sz="4" w:space="0" w:color="000000"/>
            </w:tcBorders>
          </w:tcPr>
          <w:p>
            <w:pPr>
              <w:pStyle w:val="TableContents"/>
              <w:jc w:val="center"/>
              <w:rPr>
                <w:sz w:val="24"/>
                <w:szCs w:val="24"/>
              </w:rPr>
            </w:pPr>
            <w:r>
              <w:rPr>
                <w:b/>
                <w:bCs/>
                <w:sz w:val="24"/>
                <w:szCs w:val="24"/>
              </w:rPr>
              <w:t>Area</w:t>
            </w:r>
          </w:p>
        </w:tc>
        <w:tc>
          <w:tcPr>
            <w:tcW w:w="2382" w:type="dxa"/>
            <w:tcBorders>
              <w:top w:val="single" w:sz="4" w:space="0" w:color="000000"/>
              <w:start w:val="single" w:sz="4" w:space="0" w:color="000000"/>
              <w:bottom w:val="single" w:sz="4" w:space="0" w:color="000000"/>
            </w:tcBorders>
          </w:tcPr>
          <w:p>
            <w:pPr>
              <w:pStyle w:val="TableContents"/>
              <w:jc w:val="center"/>
              <w:rPr>
                <w:sz w:val="24"/>
                <w:szCs w:val="24"/>
              </w:rPr>
            </w:pPr>
            <w:r>
              <w:rPr>
                <w:b/>
                <w:bCs/>
                <w:sz w:val="24"/>
                <w:szCs w:val="24"/>
              </w:rPr>
              <w:t xml:space="preserve">5 Year Trend </w:t>
            </w:r>
          </w:p>
          <w:p>
            <w:pPr>
              <w:pStyle w:val="TableContents"/>
              <w:jc w:val="center"/>
              <w:rPr>
                <w:sz w:val="24"/>
                <w:szCs w:val="24"/>
              </w:rPr>
            </w:pPr>
            <w:r>
              <w:rPr>
                <w:b/>
                <w:bCs/>
                <w:sz w:val="24"/>
                <w:szCs w:val="24"/>
              </w:rPr>
              <w:t>(2020-2024)</w:t>
            </w:r>
          </w:p>
        </w:tc>
        <w:tc>
          <w:tcPr>
            <w:tcW w:w="2020" w:type="dxa"/>
            <w:tcBorders>
              <w:top w:val="single" w:sz="4" w:space="0" w:color="000000"/>
              <w:start w:val="single" w:sz="4" w:space="0" w:color="000000"/>
              <w:bottom w:val="single" w:sz="4" w:space="0" w:color="000000"/>
            </w:tcBorders>
          </w:tcPr>
          <w:p>
            <w:pPr>
              <w:pStyle w:val="TableContents"/>
              <w:jc w:val="center"/>
              <w:rPr>
                <w:sz w:val="24"/>
                <w:szCs w:val="24"/>
              </w:rPr>
            </w:pPr>
            <w:r>
              <w:rPr>
                <w:b/>
                <w:bCs/>
                <w:sz w:val="24"/>
                <w:szCs w:val="24"/>
              </w:rPr>
              <w:t>Classification</w:t>
            </w:r>
          </w:p>
        </w:tc>
        <w:tc>
          <w:tcPr>
            <w:tcW w:w="2494" w:type="dxa"/>
            <w:tcBorders>
              <w:top w:val="single" w:sz="4" w:space="0" w:color="000000"/>
              <w:start w:val="single" w:sz="4" w:space="0" w:color="000000"/>
              <w:bottom w:val="single" w:sz="4" w:space="0" w:color="000000"/>
              <w:end w:val="single" w:sz="4" w:space="0" w:color="000000"/>
            </w:tcBorders>
          </w:tcPr>
          <w:p>
            <w:pPr>
              <w:pStyle w:val="TableContents"/>
              <w:jc w:val="center"/>
              <w:rPr>
                <w:sz w:val="24"/>
                <w:szCs w:val="24"/>
              </w:rPr>
            </w:pPr>
            <w:r>
              <w:rPr>
                <w:b/>
                <w:bCs/>
                <w:sz w:val="24"/>
                <w:szCs w:val="24"/>
              </w:rPr>
              <w:t>Interpretation</w:t>
            </w:r>
          </w:p>
        </w:tc>
      </w:tr>
      <w:tr>
        <w:trPr>
          <w:trHeight w:val="1052" w:hRule="atLeast"/>
        </w:trPr>
        <w:tc>
          <w:tcPr>
            <w:tcW w:w="2130" w:type="dxa"/>
            <w:tcBorders>
              <w:start w:val="single" w:sz="4" w:space="0" w:color="000000"/>
              <w:bottom w:val="single" w:sz="4" w:space="0" w:color="000000"/>
            </w:tcBorders>
          </w:tcPr>
          <w:p>
            <w:pPr>
              <w:pStyle w:val="TableContents"/>
              <w:bidi w:val="0"/>
              <w:rPr>
                <w:sz w:val="24"/>
                <w:szCs w:val="24"/>
              </w:rPr>
            </w:pPr>
            <w:r>
              <w:rPr>
                <w:sz w:val="24"/>
                <w:szCs w:val="24"/>
              </w:rPr>
              <w:t>Market Share</w:t>
            </w:r>
          </w:p>
        </w:tc>
        <w:tc>
          <w:tcPr>
            <w:tcW w:w="2382" w:type="dxa"/>
            <w:tcBorders>
              <w:start w:val="single" w:sz="4" w:space="0" w:color="000000"/>
              <w:bottom w:val="single" w:sz="4" w:space="0" w:color="000000"/>
            </w:tcBorders>
          </w:tcPr>
          <w:p>
            <w:pPr>
              <w:pStyle w:val="TableContents"/>
              <w:bidi w:val="0"/>
              <w:rPr>
                <w:sz w:val="24"/>
                <w:szCs w:val="24"/>
              </w:rPr>
            </w:pPr>
            <w:r>
              <w:rPr>
                <w:sz w:val="24"/>
                <w:szCs w:val="24"/>
              </w:rPr>
              <w:t>Flat :</w:t>
            </w:r>
          </w:p>
          <w:p>
            <w:pPr>
              <w:pStyle w:val="TableContents"/>
              <w:bidi w:val="0"/>
              <w:rPr>
                <w:sz w:val="24"/>
                <w:szCs w:val="24"/>
              </w:rPr>
            </w:pPr>
            <w:r>
              <w:rPr>
                <w:sz w:val="24"/>
                <w:szCs w:val="24"/>
              </w:rPr>
              <w:t>Vehicle deliveries remained flat overall (8.88m units in 2021 to 8.98m units in 2025).</w:t>
            </w:r>
          </w:p>
        </w:tc>
        <w:tc>
          <w:tcPr>
            <w:tcW w:w="2020" w:type="dxa"/>
            <w:tcBorders>
              <w:start w:val="single" w:sz="4" w:space="0" w:color="000000"/>
              <w:bottom w:val="single" w:sz="4" w:space="0" w:color="000000"/>
            </w:tcBorders>
          </w:tcPr>
          <w:p>
            <w:pPr>
              <w:pStyle w:val="TableContents"/>
              <w:rPr>
                <w:sz w:val="24"/>
                <w:szCs w:val="24"/>
              </w:rPr>
            </w:pPr>
            <w:r>
              <w:rPr>
                <w:sz w:val="24"/>
                <w:szCs w:val="24"/>
              </w:rPr>
              <w:t>Threat</w:t>
            </w:r>
          </w:p>
        </w:tc>
        <w:tc>
          <w:tcPr>
            <w:tcW w:w="2494" w:type="dxa"/>
            <w:tcBorders>
              <w:start w:val="single" w:sz="4" w:space="0" w:color="000000"/>
              <w:bottom w:val="single" w:sz="4" w:space="0" w:color="000000"/>
              <w:end w:val="single" w:sz="4" w:space="0" w:color="000000"/>
            </w:tcBorders>
          </w:tcPr>
          <w:p>
            <w:pPr>
              <w:pStyle w:val="TableContents"/>
              <w:bidi w:val="0"/>
              <w:rPr>
                <w:sz w:val="24"/>
                <w:szCs w:val="24"/>
              </w:rPr>
            </w:pPr>
            <w:r>
              <w:rPr>
                <w:sz w:val="24"/>
                <w:szCs w:val="24"/>
              </w:rPr>
              <w:t>While revenue grew due to pricing, market share growth has stalled. The firm is facing intense international competitive pressure ( from Chinese manufacturers) and geopolitical trade tariffs, forcing costly price wars just to defend its current global volume.</w:t>
            </w:r>
          </w:p>
        </w:tc>
      </w:tr>
      <w:tr>
        <w:trPr>
          <w:trHeight w:val="2754" w:hRule="atLeast"/>
        </w:trPr>
        <w:tc>
          <w:tcPr>
            <w:tcW w:w="2130" w:type="dxa"/>
            <w:tcBorders>
              <w:start w:val="single" w:sz="4" w:space="0" w:color="000000"/>
              <w:bottom w:val="single" w:sz="4" w:space="0" w:color="000000"/>
            </w:tcBorders>
          </w:tcPr>
          <w:p>
            <w:pPr>
              <w:pStyle w:val="TableContents"/>
              <w:bidi w:val="0"/>
              <w:rPr>
                <w:sz w:val="24"/>
                <w:szCs w:val="24"/>
              </w:rPr>
            </w:pPr>
            <w:r>
              <w:rPr>
                <w:sz w:val="24"/>
                <w:szCs w:val="24"/>
              </w:rPr>
              <w:t>Profitability</w:t>
            </w:r>
          </w:p>
        </w:tc>
        <w:tc>
          <w:tcPr>
            <w:tcW w:w="2382" w:type="dxa"/>
            <w:tcBorders>
              <w:start w:val="single" w:sz="4" w:space="0" w:color="000000"/>
              <w:bottom w:val="single" w:sz="4" w:space="0" w:color="000000"/>
            </w:tcBorders>
          </w:tcPr>
          <w:p>
            <w:pPr>
              <w:pStyle w:val="TableContents"/>
              <w:bidi w:val="0"/>
              <w:rPr>
                <w:sz w:val="24"/>
                <w:szCs w:val="24"/>
              </w:rPr>
            </w:pPr>
            <w:r>
              <w:rPr>
                <w:sz w:val="24"/>
                <w:szCs w:val="24"/>
              </w:rPr>
              <w:t xml:space="preserve">Severe Decline: </w:t>
            </w:r>
          </w:p>
          <w:p>
            <w:pPr>
              <w:pStyle w:val="TableContents"/>
              <w:bidi w:val="0"/>
              <w:rPr>
                <w:sz w:val="24"/>
                <w:szCs w:val="24"/>
              </w:rPr>
            </w:pPr>
            <w:r>
              <w:rPr>
                <w:sz w:val="24"/>
                <w:szCs w:val="24"/>
              </w:rPr>
              <w:t xml:space="preserve">Net Profit Margin dropped from 6.17% to 2.14%; </w:t>
            </w:r>
          </w:p>
          <w:p>
            <w:pPr>
              <w:pStyle w:val="TableContents"/>
              <w:bidi w:val="0"/>
              <w:rPr>
                <w:sz w:val="24"/>
                <w:szCs w:val="24"/>
              </w:rPr>
            </w:pPr>
            <w:r>
              <w:rPr>
                <w:sz w:val="24"/>
                <w:szCs w:val="24"/>
              </w:rPr>
              <w:t>Operating Profit Margin also crashed from 7.70% to 2.75%.</w:t>
            </w:r>
          </w:p>
        </w:tc>
        <w:tc>
          <w:tcPr>
            <w:tcW w:w="2020" w:type="dxa"/>
            <w:tcBorders>
              <w:start w:val="single" w:sz="4" w:space="0" w:color="000000"/>
              <w:bottom w:val="single" w:sz="4" w:space="0" w:color="000000"/>
            </w:tcBorders>
          </w:tcPr>
          <w:p>
            <w:pPr>
              <w:pStyle w:val="TableContents"/>
              <w:bidi w:val="0"/>
              <w:rPr>
                <w:sz w:val="24"/>
                <w:szCs w:val="24"/>
              </w:rPr>
            </w:pPr>
            <w:r>
              <w:rPr>
                <w:sz w:val="24"/>
                <w:szCs w:val="24"/>
              </w:rPr>
              <w:t>Weakness</w:t>
            </w:r>
          </w:p>
        </w:tc>
        <w:tc>
          <w:tcPr>
            <w:tcW w:w="2494" w:type="dxa"/>
            <w:tcBorders>
              <w:start w:val="single" w:sz="4" w:space="0" w:color="000000"/>
              <w:bottom w:val="single" w:sz="4" w:space="0" w:color="000000"/>
              <w:end w:val="single" w:sz="4" w:space="0" w:color="000000"/>
            </w:tcBorders>
          </w:tcPr>
          <w:p>
            <w:pPr>
              <w:pStyle w:val="TableContents"/>
              <w:bidi w:val="0"/>
              <w:rPr>
                <w:sz w:val="24"/>
                <w:szCs w:val="24"/>
              </w:rPr>
            </w:pPr>
            <w:r>
              <w:rPr>
                <w:sz w:val="24"/>
                <w:szCs w:val="24"/>
              </w:rPr>
              <w:t>The core business model is highly inefficient. the firm is not able to convert stable revenue into profits.</w:t>
            </w:r>
          </w:p>
        </w:tc>
      </w:tr>
      <w:tr>
        <w:trPr>
          <w:trHeight w:val="879" w:hRule="atLeast"/>
        </w:trPr>
        <w:tc>
          <w:tcPr>
            <w:tcW w:w="2130" w:type="dxa"/>
            <w:tcBorders>
              <w:start w:val="single" w:sz="4" w:space="0" w:color="000000"/>
              <w:bottom w:val="single" w:sz="4" w:space="0" w:color="000000"/>
            </w:tcBorders>
          </w:tcPr>
          <w:p>
            <w:pPr>
              <w:pStyle w:val="TableContents"/>
              <w:rPr>
                <w:sz w:val="24"/>
                <w:szCs w:val="24"/>
              </w:rPr>
            </w:pPr>
            <w:r>
              <w:rPr>
                <w:sz w:val="24"/>
                <w:szCs w:val="24"/>
              </w:rPr>
              <w:t>Liquidity</w:t>
            </w:r>
          </w:p>
        </w:tc>
        <w:tc>
          <w:tcPr>
            <w:tcW w:w="2382" w:type="dxa"/>
            <w:tcBorders>
              <w:start w:val="single" w:sz="4" w:space="0" w:color="000000"/>
              <w:bottom w:val="single" w:sz="4" w:space="0" w:color="000000"/>
            </w:tcBorders>
          </w:tcPr>
          <w:p>
            <w:pPr>
              <w:pStyle w:val="TableContents"/>
              <w:bidi w:val="0"/>
              <w:rPr>
                <w:sz w:val="24"/>
                <w:szCs w:val="24"/>
              </w:rPr>
            </w:pPr>
            <w:r>
              <w:rPr>
                <w:sz w:val="24"/>
                <w:szCs w:val="24"/>
              </w:rPr>
              <w:t>Current Ratio flatlined at 1.15; Quick Ratio dropped to 0.86 (sub-optimal)</w:t>
            </w:r>
          </w:p>
        </w:tc>
        <w:tc>
          <w:tcPr>
            <w:tcW w:w="2020" w:type="dxa"/>
            <w:tcBorders>
              <w:start w:val="single" w:sz="4" w:space="0" w:color="000000"/>
              <w:bottom w:val="single" w:sz="4" w:space="0" w:color="000000"/>
            </w:tcBorders>
          </w:tcPr>
          <w:p>
            <w:pPr>
              <w:pStyle w:val="TableContents"/>
              <w:bidi w:val="0"/>
              <w:rPr>
                <w:sz w:val="24"/>
                <w:szCs w:val="24"/>
              </w:rPr>
            </w:pPr>
            <w:r>
              <w:rPr>
                <w:sz w:val="24"/>
                <w:szCs w:val="24"/>
              </w:rPr>
              <w:t>Weakness</w:t>
            </w:r>
          </w:p>
        </w:tc>
        <w:tc>
          <w:tcPr>
            <w:tcW w:w="2494" w:type="dxa"/>
            <w:tcBorders>
              <w:start w:val="single" w:sz="4" w:space="0" w:color="000000"/>
              <w:bottom w:val="single" w:sz="4" w:space="0" w:color="000000"/>
              <w:end w:val="single" w:sz="4" w:space="0" w:color="000000"/>
            </w:tcBorders>
          </w:tcPr>
          <w:p>
            <w:pPr>
              <w:pStyle w:val="TableContents"/>
              <w:bidi w:val="0"/>
              <w:rPr>
                <w:sz w:val="24"/>
                <w:szCs w:val="24"/>
              </w:rPr>
            </w:pPr>
            <w:r>
              <w:rPr>
                <w:sz w:val="24"/>
                <w:szCs w:val="24"/>
              </w:rPr>
              <w:t>Healthy for now but It lacks the agility because of low immediate cash/receivables buffer</w:t>
            </w:r>
          </w:p>
        </w:tc>
      </w:tr>
      <w:tr>
        <w:trPr>
          <w:trHeight w:val="878" w:hRule="atLeast"/>
        </w:trPr>
        <w:tc>
          <w:tcPr>
            <w:tcW w:w="2130" w:type="dxa"/>
            <w:tcBorders>
              <w:start w:val="single" w:sz="4" w:space="0" w:color="000000"/>
              <w:bottom w:val="single" w:sz="4" w:space="0" w:color="000000"/>
            </w:tcBorders>
          </w:tcPr>
          <w:p>
            <w:pPr>
              <w:pStyle w:val="TableContents"/>
              <w:bidi w:val="0"/>
              <w:rPr>
                <w:sz w:val="24"/>
                <w:szCs w:val="24"/>
              </w:rPr>
            </w:pPr>
            <w:r>
              <w:rPr>
                <w:sz w:val="24"/>
                <w:szCs w:val="24"/>
              </w:rPr>
              <w:t>Solvency</w:t>
            </w:r>
          </w:p>
        </w:tc>
        <w:tc>
          <w:tcPr>
            <w:tcW w:w="2382" w:type="dxa"/>
            <w:tcBorders>
              <w:start w:val="single" w:sz="4" w:space="0" w:color="000000"/>
              <w:bottom w:val="single" w:sz="4" w:space="0" w:color="000000"/>
            </w:tcBorders>
          </w:tcPr>
          <w:p>
            <w:pPr>
              <w:pStyle w:val="TableContents"/>
              <w:bidi w:val="0"/>
              <w:rPr>
                <w:sz w:val="24"/>
                <w:szCs w:val="24"/>
              </w:rPr>
            </w:pPr>
            <w:r>
              <w:rPr>
                <w:sz w:val="24"/>
                <w:szCs w:val="24"/>
              </w:rPr>
              <w:t>Debt/Equity slightly improved (2.62 down to 2.22), but Interest Coverage collapsed dangerously from 14.78 to 2.73.</w:t>
            </w:r>
          </w:p>
        </w:tc>
        <w:tc>
          <w:tcPr>
            <w:tcW w:w="2020" w:type="dxa"/>
            <w:tcBorders>
              <w:start w:val="single" w:sz="4" w:space="0" w:color="000000"/>
              <w:bottom w:val="single" w:sz="4" w:space="0" w:color="000000"/>
            </w:tcBorders>
          </w:tcPr>
          <w:p>
            <w:pPr>
              <w:pStyle w:val="TableContents"/>
              <w:bidi w:val="0"/>
              <w:rPr>
                <w:sz w:val="24"/>
                <w:szCs w:val="24"/>
              </w:rPr>
            </w:pPr>
            <w:r>
              <w:rPr>
                <w:sz w:val="24"/>
                <w:szCs w:val="24"/>
              </w:rPr>
              <w:t>Threat</w:t>
            </w:r>
          </w:p>
        </w:tc>
        <w:tc>
          <w:tcPr>
            <w:tcW w:w="2494" w:type="dxa"/>
            <w:tcBorders>
              <w:start w:val="single" w:sz="4" w:space="0" w:color="000000"/>
              <w:bottom w:val="single" w:sz="4" w:space="0" w:color="000000"/>
              <w:end w:val="single" w:sz="4" w:space="0" w:color="000000"/>
            </w:tcBorders>
          </w:tcPr>
          <w:p>
            <w:pPr>
              <w:pStyle w:val="TableContents"/>
              <w:bidi w:val="0"/>
              <w:rPr>
                <w:sz w:val="24"/>
                <w:szCs w:val="24"/>
              </w:rPr>
            </w:pPr>
            <w:r>
              <w:rPr>
                <w:sz w:val="24"/>
                <w:szCs w:val="24"/>
              </w:rPr>
              <w:t>The firm is not generating enough profit, it can elevate firm’s financial risk profile and increase the costs of future borrowing.</w:t>
            </w:r>
          </w:p>
        </w:tc>
      </w:tr>
      <w:tr>
        <w:trPr>
          <w:trHeight w:val="3083" w:hRule="atLeast"/>
        </w:trPr>
        <w:tc>
          <w:tcPr>
            <w:tcW w:w="2130" w:type="dxa"/>
            <w:tcBorders>
              <w:start w:val="single" w:sz="4" w:space="0" w:color="000000"/>
              <w:bottom w:val="single" w:sz="4" w:space="0" w:color="000000"/>
            </w:tcBorders>
          </w:tcPr>
          <w:p>
            <w:pPr>
              <w:pStyle w:val="TableContents"/>
              <w:rPr>
                <w:sz w:val="24"/>
                <w:szCs w:val="24"/>
              </w:rPr>
            </w:pPr>
            <w:r>
              <w:rPr>
                <w:sz w:val="24"/>
                <w:szCs w:val="24"/>
              </w:rPr>
              <w:t>Efficiency</w:t>
            </w:r>
          </w:p>
        </w:tc>
        <w:tc>
          <w:tcPr>
            <w:tcW w:w="2382" w:type="dxa"/>
            <w:tcBorders>
              <w:start w:val="single" w:sz="4" w:space="0" w:color="000000"/>
              <w:bottom w:val="single" w:sz="4" w:space="0" w:color="000000"/>
            </w:tcBorders>
          </w:tcPr>
          <w:p>
            <w:pPr>
              <w:pStyle w:val="TableContents"/>
              <w:rPr>
                <w:sz w:val="24"/>
                <w:szCs w:val="24"/>
              </w:rPr>
            </w:pPr>
            <w:r>
              <w:rPr>
                <w:sz w:val="24"/>
                <w:szCs w:val="24"/>
              </w:rPr>
              <w:t xml:space="preserve">Inventory Turnover : slowed </w:t>
            </w:r>
          </w:p>
          <w:p>
            <w:pPr>
              <w:pStyle w:val="TableContents"/>
              <w:rPr>
                <w:sz w:val="24"/>
                <w:szCs w:val="24"/>
              </w:rPr>
            </w:pPr>
            <w:r>
              <w:rPr>
                <w:sz w:val="24"/>
                <w:szCs w:val="24"/>
              </w:rPr>
            </w:r>
          </w:p>
          <w:p>
            <w:pPr>
              <w:pStyle w:val="TableContents"/>
              <w:rPr>
                <w:sz w:val="24"/>
                <w:szCs w:val="24"/>
              </w:rPr>
            </w:pPr>
            <w:r>
              <w:rPr>
                <w:sz w:val="24"/>
                <w:szCs w:val="24"/>
              </w:rPr>
              <w:t>Receivable Turnover also dropped (13.82 to 11.33)</w:t>
            </w:r>
          </w:p>
        </w:tc>
        <w:tc>
          <w:tcPr>
            <w:tcW w:w="2020" w:type="dxa"/>
            <w:tcBorders>
              <w:start w:val="single" w:sz="4" w:space="0" w:color="000000"/>
              <w:bottom w:val="single" w:sz="4" w:space="0" w:color="000000"/>
            </w:tcBorders>
          </w:tcPr>
          <w:p>
            <w:pPr>
              <w:pStyle w:val="TableContents"/>
              <w:bidi w:val="0"/>
              <w:rPr>
                <w:sz w:val="24"/>
                <w:szCs w:val="24"/>
              </w:rPr>
            </w:pPr>
            <w:r>
              <w:rPr>
                <w:sz w:val="24"/>
                <w:szCs w:val="24"/>
              </w:rPr>
              <w:t>Weakness</w:t>
            </w:r>
          </w:p>
        </w:tc>
        <w:tc>
          <w:tcPr>
            <w:tcW w:w="2494" w:type="dxa"/>
            <w:tcBorders>
              <w:start w:val="single" w:sz="4" w:space="0" w:color="000000"/>
              <w:bottom w:val="single" w:sz="4" w:space="0" w:color="000000"/>
              <w:end w:val="single" w:sz="4" w:space="0" w:color="000000"/>
            </w:tcBorders>
          </w:tcPr>
          <w:p>
            <w:pPr>
              <w:pStyle w:val="TableContents"/>
              <w:bidi w:val="0"/>
              <w:rPr>
                <w:sz w:val="24"/>
                <w:szCs w:val="24"/>
              </w:rPr>
            </w:pPr>
            <w:r>
              <w:rPr>
                <w:sz w:val="24"/>
                <w:szCs w:val="24"/>
              </w:rPr>
              <w:t>Capital is increasingly trapped within the operating cycle. Vehicles are taking longer to sale,firm is taking longer to collect cash (overall velocity of capital generation is slowing down).</w:t>
            </w:r>
          </w:p>
        </w:tc>
      </w:tr>
      <w:tr>
        <w:trPr>
          <w:trHeight w:val="2050" w:hRule="atLeast"/>
        </w:trPr>
        <w:tc>
          <w:tcPr>
            <w:tcW w:w="2130" w:type="dxa"/>
            <w:tcBorders>
              <w:start w:val="single" w:sz="4" w:space="0" w:color="000000"/>
              <w:bottom w:val="single" w:sz="4" w:space="0" w:color="000000"/>
            </w:tcBorders>
          </w:tcPr>
          <w:p>
            <w:pPr>
              <w:pStyle w:val="TableContents"/>
              <w:bidi w:val="0"/>
              <w:rPr>
                <w:sz w:val="24"/>
                <w:szCs w:val="24"/>
              </w:rPr>
            </w:pPr>
            <w:r>
              <w:rPr>
                <w:sz w:val="24"/>
                <w:szCs w:val="24"/>
              </w:rPr>
              <w:t>Cash Flow</w:t>
            </w:r>
          </w:p>
        </w:tc>
        <w:tc>
          <w:tcPr>
            <w:tcW w:w="2382" w:type="dxa"/>
            <w:tcBorders>
              <w:start w:val="single" w:sz="4" w:space="0" w:color="000000"/>
              <w:bottom w:val="single" w:sz="4" w:space="0" w:color="000000"/>
            </w:tcBorders>
          </w:tcPr>
          <w:p>
            <w:pPr>
              <w:pStyle w:val="TableContents"/>
              <w:bidi w:val="0"/>
              <w:rPr>
                <w:sz w:val="24"/>
                <w:szCs w:val="24"/>
              </w:rPr>
            </w:pPr>
            <w:r>
              <w:rPr>
                <w:sz w:val="24"/>
                <w:szCs w:val="24"/>
              </w:rPr>
              <w:t>Free Cash Flow Margin plunged from a healthy 8.76% to a near-zero 0.59%</w:t>
            </w:r>
          </w:p>
        </w:tc>
        <w:tc>
          <w:tcPr>
            <w:tcW w:w="2020" w:type="dxa"/>
            <w:tcBorders>
              <w:start w:val="single" w:sz="4" w:space="0" w:color="000000"/>
              <w:bottom w:val="single" w:sz="4" w:space="0" w:color="000000"/>
            </w:tcBorders>
          </w:tcPr>
          <w:p>
            <w:pPr>
              <w:pStyle w:val="TableContents"/>
              <w:bidi w:val="0"/>
              <w:rPr>
                <w:sz w:val="24"/>
                <w:szCs w:val="24"/>
              </w:rPr>
            </w:pPr>
            <w:r>
              <w:rPr>
                <w:sz w:val="24"/>
                <w:szCs w:val="24"/>
              </w:rPr>
              <w:t>Threat</w:t>
            </w:r>
          </w:p>
        </w:tc>
        <w:tc>
          <w:tcPr>
            <w:tcW w:w="2494" w:type="dxa"/>
            <w:tcBorders>
              <w:start w:val="single" w:sz="4" w:space="0" w:color="000000"/>
              <w:bottom w:val="single" w:sz="4" w:space="0" w:color="000000"/>
              <w:end w:val="single" w:sz="4" w:space="0" w:color="000000"/>
            </w:tcBorders>
          </w:tcPr>
          <w:p>
            <w:pPr>
              <w:pStyle w:val="TableContents"/>
              <w:bidi w:val="0"/>
              <w:rPr>
                <w:sz w:val="24"/>
                <w:szCs w:val="24"/>
              </w:rPr>
            </w:pPr>
            <w:r>
              <w:rPr>
                <w:sz w:val="24"/>
                <w:szCs w:val="24"/>
              </w:rPr>
              <w:t>Virtually no discretionary capital for emergency reserves, strategic acquisitions or debt reduction. Because EV infrastructure transition are consuming almost 100% of the cash generated by operations (€19.5 billion in 2025).</w:t>
            </w:r>
          </w:p>
        </w:tc>
      </w:tr>
    </w:tbl>
    <w:p>
      <w:pPr>
        <w:pStyle w:val="BodyText"/>
        <w:bidi w:val="0"/>
        <w:spacing w:lineRule="auto" w:line="360" w:before="0" w:after="0"/>
        <w:jc w:val="both"/>
        <w:rPr>
          <w:rFonts w:ascii="Arial" w:hAnsi="Arial"/>
          <w:sz w:val="24"/>
          <w:szCs w:val="24"/>
        </w:rPr>
      </w:pPr>
      <w:r>
        <w:rPr>
          <w:sz w:val="24"/>
          <w:szCs w:val="24"/>
        </w:rPr>
      </w:r>
    </w:p>
    <w:p>
      <w:pPr>
        <w:pStyle w:val="BodyText"/>
        <w:bidi w:val="0"/>
        <w:spacing w:lineRule="auto" w:line="360" w:before="0" w:after="0"/>
        <w:jc w:val="both"/>
        <w:rPr>
          <w:rFonts w:ascii="Arial" w:hAnsi="Arial"/>
          <w:sz w:val="24"/>
          <w:szCs w:val="24"/>
        </w:rPr>
      </w:pPr>
      <w:r>
        <w:rPr>
          <w:sz w:val="24"/>
          <w:szCs w:val="24"/>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1.4 Default Risk Assessment via corporate failure prediciton models</w:t>
      </w:r>
    </w:p>
    <w:p>
      <w:pPr>
        <w:pStyle w:val="BodyText"/>
        <w:bidi w:val="0"/>
        <w:spacing w:lineRule="auto" w:line="360" w:before="0" w:after="0"/>
        <w:jc w:val="both"/>
        <w:rPr>
          <w:rFonts w:ascii="Arial" w:hAnsi="Arial" w:eastAsia="Times New Roman" w:cs="Times New Roman"/>
          <w:b/>
          <w:bCs/>
          <w:i w:val="false"/>
          <w:caps w:val="false"/>
          <w:smallCaps w:val="false"/>
          <w:strike w:val="false"/>
          <w:dstrike w:val="false"/>
          <w:color w:val="000000"/>
          <w:sz w:val="24"/>
          <w:szCs w:val="24"/>
          <w:u w:val="none"/>
          <w:effect w:val="none"/>
          <w:shd w:fill="auto" w:val="clear"/>
        </w:rPr>
      </w:pPr>
      <w:r>
        <w:rPr>
          <w:rFonts w:eastAsia="Times New Roman" w:cs="Times New Roman"/>
          <w:b/>
          <w:bCs/>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U</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g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m</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b</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n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f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ive key financial ratios : measuring liquidity, solvency, profitability, and activity,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The Altman Z-Score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p</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v</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a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g</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t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n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b</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u</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d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o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j</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u</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g</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m’</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l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b</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y</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u</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r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V</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k</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g</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m</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n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Z-</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u</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g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a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m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m</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p</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y’</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5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y</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r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l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m</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tbl>
      <w:tblPr>
        <w:tblW w:w="5000" w:type="pct"/>
        <w:jc w:val="start"/>
        <w:tblInd w:w="-5" w:type="dxa"/>
        <w:tblLayout w:type="fixed"/>
        <w:tblCellMar>
          <w:top w:w="55" w:type="dxa"/>
          <w:start w:w="55" w:type="dxa"/>
          <w:bottom w:w="55" w:type="dxa"/>
          <w:end w:w="55" w:type="dxa"/>
        </w:tblCellMar>
      </w:tblPr>
      <w:tblGrid>
        <w:gridCol w:w="9026"/>
      </w:tblGrid>
      <w:tr>
        <w:trPr/>
        <w:tc>
          <w:tcPr>
            <w:tcW w:w="9026" w:type="dxa"/>
            <w:tcBorders>
              <w:top w:val="single" w:sz="4" w:space="0" w:color="000000"/>
              <w:start w:val="single" w:sz="4" w:space="0" w:color="000000"/>
              <w:bottom w:val="single" w:sz="4" w:space="0" w:color="000000"/>
              <w:end w:val="single" w:sz="4" w:space="0" w:color="000000"/>
            </w:tcBorders>
          </w:tcPr>
          <w:p>
            <w:pPr>
              <w:pStyle w:val="BodyText"/>
              <w:bidi w:val="0"/>
              <w:spacing w:lineRule="auto" w:line="360" w:before="0" w:after="0"/>
              <w:jc w:val="center"/>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Z = 1.2 ( Working Capital / Total Assets​ ) + 1.4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l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Retained Earnings / Total Assets​) + 3.3 (EBIT / Total Assets ​) + 0.6 (Market Value of Equity / Total Liabilities​) + (Sales / Total Assets​) </w:t>
            </w:r>
          </w:p>
        </w:tc>
      </w:tr>
    </w:tbl>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tbl>
      <w:tblPr>
        <w:tblW w:w="5000" w:type="pct"/>
        <w:jc w:val="start"/>
        <w:tblInd w:w="-5" w:type="dxa"/>
        <w:tblLayout w:type="fixed"/>
        <w:tblCellMar>
          <w:top w:w="55" w:type="dxa"/>
          <w:start w:w="55" w:type="dxa"/>
          <w:bottom w:w="55" w:type="dxa"/>
          <w:end w:w="55" w:type="dxa"/>
        </w:tblCellMar>
      </w:tblPr>
      <w:tblGrid>
        <w:gridCol w:w="4512"/>
        <w:gridCol w:w="4514"/>
      </w:tblGrid>
      <w:tr>
        <w:trPr/>
        <w:tc>
          <w:tcPr>
            <w:tcW w:w="4512" w:type="dxa"/>
            <w:tcBorders>
              <w:top w:val="single" w:sz="4" w:space="0" w:color="000000"/>
              <w:start w:val="single" w:sz="4" w:space="0" w:color="000000"/>
              <w:bottom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WC (Working capital)</w:t>
            </w:r>
          </w:p>
        </w:tc>
        <w:tc>
          <w:tcPr>
            <w:tcW w:w="4514" w:type="dxa"/>
            <w:tcBorders>
              <w:top w:val="single" w:sz="4" w:space="0" w:color="000000"/>
              <w:start w:val="single" w:sz="4" w:space="0" w:color="000000"/>
              <w:bottom w:val="single" w:sz="4" w:space="0" w:color="000000"/>
              <w:end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£31,600m</w:t>
            </w:r>
          </w:p>
        </w:tc>
      </w:tr>
      <w:tr>
        <w:trPr/>
        <w:tc>
          <w:tcPr>
            <w:tcW w:w="4512" w:type="dxa"/>
            <w:tcBorders>
              <w:start w:val="single" w:sz="4" w:space="0" w:color="000000"/>
              <w:bottom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Total Assets</w:t>
            </w:r>
          </w:p>
        </w:tc>
        <w:tc>
          <w:tcPr>
            <w:tcW w:w="4514" w:type="dxa"/>
            <w:tcBorders>
              <w:start w:val="single" w:sz="4" w:space="0" w:color="000000"/>
              <w:bottom w:val="single" w:sz="4" w:space="0" w:color="000000"/>
              <w:end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£650,900m</w:t>
            </w:r>
          </w:p>
        </w:tc>
      </w:tr>
      <w:tr>
        <w:trPr/>
        <w:tc>
          <w:tcPr>
            <w:tcW w:w="4512" w:type="dxa"/>
            <w:tcBorders>
              <w:start w:val="single" w:sz="4" w:space="0" w:color="000000"/>
              <w:bottom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Retained Earnings (RE)</w:t>
            </w:r>
          </w:p>
        </w:tc>
        <w:tc>
          <w:tcPr>
            <w:tcW w:w="4514" w:type="dxa"/>
            <w:tcBorders>
              <w:start w:val="single" w:sz="4" w:space="0" w:color="000000"/>
              <w:bottom w:val="single" w:sz="4" w:space="0" w:color="000000"/>
              <w:end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£202,400m</w:t>
            </w:r>
          </w:p>
        </w:tc>
      </w:tr>
      <w:tr>
        <w:trPr/>
        <w:tc>
          <w:tcPr>
            <w:tcW w:w="4512" w:type="dxa"/>
            <w:tcBorders>
              <w:start w:val="single" w:sz="4" w:space="0" w:color="000000"/>
              <w:bottom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EBIT</w:t>
            </w:r>
          </w:p>
        </w:tc>
        <w:tc>
          <w:tcPr>
            <w:tcW w:w="4514" w:type="dxa"/>
            <w:tcBorders>
              <w:start w:val="single" w:sz="4" w:space="0" w:color="000000"/>
              <w:bottom w:val="single" w:sz="4" w:space="0" w:color="000000"/>
              <w:end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£8,868m</w:t>
            </w:r>
          </w:p>
        </w:tc>
      </w:tr>
      <w:tr>
        <w:trPr/>
        <w:tc>
          <w:tcPr>
            <w:tcW w:w="4512" w:type="dxa"/>
            <w:tcBorders>
              <w:start w:val="single" w:sz="4" w:space="0" w:color="000000"/>
              <w:bottom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Market Value of Equity</w:t>
            </w:r>
          </w:p>
        </w:tc>
        <w:tc>
          <w:tcPr>
            <w:tcW w:w="4514" w:type="dxa"/>
            <w:tcBorders>
              <w:start w:val="single" w:sz="4" w:space="0" w:color="000000"/>
              <w:bottom w:val="single" w:sz="4" w:space="0" w:color="000000"/>
              <w:end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£55,200m</w:t>
            </w:r>
          </w:p>
        </w:tc>
      </w:tr>
      <w:tr>
        <w:trPr/>
        <w:tc>
          <w:tcPr>
            <w:tcW w:w="4512" w:type="dxa"/>
            <w:tcBorders>
              <w:start w:val="single" w:sz="4" w:space="0" w:color="000000"/>
              <w:bottom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Total Liabilities</w:t>
            </w:r>
          </w:p>
        </w:tc>
        <w:tc>
          <w:tcPr>
            <w:tcW w:w="4514" w:type="dxa"/>
            <w:tcBorders>
              <w:start w:val="single" w:sz="4" w:space="0" w:color="000000"/>
              <w:bottom w:val="single" w:sz="4" w:space="0" w:color="000000"/>
              <w:end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£448,500m</w:t>
            </w:r>
          </w:p>
        </w:tc>
      </w:tr>
      <w:tr>
        <w:trPr/>
        <w:tc>
          <w:tcPr>
            <w:tcW w:w="4512" w:type="dxa"/>
            <w:tcBorders>
              <w:start w:val="single" w:sz="4" w:space="0" w:color="000000"/>
              <w:bottom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Sales</w:t>
            </w:r>
          </w:p>
        </w:tc>
        <w:tc>
          <w:tcPr>
            <w:tcW w:w="4514" w:type="dxa"/>
            <w:tcBorders>
              <w:start w:val="single" w:sz="4" w:space="0" w:color="000000"/>
              <w:bottom w:val="single" w:sz="4" w:space="0" w:color="000000"/>
              <w:end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£321,913m</w:t>
            </w:r>
          </w:p>
        </w:tc>
      </w:tr>
    </w:tbl>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 xml:space="preserve">Result :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Using these numbers, The calculated Z-score for VolksWegan is 1.11. </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Here is what it means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r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y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m</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p</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y</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t>
      </w:r>
    </w:p>
    <w:tbl>
      <w:tblPr>
        <w:tblW w:w="5000" w:type="pct"/>
        <w:jc w:val="start"/>
        <w:tblInd w:w="-5" w:type="dxa"/>
        <w:tblLayout w:type="fixed"/>
        <w:tblCellMar>
          <w:top w:w="55" w:type="dxa"/>
          <w:start w:w="55" w:type="dxa"/>
          <w:bottom w:w="55" w:type="dxa"/>
          <w:end w:w="55" w:type="dxa"/>
        </w:tblCellMar>
      </w:tblPr>
      <w:tblGrid>
        <w:gridCol w:w="2490"/>
        <w:gridCol w:w="6536"/>
      </w:tblGrid>
      <w:tr>
        <w:trPr/>
        <w:tc>
          <w:tcPr>
            <w:tcW w:w="2490" w:type="dxa"/>
            <w:tcBorders>
              <w:top w:val="single" w:sz="4" w:space="0" w:color="000000"/>
              <w:start w:val="single" w:sz="4" w:space="0" w:color="000000"/>
              <w:bottom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Z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g</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r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2.99</w:t>
            </w:r>
          </w:p>
        </w:tc>
        <w:tc>
          <w:tcPr>
            <w:tcW w:w="6536" w:type="dxa"/>
            <w:tcBorders>
              <w:top w:val="single" w:sz="4" w:space="0" w:color="000000"/>
              <w:start w:val="single" w:sz="4" w:space="0" w:color="000000"/>
              <w:bottom w:val="single" w:sz="4" w:space="0" w:color="000000"/>
              <w:end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d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Safe Zone</w:t>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Meaning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Low risk of bankruptcy)</w:t>
            </w:r>
          </w:p>
        </w:tc>
      </w:tr>
      <w:tr>
        <w:trPr/>
        <w:tc>
          <w:tcPr>
            <w:tcW w:w="2490" w:type="dxa"/>
            <w:tcBorders>
              <w:start w:val="single" w:sz="4" w:space="0" w:color="000000"/>
              <w:bottom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1.81 &lt;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Z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&lt; 2.99</w:t>
            </w:r>
          </w:p>
        </w:tc>
        <w:tc>
          <w:tcPr>
            <w:tcW w:w="6536" w:type="dxa"/>
            <w:tcBorders>
              <w:start w:val="single" w:sz="4" w:space="0" w:color="000000"/>
              <w:bottom w:val="single" w:sz="4" w:space="0" w:color="000000"/>
              <w:end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d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Gray Zone</w:t>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Signals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Probabl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ity of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risk of failure)</w:t>
            </w:r>
          </w:p>
        </w:tc>
      </w:tr>
      <w:tr>
        <w:trPr/>
        <w:tc>
          <w:tcPr>
            <w:tcW w:w="2490" w:type="dxa"/>
            <w:tcBorders>
              <w:start w:val="single" w:sz="4" w:space="0" w:color="000000"/>
              <w:bottom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Z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&lt; 1.81</w:t>
            </w:r>
          </w:p>
        </w:tc>
        <w:tc>
          <w:tcPr>
            <w:tcW w:w="6536" w:type="dxa"/>
            <w:tcBorders>
              <w:start w:val="single" w:sz="4" w:space="0" w:color="000000"/>
              <w:bottom w:val="single" w:sz="4" w:space="0" w:color="000000"/>
              <w:end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d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Distress Zone</w:t>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Signals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High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certainity</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of bankruptcy within 24 months)</w:t>
            </w:r>
          </w:p>
        </w:tc>
      </w:tr>
    </w:tbl>
    <w:p>
      <w:pPr>
        <w:pStyle w:val="BodyText"/>
        <w:bidi w:val="0"/>
        <w:spacing w:lineRule="auto" w:line="360" w:before="0" w:after="0"/>
        <w:jc w:val="both"/>
        <w:rPr>
          <w:rFonts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VW is firmly in the Distress Zone based on a score of 1.11. Which means that the company requires financial restructuring or it will no longer be able to suppor its operations without a radical capital injection.</w:t>
      </w:r>
    </w:p>
    <w:p>
      <w:pPr>
        <w:pStyle w:val="BodyText"/>
        <w:bidi w:val="0"/>
        <w:spacing w:lineRule="auto" w:line="360" w:before="0" w:after="0"/>
        <w:jc w:val="both"/>
        <w:rPr>
          <w:rFonts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rPr>
      </w:pPr>
      <w:r>
        <w:rPr/>
      </w:r>
    </w:p>
    <w:p>
      <w:pPr>
        <w:pStyle w:val="BodyText"/>
        <w:bidi w:val="0"/>
        <w:spacing w:lineRule="auto" w:line="360" w:before="0" w:after="0"/>
        <w:jc w:val="both"/>
        <w:rPr>
          <w:rFonts w:ascii="Arial" w:hAnsi="Arial"/>
        </w:rPr>
      </w:pPr>
      <w: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S</w:t>
      </w:r>
      <w:r>
        <w:rPr>
          <w:rFonts w:eastAsia="Times New Roman" w:cs="Times New Roman"/>
          <w:b/>
          <w:bCs/>
          <w:i w:val="false"/>
          <w:caps w:val="false"/>
          <w:smallCaps w:val="false"/>
          <w:strike w:val="false"/>
          <w:dstrike w:val="false"/>
          <w:color w:val="000000"/>
          <w:sz w:val="24"/>
          <w:szCs w:val="24"/>
          <w:u w:val="none"/>
          <w:effect w:val="none"/>
          <w:shd w:fill="auto" w:val="clear"/>
        </w:rPr>
        <w:t>e</w:t>
      </w:r>
      <w:r>
        <w:rPr>
          <w:rFonts w:eastAsia="Times New Roman" w:cs="Times New Roman"/>
          <w:b/>
          <w:bCs/>
          <w:i w:val="false"/>
          <w:caps w:val="false"/>
          <w:smallCaps w:val="false"/>
          <w:strike w:val="false"/>
          <w:dstrike w:val="false"/>
          <w:color w:val="000000"/>
          <w:sz w:val="24"/>
          <w:szCs w:val="24"/>
          <w:u w:val="none"/>
          <w:effect w:val="none"/>
          <w:shd w:fill="auto" w:val="clear"/>
        </w:rPr>
        <w:t>c</w:t>
      </w:r>
      <w:r>
        <w:rPr>
          <w:rFonts w:eastAsia="Times New Roman" w:cs="Times New Roman"/>
          <w:b/>
          <w:bCs/>
          <w:i w:val="false"/>
          <w:caps w:val="false"/>
          <w:smallCaps w:val="false"/>
          <w:strike w:val="false"/>
          <w:dstrike w:val="false"/>
          <w:color w:val="000000"/>
          <w:sz w:val="24"/>
          <w:szCs w:val="24"/>
          <w:u w:val="none"/>
          <w:effect w:val="none"/>
          <w:shd w:fill="auto" w:val="clear"/>
        </w:rPr>
        <w:t>t</w:t>
      </w:r>
      <w:r>
        <w:rPr>
          <w:rFonts w:eastAsia="Times New Roman" w:cs="Times New Roman"/>
          <w:b/>
          <w:bCs/>
          <w:i w:val="false"/>
          <w:caps w:val="false"/>
          <w:smallCaps w:val="false"/>
          <w:strike w:val="false"/>
          <w:dstrike w:val="false"/>
          <w:color w:val="000000"/>
          <w:sz w:val="24"/>
          <w:szCs w:val="24"/>
          <w:u w:val="none"/>
          <w:effect w:val="none"/>
          <w:shd w:fill="auto" w:val="clear"/>
        </w:rPr>
        <w:t>i</w:t>
      </w:r>
      <w:r>
        <w:rPr>
          <w:rFonts w:eastAsia="Times New Roman" w:cs="Times New Roman"/>
          <w:b/>
          <w:bCs/>
          <w:i w:val="false"/>
          <w:caps w:val="false"/>
          <w:smallCaps w:val="false"/>
          <w:strike w:val="false"/>
          <w:dstrike w:val="false"/>
          <w:color w:val="000000"/>
          <w:sz w:val="24"/>
          <w:szCs w:val="24"/>
          <w:u w:val="none"/>
          <w:effect w:val="none"/>
          <w:shd w:fill="auto" w:val="clear"/>
        </w:rPr>
        <w:t>o</w:t>
      </w:r>
      <w:r>
        <w:rPr>
          <w:rFonts w:eastAsia="Times New Roman" w:cs="Times New Roman"/>
          <w:b/>
          <w:bCs/>
          <w:i w:val="false"/>
          <w:caps w:val="false"/>
          <w:smallCaps w:val="false"/>
          <w:strike w:val="false"/>
          <w:dstrike w:val="false"/>
          <w:color w:val="000000"/>
          <w:sz w:val="24"/>
          <w:szCs w:val="24"/>
          <w:u w:val="none"/>
          <w:effect w:val="none"/>
          <w:shd w:fill="auto" w:val="clear"/>
        </w:rPr>
        <w:t xml:space="preserve">n </w:t>
      </w:r>
      <w:r>
        <w:rPr>
          <w:rFonts w:eastAsia="Times New Roman" w:cs="Times New Roman"/>
          <w:b/>
          <w:bCs/>
          <w:i w:val="false"/>
          <w:caps w:val="false"/>
          <w:smallCaps w:val="false"/>
          <w:strike w:val="false"/>
          <w:dstrike w:val="false"/>
          <w:color w:val="000000"/>
          <w:sz w:val="24"/>
          <w:szCs w:val="24"/>
          <w:u w:val="none"/>
          <w:effect w:val="none"/>
          <w:shd w:fill="auto" w:val="clear"/>
        </w:rPr>
        <w:t>2 : Working Capital Management Analysis</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2.1 Cash Operating Cycle Assessment</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numPr>
          <w:ilvl w:val="0"/>
          <w:numId w:val="5"/>
        </w:numPr>
        <w:bidi w:val="0"/>
        <w:spacing w:lineRule="auto" w:line="360" w:before="0" w:after="0"/>
        <w:jc w:val="both"/>
        <w:rPr>
          <w:rFonts w:ascii="Arial" w:hAnsi="Arial"/>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Cash Operating Cycle shows the duration of converting inventory investment into cash flow through sales.</w:t>
      </w:r>
    </w:p>
    <w:p>
      <w:pPr>
        <w:pStyle w:val="BodyText"/>
        <w:numPr>
          <w:ilvl w:val="0"/>
          <w:numId w:val="5"/>
        </w:numPr>
        <w:bidi w:val="0"/>
        <w:spacing w:lineRule="auto" w:line="360" w:before="0" w:after="0"/>
        <w:jc w:val="both"/>
        <w:rPr>
          <w:rFonts w:ascii="Arial" w:hAnsi="Arial"/>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The Inventory Conversion Period (ICP) for each year is: </w:t>
      </w:r>
    </w:p>
    <w:p>
      <w:pPr>
        <w:pStyle w:val="BodyText"/>
        <w:numPr>
          <w:ilvl w:val="0"/>
          <w:numId w:val="0"/>
        </w:numPr>
        <w:bidi w:val="0"/>
        <w:spacing w:lineRule="auto" w:line="360" w:before="0" w:after="0"/>
        <w:ind w:hanging="0" w:start="720"/>
        <w:jc w:val="both"/>
        <w:rPr>
          <w:rFonts w:ascii="Arial" w:hAnsi="Arial"/>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79 days (2021), 83 days (2022), 77 days (2023), 80 days (2024), and 82 days (2025).</w:t>
      </w:r>
    </w:p>
    <w:p>
      <w:pPr>
        <w:pStyle w:val="BodyText"/>
        <w:numPr>
          <w:ilvl w:val="0"/>
          <w:numId w:val="5"/>
        </w:numPr>
        <w:bidi w:val="0"/>
        <w:spacing w:lineRule="auto" w:line="360" w:before="0" w:after="0"/>
        <w:jc w:val="both"/>
        <w:rPr>
          <w:rFonts w:ascii="Arial" w:hAnsi="Arial"/>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Similarly, the Receivable Collection Period (RCP) for each year is: </w:t>
      </w:r>
    </w:p>
    <w:p>
      <w:pPr>
        <w:pStyle w:val="BodyText"/>
        <w:numPr>
          <w:ilvl w:val="0"/>
          <w:numId w:val="0"/>
        </w:numPr>
        <w:bidi w:val="0"/>
        <w:spacing w:lineRule="auto" w:line="360" w:before="0" w:after="0"/>
        <w:ind w:hanging="0" w:start="720"/>
        <w:jc w:val="both"/>
        <w:rPr>
          <w:rFonts w:ascii="Arial" w:hAnsi="Arial"/>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26 days (2021), 28 days (2022), 27 days (2023), 30 days (2024), and 32 days (2025).</w:t>
      </w:r>
    </w:p>
    <w:p>
      <w:pPr>
        <w:pStyle w:val="BodyText"/>
        <w:numPr>
          <w:ilvl w:val="0"/>
          <w:numId w:val="5"/>
        </w:numPr>
        <w:bidi w:val="0"/>
        <w:spacing w:lineRule="auto" w:line="360" w:before="0" w:after="0"/>
        <w:jc w:val="both"/>
        <w:rPr>
          <w:rFonts w:ascii="Arial" w:hAnsi="Arial"/>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Payables Deferral Period (PDP) for each year is: </w:t>
      </w:r>
    </w:p>
    <w:p>
      <w:pPr>
        <w:pStyle w:val="BodyText"/>
        <w:numPr>
          <w:ilvl w:val="0"/>
          <w:numId w:val="0"/>
        </w:numPr>
        <w:bidi w:val="0"/>
        <w:spacing w:lineRule="auto" w:line="360" w:before="0" w:after="0"/>
        <w:ind w:hanging="0" w:start="720"/>
        <w:jc w:val="both"/>
        <w:rPr>
          <w:rFonts w:ascii="Arial" w:hAnsi="Arial"/>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42 days (2021), 46 days (2022), 43 days (2023), 41 days (2024), and 41 days (2025). </w:t>
      </w:r>
    </w:p>
    <w:p>
      <w:pPr>
        <w:pStyle w:val="BodyText"/>
        <w:numPr>
          <w:ilvl w:val="0"/>
          <w:numId w:val="5"/>
        </w:numPr>
        <w:bidi w:val="0"/>
        <w:spacing w:lineRule="auto" w:line="360" w:before="0" w:after="0"/>
        <w:jc w:val="both"/>
        <w:rPr>
          <w:rFonts w:ascii="Arial" w:hAnsi="Arial"/>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Now we can calculate the Cash Operating Cycle (COC) sing ICP, RCP and PDP. </w:t>
      </w:r>
    </w:p>
    <w:p>
      <w:pPr>
        <w:pStyle w:val="BodyText"/>
        <w:bidi w:val="0"/>
        <w:spacing w:lineRule="auto" w:line="360" w:before="0" w:after="0"/>
        <w:ind w:hanging="0" w:start="72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Formula  : </w:t>
      </w:r>
      <w:r>
        <w:rPr>
          <w:rFonts w:eastAsia="Times New Roman" w:cs="Times New Roman"/>
          <w:b w:val="false"/>
          <w:bCs w:val="false"/>
          <w:i/>
          <w:iCs/>
          <w:caps w:val="false"/>
          <w:smallCaps w:val="false"/>
          <w:strike w:val="false"/>
          <w:dstrike w:val="false"/>
          <w:color w:val="000000"/>
          <w:sz w:val="24"/>
          <w:szCs w:val="24"/>
          <w:u w:val="none"/>
          <w:effect w:val="none"/>
          <w:shd w:fill="auto" w:val="clear"/>
        </w:rPr>
        <w:t>COC = ICP + RCP − PDP</w:t>
      </w:r>
    </w:p>
    <w:p>
      <w:pPr>
        <w:pStyle w:val="BodyText"/>
        <w:numPr>
          <w:ilvl w:val="0"/>
          <w:numId w:val="0"/>
        </w:numPr>
        <w:bidi w:val="0"/>
        <w:spacing w:lineRule="auto" w:line="360" w:before="0" w:after="0"/>
        <w:ind w:hanging="0" w:start="72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COC = 63 days, 65 days, 61 days, 69 days, and 73 days for 2021, 2022, 2023, 2024, and 2025 respectively.</w:t>
      </w:r>
    </w:p>
    <w:p>
      <w:pPr>
        <w:pStyle w:val="BodyText"/>
        <w:numPr>
          <w:ilvl w:val="0"/>
          <w:numId w:val="5"/>
        </w:numPr>
        <w:bidi w:val="0"/>
        <w:spacing w:lineRule="auto" w:line="360" w:before="0" w:after="0"/>
        <w:jc w:val="both"/>
        <w:rPr>
          <w:sz w:val="24"/>
          <w:szCs w:val="24"/>
        </w:rPr>
      </w:pPr>
      <w:r>
        <w:rPr>
          <w:sz w:val="24"/>
          <w:szCs w:val="24"/>
        </w:rPr>
        <w:t>In 2025, the firm needs over 2 months (73 days) to recover the funds it invested in production and operations. From calculations, we can say that this elongated cycle is mainly driven by slower inventory turnover and longer collection times, resulting in firm having lower operational liquidity.</w:t>
      </w:r>
    </w:p>
    <w:p>
      <w:pPr>
        <w:pStyle w:val="BodyText"/>
        <w:bidi w:val="0"/>
        <w:spacing w:lineRule="auto" w:line="360" w:before="0" w:after="0"/>
        <w:jc w:val="both"/>
        <w:rPr>
          <w:sz w:val="24"/>
          <w:szCs w:val="24"/>
        </w:rPr>
      </w:pPr>
      <w:r>
        <w:rPr>
          <w:sz w:val="24"/>
          <w:szCs w:val="24"/>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 xml:space="preserve">2.2 Recommended Strategies and working capital reforms to improve liquidity </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Firm has to fix the problem of liquidity and it requires a working capital reform program. The Cash Operating Cycle has expanded to 73 days, the firm needs immediate working capital reforms. Efficient working capital management is crucial for maintaining corporate liquidity and firm profitability; specifically during periods of macroeconomic transition and high capital expenditure (Deloof, 2003). Here are the following targeted strategies to restore firm’s operational liquidity.These strategies target the three core components of the cash cycle.</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Receivables</w:t>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The collection period is gradually drifting towards 32 days, which indicates lenient credit management. Here are the suggested reforms to accelerate cash inflows :</w:t>
      </w:r>
    </w:p>
    <w:p>
      <w:pPr>
        <w:pStyle w:val="BodyText"/>
        <w:numPr>
          <w:ilvl w:val="0"/>
          <w:numId w:val="13"/>
        </w:numPr>
        <w:bidi w:val="0"/>
        <w:spacing w:lineRule="auto" w:line="360" w:before="0" w:after="0"/>
        <w:jc w:val="both"/>
        <w:rPr>
          <w:rFonts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The firm should introduce dynamic early-payment discount structures (e.g., 2/10 Net 30 terms). This will heavily incentivize immediate cash settlements from large corporate fleet buyers and franchise dealerships. Offering effective cash discounts can substantially reduce receivable cycles and lower the risk of default from buyers (Petersen and Rajan, 1997).</w:t>
      </w:r>
    </w:p>
    <w:p>
      <w:pPr>
        <w:pStyle w:val="BodyText"/>
        <w:numPr>
          <w:ilvl w:val="0"/>
          <w:numId w:val="13"/>
        </w:numPr>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Furthermore, the firm should secure more of its automotive financing receivables by bundling and selling these dealership obligations to third-party financial institutions at a slight discount. This way, the firm can secure immediate liquidity injections and transfer the underlying default risk off its balance sheet at the same time.</w:t>
      </w:r>
    </w:p>
    <w:p>
      <w:pPr>
        <w:pStyle w:val="BodyText"/>
        <w:bidi w:val="0"/>
        <w:spacing w:lineRule="auto" w:line="360" w:before="0" w:after="0"/>
        <w:jc w:val="both"/>
        <w:rPr>
          <w:sz w:val="24"/>
          <w:szCs w:val="24"/>
        </w:rPr>
      </w:pPr>
      <w:r>
        <w:rPr>
          <w:sz w:val="24"/>
          <w:szCs w:val="24"/>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Inventory &amp; Supply chain finance</w:t>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As of 2025, The 82-day inventory conversion period represents a staggering €61 billion in idle, frozen capital for Volkswegan. This larger inventory holding periods inherently increase costs(storage, insurance, opportunity) and directly  reduces overall corporate profitability (Richards and Laughlin, 1980). To mitigate this, a dual-pronged inventory reduction strategy must be executed :</w:t>
      </w:r>
    </w:p>
    <w:p>
      <w:pPr>
        <w:pStyle w:val="BodyText"/>
        <w:numPr>
          <w:ilvl w:val="0"/>
          <w:numId w:val="14"/>
        </w:numPr>
        <w:bidi w:val="0"/>
        <w:spacing w:lineRule="auto" w:line="360" w:before="0" w:after="0"/>
        <w:jc w:val="both"/>
        <w:rPr>
          <w:rFonts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First, the firm must implement an ‘accelerated liquidation program’ for legacy Internal Combustion Engine (ICE) vehicles.</w:t>
      </w:r>
    </w:p>
    <w:p>
      <w:pPr>
        <w:pStyle w:val="BodyText"/>
        <w:numPr>
          <w:ilvl w:val="0"/>
          <w:numId w:val="14"/>
        </w:numPr>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Secondly for high-cost EV components such as battery cells and semiconductors, manufacturing logistics must integrate more rigorous, Just-In-Time (JIT) procurement models to minimize the costly over-accumulation of raw materials and streamline production efficiency. This model is also vital for preserving Volkswegan’s liquidity in capital-intensive manufacturing environments (Womack, Jones and Roos, 1990).</w:t>
      </w:r>
    </w:p>
    <w:p>
      <w:pPr>
        <w:pStyle w:val="BodyText"/>
        <w:bidi w:val="0"/>
        <w:spacing w:lineRule="auto" w:line="360" w:before="0" w:after="0"/>
        <w:jc w:val="both"/>
        <w:rPr>
          <w:rFonts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Cash Flow</w:t>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The firm should aim to retain cash internally for longer durations. Current payables deferral period down to 41 days must expand. The firm must leverage its immense global procurement scale and negotiate the extention of thie period to standard 60-to-90-day payment terms with its Tier-1 suppliers. However, Volkswegan must ensure that this aggressive extension does not bankrupt critical, smaller suppliers in the EV supply chain. The firm must drastically scale up its existing supply chain finance  initiatives to ensure that. Under this framework, suppliers receive a discounted payments from partner banks immedietly, while the firm repays the bank at the end of the extended term. This framework extends the payables period without destabilizing vendor relationships (Gelsomino et al., 2016).</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2.3 Short-Term vs Long-Term Financing</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Beyond the internal cycle optimization, Volkswegan must support liquidity through it’s external financing strategies. According to the hedging principle of corporate finance : firms should align the maturity of their liabilities with the life of their assets in order to minimize refinancing risk (Berk and DeMarzo, 2020).</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1</w:t>
      </w:r>
      <w:r>
        <w:rPr>
          <w:rFonts w:eastAsia="Times New Roman" w:cs="Times New Roman"/>
          <w:b/>
          <w:bCs/>
          <w:i w:val="false"/>
          <w:caps w:val="false"/>
          <w:smallCaps w:val="false"/>
          <w:strike w:val="false"/>
          <w:dstrike w:val="false"/>
          <w:color w:val="000000"/>
          <w:sz w:val="24"/>
          <w:szCs w:val="24"/>
          <w:u w:val="none"/>
          <w:effect w:val="none"/>
          <w:shd w:fill="auto" w:val="clear"/>
        </w:rPr>
        <w:t xml:space="preserve">) </w:t>
      </w:r>
      <w:r>
        <w:rPr>
          <w:rFonts w:eastAsia="Times New Roman" w:cs="Times New Roman"/>
          <w:b/>
          <w:bCs/>
          <w:i w:val="false"/>
          <w:caps w:val="false"/>
          <w:smallCaps w:val="false"/>
          <w:strike w:val="false"/>
          <w:dstrike w:val="false"/>
          <w:color w:val="000000"/>
          <w:sz w:val="24"/>
          <w:szCs w:val="24"/>
          <w:u w:val="none"/>
          <w:effect w:val="none"/>
          <w:shd w:fill="auto" w:val="clear"/>
        </w:rPr>
        <w:t>F</w:t>
      </w:r>
      <w:r>
        <w:rPr>
          <w:rFonts w:eastAsia="Times New Roman" w:cs="Times New Roman"/>
          <w:b/>
          <w:bCs/>
          <w:i w:val="false"/>
          <w:caps w:val="false"/>
          <w:smallCaps w:val="false"/>
          <w:strike w:val="false"/>
          <w:dstrike w:val="false"/>
          <w:color w:val="000000"/>
          <w:sz w:val="24"/>
          <w:szCs w:val="24"/>
          <w:u w:val="none"/>
          <w:effect w:val="none"/>
          <w:shd w:fill="auto" w:val="clear"/>
        </w:rPr>
        <w:t>i</w:t>
      </w:r>
      <w:r>
        <w:rPr>
          <w:rFonts w:eastAsia="Times New Roman" w:cs="Times New Roman"/>
          <w:b/>
          <w:bCs/>
          <w:i w:val="false"/>
          <w:caps w:val="false"/>
          <w:smallCaps w:val="false"/>
          <w:strike w:val="false"/>
          <w:dstrike w:val="false"/>
          <w:color w:val="000000"/>
          <w:sz w:val="24"/>
          <w:szCs w:val="24"/>
          <w:u w:val="none"/>
          <w:effect w:val="none"/>
          <w:shd w:fill="auto" w:val="clear"/>
        </w:rPr>
        <w:t>n</w:t>
      </w:r>
      <w:r>
        <w:rPr>
          <w:rFonts w:eastAsia="Times New Roman" w:cs="Times New Roman"/>
          <w:b/>
          <w:bCs/>
          <w:i w:val="false"/>
          <w:caps w:val="false"/>
          <w:smallCaps w:val="false"/>
          <w:strike w:val="false"/>
          <w:dstrike w:val="false"/>
          <w:color w:val="000000"/>
          <w:sz w:val="24"/>
          <w:szCs w:val="24"/>
          <w:u w:val="none"/>
          <w:effect w:val="none"/>
          <w:shd w:fill="auto" w:val="clear"/>
        </w:rPr>
        <w:t>a</w:t>
      </w:r>
      <w:r>
        <w:rPr>
          <w:rFonts w:eastAsia="Times New Roman" w:cs="Times New Roman"/>
          <w:b/>
          <w:bCs/>
          <w:i w:val="false"/>
          <w:caps w:val="false"/>
          <w:smallCaps w:val="false"/>
          <w:strike w:val="false"/>
          <w:dstrike w:val="false"/>
          <w:color w:val="000000"/>
          <w:sz w:val="24"/>
          <w:szCs w:val="24"/>
          <w:u w:val="none"/>
          <w:effect w:val="none"/>
          <w:shd w:fill="auto" w:val="clear"/>
        </w:rPr>
        <w:t>n</w:t>
      </w:r>
      <w:r>
        <w:rPr>
          <w:rFonts w:eastAsia="Times New Roman" w:cs="Times New Roman"/>
          <w:b/>
          <w:bCs/>
          <w:i w:val="false"/>
          <w:caps w:val="false"/>
          <w:smallCaps w:val="false"/>
          <w:strike w:val="false"/>
          <w:dstrike w:val="false"/>
          <w:color w:val="000000"/>
          <w:sz w:val="24"/>
          <w:szCs w:val="24"/>
          <w:u w:val="none"/>
          <w:effect w:val="none"/>
          <w:shd w:fill="auto" w:val="clear"/>
        </w:rPr>
        <w:t>c</w:t>
      </w:r>
      <w:r>
        <w:rPr>
          <w:rFonts w:eastAsia="Times New Roman" w:cs="Times New Roman"/>
          <w:b/>
          <w:bCs/>
          <w:i w:val="false"/>
          <w:caps w:val="false"/>
          <w:smallCaps w:val="false"/>
          <w:strike w:val="false"/>
          <w:dstrike w:val="false"/>
          <w:color w:val="000000"/>
          <w:sz w:val="24"/>
          <w:szCs w:val="24"/>
          <w:u w:val="none"/>
          <w:effect w:val="none"/>
          <w:shd w:fill="auto" w:val="clear"/>
        </w:rPr>
        <w:t>i</w:t>
      </w:r>
      <w:r>
        <w:rPr>
          <w:rFonts w:eastAsia="Times New Roman" w:cs="Times New Roman"/>
          <w:b/>
          <w:bCs/>
          <w:i w:val="false"/>
          <w:caps w:val="false"/>
          <w:smallCaps w:val="false"/>
          <w:strike w:val="false"/>
          <w:dstrike w:val="false"/>
          <w:color w:val="000000"/>
          <w:sz w:val="24"/>
          <w:szCs w:val="24"/>
          <w:u w:val="none"/>
          <w:effect w:val="none"/>
          <w:shd w:fill="auto" w:val="clear"/>
        </w:rPr>
        <w:t>n</w:t>
      </w:r>
      <w:r>
        <w:rPr>
          <w:rFonts w:eastAsia="Times New Roman" w:cs="Times New Roman"/>
          <w:b/>
          <w:bCs/>
          <w:i w:val="false"/>
          <w:caps w:val="false"/>
          <w:smallCaps w:val="false"/>
          <w:strike w:val="false"/>
          <w:dstrike w:val="false"/>
          <w:color w:val="000000"/>
          <w:sz w:val="24"/>
          <w:szCs w:val="24"/>
          <w:u w:val="none"/>
          <w:effect w:val="none"/>
          <w:shd w:fill="auto" w:val="clear"/>
        </w:rPr>
        <w:t xml:space="preserve">g </w:t>
      </w:r>
      <w:r>
        <w:rPr>
          <w:rFonts w:eastAsia="Times New Roman" w:cs="Times New Roman"/>
          <w:b/>
          <w:bCs/>
          <w:i w:val="false"/>
          <w:caps w:val="false"/>
          <w:smallCaps w:val="false"/>
          <w:strike w:val="false"/>
          <w:dstrike w:val="false"/>
          <w:color w:val="000000"/>
          <w:sz w:val="24"/>
          <w:szCs w:val="24"/>
          <w:u w:val="none"/>
          <w:effect w:val="none"/>
          <w:shd w:fill="auto" w:val="clear"/>
        </w:rPr>
        <w:t>o</w:t>
      </w:r>
      <w:r>
        <w:rPr>
          <w:rFonts w:eastAsia="Times New Roman" w:cs="Times New Roman"/>
          <w:b/>
          <w:bCs/>
          <w:i w:val="false"/>
          <w:caps w:val="false"/>
          <w:smallCaps w:val="false"/>
          <w:strike w:val="false"/>
          <w:dstrike w:val="false"/>
          <w:color w:val="000000"/>
          <w:sz w:val="24"/>
          <w:szCs w:val="24"/>
          <w:u w:val="none"/>
          <w:effect w:val="none"/>
          <w:shd w:fill="auto" w:val="clear"/>
        </w:rPr>
        <w:t>p</w:t>
      </w:r>
      <w:r>
        <w:rPr>
          <w:rFonts w:eastAsia="Times New Roman" w:cs="Times New Roman"/>
          <w:b/>
          <w:bCs/>
          <w:i w:val="false"/>
          <w:caps w:val="false"/>
          <w:smallCaps w:val="false"/>
          <w:strike w:val="false"/>
          <w:dstrike w:val="false"/>
          <w:color w:val="000000"/>
          <w:sz w:val="24"/>
          <w:szCs w:val="24"/>
          <w:u w:val="none"/>
          <w:effect w:val="none"/>
          <w:shd w:fill="auto" w:val="clear"/>
        </w:rPr>
        <w:t>t</w:t>
      </w:r>
      <w:r>
        <w:rPr>
          <w:rFonts w:eastAsia="Times New Roman" w:cs="Times New Roman"/>
          <w:b/>
          <w:bCs/>
          <w:i w:val="false"/>
          <w:caps w:val="false"/>
          <w:smallCaps w:val="false"/>
          <w:strike w:val="false"/>
          <w:dstrike w:val="false"/>
          <w:color w:val="000000"/>
          <w:sz w:val="24"/>
          <w:szCs w:val="24"/>
          <w:u w:val="none"/>
          <w:effect w:val="none"/>
          <w:shd w:fill="auto" w:val="clear"/>
        </w:rPr>
        <w:t>i</w:t>
      </w:r>
      <w:r>
        <w:rPr>
          <w:rFonts w:eastAsia="Times New Roman" w:cs="Times New Roman"/>
          <w:b/>
          <w:bCs/>
          <w:i w:val="false"/>
          <w:caps w:val="false"/>
          <w:smallCaps w:val="false"/>
          <w:strike w:val="false"/>
          <w:dstrike w:val="false"/>
          <w:color w:val="000000"/>
          <w:sz w:val="24"/>
          <w:szCs w:val="24"/>
          <w:u w:val="none"/>
          <w:effect w:val="none"/>
          <w:shd w:fill="auto" w:val="clear"/>
        </w:rPr>
        <w:t>o</w:t>
      </w:r>
      <w:r>
        <w:rPr>
          <w:rFonts w:eastAsia="Times New Roman" w:cs="Times New Roman"/>
          <w:b/>
          <w:bCs/>
          <w:i w:val="false"/>
          <w:caps w:val="false"/>
          <w:smallCaps w:val="false"/>
          <w:strike w:val="false"/>
          <w:dstrike w:val="false"/>
          <w:color w:val="000000"/>
          <w:sz w:val="24"/>
          <w:szCs w:val="24"/>
          <w:u w:val="none"/>
          <w:effect w:val="none"/>
          <w:shd w:fill="auto" w:val="clear"/>
        </w:rPr>
        <w:t>n</w:t>
      </w:r>
      <w:r>
        <w:rPr>
          <w:rFonts w:eastAsia="Times New Roman" w:cs="Times New Roman"/>
          <w:b/>
          <w:bCs/>
          <w:i w:val="false"/>
          <w:caps w:val="false"/>
          <w:smallCaps w:val="false"/>
          <w:strike w:val="false"/>
          <w:dstrike w:val="false"/>
          <w:color w:val="000000"/>
          <w:sz w:val="24"/>
          <w:szCs w:val="24"/>
          <w:u w:val="none"/>
          <w:effect w:val="none"/>
          <w:shd w:fill="auto" w:val="clear"/>
        </w:rPr>
        <w:t xml:space="preserve">s </w:t>
      </w:r>
      <w:r>
        <w:rPr>
          <w:rFonts w:eastAsia="Times New Roman" w:cs="Times New Roman"/>
          <w:b/>
          <w:bCs/>
          <w:i w:val="false"/>
          <w:caps w:val="false"/>
          <w:smallCaps w:val="false"/>
          <w:strike w:val="false"/>
          <w:dstrike w:val="false"/>
          <w:color w:val="000000"/>
          <w:sz w:val="24"/>
          <w:szCs w:val="24"/>
          <w:u w:val="none"/>
          <w:effect w:val="none"/>
          <w:shd w:fill="auto" w:val="clear"/>
        </w:rPr>
        <w:t>f</w:t>
      </w:r>
      <w:r>
        <w:rPr>
          <w:rFonts w:eastAsia="Times New Roman" w:cs="Times New Roman"/>
          <w:b/>
          <w:bCs/>
          <w:i w:val="false"/>
          <w:caps w:val="false"/>
          <w:smallCaps w:val="false"/>
          <w:strike w:val="false"/>
          <w:dstrike w:val="false"/>
          <w:color w:val="000000"/>
          <w:sz w:val="24"/>
          <w:szCs w:val="24"/>
          <w:u w:val="none"/>
          <w:effect w:val="none"/>
          <w:shd w:fill="auto" w:val="clear"/>
        </w:rPr>
        <w:t>o</w:t>
      </w:r>
      <w:r>
        <w:rPr>
          <w:rFonts w:eastAsia="Times New Roman" w:cs="Times New Roman"/>
          <w:b/>
          <w:bCs/>
          <w:i w:val="false"/>
          <w:caps w:val="false"/>
          <w:smallCaps w:val="false"/>
          <w:strike w:val="false"/>
          <w:dstrike w:val="false"/>
          <w:color w:val="000000"/>
          <w:sz w:val="24"/>
          <w:szCs w:val="24"/>
          <w:u w:val="none"/>
          <w:effect w:val="none"/>
          <w:shd w:fill="auto" w:val="clear"/>
        </w:rPr>
        <w:t xml:space="preserve">r </w:t>
      </w:r>
      <w:r>
        <w:rPr>
          <w:rFonts w:eastAsia="Times New Roman" w:cs="Times New Roman"/>
          <w:b/>
          <w:bCs/>
          <w:i w:val="false"/>
          <w:caps w:val="false"/>
          <w:smallCaps w:val="false"/>
          <w:strike w:val="false"/>
          <w:dstrike w:val="false"/>
          <w:color w:val="000000"/>
          <w:sz w:val="24"/>
          <w:szCs w:val="24"/>
          <w:u w:val="none"/>
          <w:effect w:val="none"/>
          <w:shd w:fill="auto" w:val="clear"/>
        </w:rPr>
        <w:t>S</w:t>
      </w:r>
      <w:r>
        <w:rPr>
          <w:rFonts w:eastAsia="Times New Roman" w:cs="Times New Roman"/>
          <w:b/>
          <w:bCs/>
          <w:i w:val="false"/>
          <w:caps w:val="false"/>
          <w:smallCaps w:val="false"/>
          <w:strike w:val="false"/>
          <w:dstrike w:val="false"/>
          <w:color w:val="000000"/>
          <w:sz w:val="24"/>
          <w:szCs w:val="24"/>
          <w:u w:val="none"/>
          <w:effect w:val="none"/>
          <w:shd w:fill="auto" w:val="clear"/>
        </w:rPr>
        <w:t>h</w:t>
      </w:r>
      <w:r>
        <w:rPr>
          <w:rFonts w:eastAsia="Times New Roman" w:cs="Times New Roman"/>
          <w:b/>
          <w:bCs/>
          <w:i w:val="false"/>
          <w:caps w:val="false"/>
          <w:smallCaps w:val="false"/>
          <w:strike w:val="false"/>
          <w:dstrike w:val="false"/>
          <w:color w:val="000000"/>
          <w:sz w:val="24"/>
          <w:szCs w:val="24"/>
          <w:u w:val="none"/>
          <w:effect w:val="none"/>
          <w:shd w:fill="auto" w:val="clear"/>
        </w:rPr>
        <w:t>o</w:t>
      </w:r>
      <w:r>
        <w:rPr>
          <w:rFonts w:eastAsia="Times New Roman" w:cs="Times New Roman"/>
          <w:b/>
          <w:bCs/>
          <w:i w:val="false"/>
          <w:caps w:val="false"/>
          <w:smallCaps w:val="false"/>
          <w:strike w:val="false"/>
          <w:dstrike w:val="false"/>
          <w:color w:val="000000"/>
          <w:sz w:val="24"/>
          <w:szCs w:val="24"/>
          <w:u w:val="none"/>
          <w:effect w:val="none"/>
          <w:shd w:fill="auto" w:val="clear"/>
        </w:rPr>
        <w:t>r</w:t>
      </w:r>
      <w:r>
        <w:rPr>
          <w:rFonts w:eastAsia="Times New Roman" w:cs="Times New Roman"/>
          <w:b/>
          <w:bCs/>
          <w:i w:val="false"/>
          <w:caps w:val="false"/>
          <w:smallCaps w:val="false"/>
          <w:strike w:val="false"/>
          <w:dstrike w:val="false"/>
          <w:color w:val="000000"/>
          <w:sz w:val="24"/>
          <w:szCs w:val="24"/>
          <w:u w:val="none"/>
          <w:effect w:val="none"/>
          <w:shd w:fill="auto" w:val="clear"/>
        </w:rPr>
        <w:t xml:space="preserve">t </w:t>
      </w:r>
      <w:r>
        <w:rPr>
          <w:rFonts w:eastAsia="Times New Roman" w:cs="Times New Roman"/>
          <w:b/>
          <w:bCs/>
          <w:i w:val="false"/>
          <w:caps w:val="false"/>
          <w:smallCaps w:val="false"/>
          <w:strike w:val="false"/>
          <w:dstrike w:val="false"/>
          <w:color w:val="000000"/>
          <w:sz w:val="24"/>
          <w:szCs w:val="24"/>
          <w:u w:val="none"/>
          <w:effect w:val="none"/>
          <w:shd w:fill="auto" w:val="clear"/>
        </w:rPr>
        <w:t>T</w:t>
      </w:r>
      <w:r>
        <w:rPr>
          <w:rFonts w:eastAsia="Times New Roman" w:cs="Times New Roman"/>
          <w:b/>
          <w:bCs/>
          <w:i w:val="false"/>
          <w:caps w:val="false"/>
          <w:smallCaps w:val="false"/>
          <w:strike w:val="false"/>
          <w:dstrike w:val="false"/>
          <w:color w:val="000000"/>
          <w:sz w:val="24"/>
          <w:szCs w:val="24"/>
          <w:u w:val="none"/>
          <w:effect w:val="none"/>
          <w:shd w:fill="auto" w:val="clear"/>
        </w:rPr>
        <w:t>e</w:t>
      </w:r>
      <w:r>
        <w:rPr>
          <w:rFonts w:eastAsia="Times New Roman" w:cs="Times New Roman"/>
          <w:b/>
          <w:bCs/>
          <w:i w:val="false"/>
          <w:caps w:val="false"/>
          <w:smallCaps w:val="false"/>
          <w:strike w:val="false"/>
          <w:dstrike w:val="false"/>
          <w:color w:val="000000"/>
          <w:sz w:val="24"/>
          <w:szCs w:val="24"/>
          <w:u w:val="none"/>
          <w:effect w:val="none"/>
          <w:shd w:fill="auto" w:val="clear"/>
        </w:rPr>
        <w:t>r</w:t>
      </w:r>
      <w:r>
        <w:rPr>
          <w:rFonts w:eastAsia="Times New Roman" w:cs="Times New Roman"/>
          <w:b/>
          <w:bCs/>
          <w:i w:val="false"/>
          <w:caps w:val="false"/>
          <w:smallCaps w:val="false"/>
          <w:strike w:val="false"/>
          <w:dstrike w:val="false"/>
          <w:color w:val="000000"/>
          <w:sz w:val="24"/>
          <w:szCs w:val="24"/>
          <w:u w:val="none"/>
          <w:effect w:val="none"/>
          <w:shd w:fill="auto" w:val="clear"/>
        </w:rPr>
        <w:t>m</w:t>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In order to manage it’s daily operations and liquidity, Here are important things to consider for short-term financing options:</w:t>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Short-term financing is highly effective for bridging temporary working capital gaps. Volkswegan can use commercial paper or revolving credit facilities that initially offer extreme flexibility and lower interest rates. However, the firm could face immediate insolvency upon debt maturity by relying on short-term debt to fund it’s long-term assets. This could happen if credit markets suddenly tighten due to macroeconomic factors.</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2</w:t>
      </w:r>
      <w:r>
        <w:rPr>
          <w:rFonts w:eastAsia="Times New Roman" w:cs="Times New Roman"/>
          <w:b/>
          <w:bCs/>
          <w:i w:val="false"/>
          <w:caps w:val="false"/>
          <w:smallCaps w:val="false"/>
          <w:strike w:val="false"/>
          <w:dstrike w:val="false"/>
          <w:color w:val="000000"/>
          <w:sz w:val="24"/>
          <w:szCs w:val="24"/>
          <w:u w:val="none"/>
          <w:effect w:val="none"/>
          <w:shd w:fill="auto" w:val="clear"/>
        </w:rPr>
        <w:t xml:space="preserve">) </w:t>
      </w:r>
      <w:r>
        <w:rPr>
          <w:rFonts w:eastAsia="Times New Roman" w:cs="Times New Roman"/>
          <w:b/>
          <w:bCs/>
          <w:i w:val="false"/>
          <w:caps w:val="false"/>
          <w:smallCaps w:val="false"/>
          <w:strike w:val="false"/>
          <w:dstrike w:val="false"/>
          <w:color w:val="000000"/>
          <w:sz w:val="24"/>
          <w:szCs w:val="24"/>
          <w:u w:val="none"/>
          <w:effect w:val="none"/>
          <w:shd w:fill="auto" w:val="clear"/>
        </w:rPr>
        <w:t>F</w:t>
      </w:r>
      <w:r>
        <w:rPr>
          <w:rFonts w:eastAsia="Times New Roman" w:cs="Times New Roman"/>
          <w:b/>
          <w:bCs/>
          <w:i w:val="false"/>
          <w:caps w:val="false"/>
          <w:smallCaps w:val="false"/>
          <w:strike w:val="false"/>
          <w:dstrike w:val="false"/>
          <w:color w:val="000000"/>
          <w:sz w:val="24"/>
          <w:szCs w:val="24"/>
          <w:u w:val="none"/>
          <w:effect w:val="none"/>
          <w:shd w:fill="auto" w:val="clear"/>
        </w:rPr>
        <w:t>i</w:t>
      </w:r>
      <w:r>
        <w:rPr>
          <w:rFonts w:eastAsia="Times New Roman" w:cs="Times New Roman"/>
          <w:b/>
          <w:bCs/>
          <w:i w:val="false"/>
          <w:caps w:val="false"/>
          <w:smallCaps w:val="false"/>
          <w:strike w:val="false"/>
          <w:dstrike w:val="false"/>
          <w:color w:val="000000"/>
          <w:sz w:val="24"/>
          <w:szCs w:val="24"/>
          <w:u w:val="none"/>
          <w:effect w:val="none"/>
          <w:shd w:fill="auto" w:val="clear"/>
        </w:rPr>
        <w:t>n</w:t>
      </w:r>
      <w:r>
        <w:rPr>
          <w:rFonts w:eastAsia="Times New Roman" w:cs="Times New Roman"/>
          <w:b/>
          <w:bCs/>
          <w:i w:val="false"/>
          <w:caps w:val="false"/>
          <w:smallCaps w:val="false"/>
          <w:strike w:val="false"/>
          <w:dstrike w:val="false"/>
          <w:color w:val="000000"/>
          <w:sz w:val="24"/>
          <w:szCs w:val="24"/>
          <w:u w:val="none"/>
          <w:effect w:val="none"/>
          <w:shd w:fill="auto" w:val="clear"/>
        </w:rPr>
        <w:t>a</w:t>
      </w:r>
      <w:r>
        <w:rPr>
          <w:rFonts w:eastAsia="Times New Roman" w:cs="Times New Roman"/>
          <w:b/>
          <w:bCs/>
          <w:i w:val="false"/>
          <w:caps w:val="false"/>
          <w:smallCaps w:val="false"/>
          <w:strike w:val="false"/>
          <w:dstrike w:val="false"/>
          <w:color w:val="000000"/>
          <w:sz w:val="24"/>
          <w:szCs w:val="24"/>
          <w:u w:val="none"/>
          <w:effect w:val="none"/>
          <w:shd w:fill="auto" w:val="clear"/>
        </w:rPr>
        <w:t>n</w:t>
      </w:r>
      <w:r>
        <w:rPr>
          <w:rFonts w:eastAsia="Times New Roman" w:cs="Times New Roman"/>
          <w:b/>
          <w:bCs/>
          <w:i w:val="false"/>
          <w:caps w:val="false"/>
          <w:smallCaps w:val="false"/>
          <w:strike w:val="false"/>
          <w:dstrike w:val="false"/>
          <w:color w:val="000000"/>
          <w:sz w:val="24"/>
          <w:szCs w:val="24"/>
          <w:u w:val="none"/>
          <w:effect w:val="none"/>
          <w:shd w:fill="auto" w:val="clear"/>
        </w:rPr>
        <w:t>c</w:t>
      </w:r>
      <w:r>
        <w:rPr>
          <w:rFonts w:eastAsia="Times New Roman" w:cs="Times New Roman"/>
          <w:b/>
          <w:bCs/>
          <w:i w:val="false"/>
          <w:caps w:val="false"/>
          <w:smallCaps w:val="false"/>
          <w:strike w:val="false"/>
          <w:dstrike w:val="false"/>
          <w:color w:val="000000"/>
          <w:sz w:val="24"/>
          <w:szCs w:val="24"/>
          <w:u w:val="none"/>
          <w:effect w:val="none"/>
          <w:shd w:fill="auto" w:val="clear"/>
        </w:rPr>
        <w:t>i</w:t>
      </w:r>
      <w:r>
        <w:rPr>
          <w:rFonts w:eastAsia="Times New Roman" w:cs="Times New Roman"/>
          <w:b/>
          <w:bCs/>
          <w:i w:val="false"/>
          <w:caps w:val="false"/>
          <w:smallCaps w:val="false"/>
          <w:strike w:val="false"/>
          <w:dstrike w:val="false"/>
          <w:color w:val="000000"/>
          <w:sz w:val="24"/>
          <w:szCs w:val="24"/>
          <w:u w:val="none"/>
          <w:effect w:val="none"/>
          <w:shd w:fill="auto" w:val="clear"/>
        </w:rPr>
        <w:t>n</w:t>
      </w:r>
      <w:r>
        <w:rPr>
          <w:rFonts w:eastAsia="Times New Roman" w:cs="Times New Roman"/>
          <w:b/>
          <w:bCs/>
          <w:i w:val="false"/>
          <w:caps w:val="false"/>
          <w:smallCaps w:val="false"/>
          <w:strike w:val="false"/>
          <w:dstrike w:val="false"/>
          <w:color w:val="000000"/>
          <w:sz w:val="24"/>
          <w:szCs w:val="24"/>
          <w:u w:val="none"/>
          <w:effect w:val="none"/>
          <w:shd w:fill="auto" w:val="clear"/>
        </w:rPr>
        <w:t xml:space="preserve">g </w:t>
      </w:r>
      <w:r>
        <w:rPr>
          <w:rFonts w:eastAsia="Times New Roman" w:cs="Times New Roman"/>
          <w:b/>
          <w:bCs/>
          <w:i w:val="false"/>
          <w:caps w:val="false"/>
          <w:smallCaps w:val="false"/>
          <w:strike w:val="false"/>
          <w:dstrike w:val="false"/>
          <w:color w:val="000000"/>
          <w:sz w:val="24"/>
          <w:szCs w:val="24"/>
          <w:u w:val="none"/>
          <w:effect w:val="none"/>
          <w:shd w:fill="auto" w:val="clear"/>
        </w:rPr>
        <w:t>o</w:t>
      </w:r>
      <w:r>
        <w:rPr>
          <w:rFonts w:eastAsia="Times New Roman" w:cs="Times New Roman"/>
          <w:b/>
          <w:bCs/>
          <w:i w:val="false"/>
          <w:caps w:val="false"/>
          <w:smallCaps w:val="false"/>
          <w:strike w:val="false"/>
          <w:dstrike w:val="false"/>
          <w:color w:val="000000"/>
          <w:sz w:val="24"/>
          <w:szCs w:val="24"/>
          <w:u w:val="none"/>
          <w:effect w:val="none"/>
          <w:shd w:fill="auto" w:val="clear"/>
        </w:rPr>
        <w:t>p</w:t>
      </w:r>
      <w:r>
        <w:rPr>
          <w:rFonts w:eastAsia="Times New Roman" w:cs="Times New Roman"/>
          <w:b/>
          <w:bCs/>
          <w:i w:val="false"/>
          <w:caps w:val="false"/>
          <w:smallCaps w:val="false"/>
          <w:strike w:val="false"/>
          <w:dstrike w:val="false"/>
          <w:color w:val="000000"/>
          <w:sz w:val="24"/>
          <w:szCs w:val="24"/>
          <w:u w:val="none"/>
          <w:effect w:val="none"/>
          <w:shd w:fill="auto" w:val="clear"/>
        </w:rPr>
        <w:t>t</w:t>
      </w:r>
      <w:r>
        <w:rPr>
          <w:rFonts w:eastAsia="Times New Roman" w:cs="Times New Roman"/>
          <w:b/>
          <w:bCs/>
          <w:i w:val="false"/>
          <w:caps w:val="false"/>
          <w:smallCaps w:val="false"/>
          <w:strike w:val="false"/>
          <w:dstrike w:val="false"/>
          <w:color w:val="000000"/>
          <w:sz w:val="24"/>
          <w:szCs w:val="24"/>
          <w:u w:val="none"/>
          <w:effect w:val="none"/>
          <w:shd w:fill="auto" w:val="clear"/>
        </w:rPr>
        <w:t>i</w:t>
      </w:r>
      <w:r>
        <w:rPr>
          <w:rFonts w:eastAsia="Times New Roman" w:cs="Times New Roman"/>
          <w:b/>
          <w:bCs/>
          <w:i w:val="false"/>
          <w:caps w:val="false"/>
          <w:smallCaps w:val="false"/>
          <w:strike w:val="false"/>
          <w:dstrike w:val="false"/>
          <w:color w:val="000000"/>
          <w:sz w:val="24"/>
          <w:szCs w:val="24"/>
          <w:u w:val="none"/>
          <w:effect w:val="none"/>
          <w:shd w:fill="auto" w:val="clear"/>
        </w:rPr>
        <w:t>o</w:t>
      </w:r>
      <w:r>
        <w:rPr>
          <w:rFonts w:eastAsia="Times New Roman" w:cs="Times New Roman"/>
          <w:b/>
          <w:bCs/>
          <w:i w:val="false"/>
          <w:caps w:val="false"/>
          <w:smallCaps w:val="false"/>
          <w:strike w:val="false"/>
          <w:dstrike w:val="false"/>
          <w:color w:val="000000"/>
          <w:sz w:val="24"/>
          <w:szCs w:val="24"/>
          <w:u w:val="none"/>
          <w:effect w:val="none"/>
          <w:shd w:fill="auto" w:val="clear"/>
        </w:rPr>
        <w:t>n</w:t>
      </w:r>
      <w:r>
        <w:rPr>
          <w:rFonts w:eastAsia="Times New Roman" w:cs="Times New Roman"/>
          <w:b/>
          <w:bCs/>
          <w:i w:val="false"/>
          <w:caps w:val="false"/>
          <w:smallCaps w:val="false"/>
          <w:strike w:val="false"/>
          <w:dstrike w:val="false"/>
          <w:color w:val="000000"/>
          <w:sz w:val="24"/>
          <w:szCs w:val="24"/>
          <w:u w:val="none"/>
          <w:effect w:val="none"/>
          <w:shd w:fill="auto" w:val="clear"/>
        </w:rPr>
        <w:t xml:space="preserve">s </w:t>
      </w:r>
      <w:r>
        <w:rPr>
          <w:rFonts w:eastAsia="Times New Roman" w:cs="Times New Roman"/>
          <w:b/>
          <w:bCs/>
          <w:i w:val="false"/>
          <w:caps w:val="false"/>
          <w:smallCaps w:val="false"/>
          <w:strike w:val="false"/>
          <w:dstrike w:val="false"/>
          <w:color w:val="000000"/>
          <w:sz w:val="24"/>
          <w:szCs w:val="24"/>
          <w:u w:val="none"/>
          <w:effect w:val="none"/>
          <w:shd w:fill="auto" w:val="clear"/>
        </w:rPr>
        <w:t>f</w:t>
      </w:r>
      <w:r>
        <w:rPr>
          <w:rFonts w:eastAsia="Times New Roman" w:cs="Times New Roman"/>
          <w:b/>
          <w:bCs/>
          <w:i w:val="false"/>
          <w:caps w:val="false"/>
          <w:smallCaps w:val="false"/>
          <w:strike w:val="false"/>
          <w:dstrike w:val="false"/>
          <w:color w:val="000000"/>
          <w:sz w:val="24"/>
          <w:szCs w:val="24"/>
          <w:u w:val="none"/>
          <w:effect w:val="none"/>
          <w:shd w:fill="auto" w:val="clear"/>
        </w:rPr>
        <w:t>o</w:t>
      </w:r>
      <w:r>
        <w:rPr>
          <w:rFonts w:eastAsia="Times New Roman" w:cs="Times New Roman"/>
          <w:b/>
          <w:bCs/>
          <w:i w:val="false"/>
          <w:caps w:val="false"/>
          <w:smallCaps w:val="false"/>
          <w:strike w:val="false"/>
          <w:dstrike w:val="false"/>
          <w:color w:val="000000"/>
          <w:sz w:val="24"/>
          <w:szCs w:val="24"/>
          <w:u w:val="none"/>
          <w:effect w:val="none"/>
          <w:shd w:fill="auto" w:val="clear"/>
        </w:rPr>
        <w:t xml:space="preserve">r </w:t>
      </w:r>
      <w:r>
        <w:rPr>
          <w:rFonts w:eastAsia="Times New Roman" w:cs="Times New Roman"/>
          <w:b/>
          <w:bCs/>
          <w:i w:val="false"/>
          <w:caps w:val="false"/>
          <w:smallCaps w:val="false"/>
          <w:strike w:val="false"/>
          <w:dstrike w:val="false"/>
          <w:color w:val="000000"/>
          <w:sz w:val="24"/>
          <w:szCs w:val="24"/>
          <w:u w:val="none"/>
          <w:effect w:val="none"/>
          <w:shd w:fill="auto" w:val="clear"/>
        </w:rPr>
        <w:t>L</w:t>
      </w:r>
      <w:r>
        <w:rPr>
          <w:rFonts w:eastAsia="Times New Roman" w:cs="Times New Roman"/>
          <w:b/>
          <w:bCs/>
          <w:i w:val="false"/>
          <w:caps w:val="false"/>
          <w:smallCaps w:val="false"/>
          <w:strike w:val="false"/>
          <w:dstrike w:val="false"/>
          <w:color w:val="000000"/>
          <w:sz w:val="24"/>
          <w:szCs w:val="24"/>
          <w:u w:val="none"/>
          <w:effect w:val="none"/>
          <w:shd w:fill="auto" w:val="clear"/>
        </w:rPr>
        <w:t>o</w:t>
      </w:r>
      <w:r>
        <w:rPr>
          <w:rFonts w:eastAsia="Times New Roman" w:cs="Times New Roman"/>
          <w:b/>
          <w:bCs/>
          <w:i w:val="false"/>
          <w:caps w:val="false"/>
          <w:smallCaps w:val="false"/>
          <w:strike w:val="false"/>
          <w:dstrike w:val="false"/>
          <w:color w:val="000000"/>
          <w:sz w:val="24"/>
          <w:szCs w:val="24"/>
          <w:u w:val="none"/>
          <w:effect w:val="none"/>
          <w:shd w:fill="auto" w:val="clear"/>
        </w:rPr>
        <w:t>n</w:t>
      </w:r>
      <w:r>
        <w:rPr>
          <w:rFonts w:eastAsia="Times New Roman" w:cs="Times New Roman"/>
          <w:b/>
          <w:bCs/>
          <w:i w:val="false"/>
          <w:caps w:val="false"/>
          <w:smallCaps w:val="false"/>
          <w:strike w:val="false"/>
          <w:dstrike w:val="false"/>
          <w:color w:val="000000"/>
          <w:sz w:val="24"/>
          <w:szCs w:val="24"/>
          <w:u w:val="none"/>
          <w:effect w:val="none"/>
          <w:shd w:fill="auto" w:val="clear"/>
        </w:rPr>
        <w:t>g-</w:t>
      </w:r>
      <w:r>
        <w:rPr>
          <w:rFonts w:eastAsia="Times New Roman" w:cs="Times New Roman"/>
          <w:b/>
          <w:bCs/>
          <w:i w:val="false"/>
          <w:caps w:val="false"/>
          <w:smallCaps w:val="false"/>
          <w:strike w:val="false"/>
          <w:dstrike w:val="false"/>
          <w:color w:val="000000"/>
          <w:sz w:val="24"/>
          <w:szCs w:val="24"/>
          <w:u w:val="none"/>
          <w:effect w:val="none"/>
          <w:shd w:fill="auto" w:val="clear"/>
        </w:rPr>
        <w:t>T</w:t>
      </w:r>
      <w:r>
        <w:rPr>
          <w:rFonts w:eastAsia="Times New Roman" w:cs="Times New Roman"/>
          <w:b/>
          <w:bCs/>
          <w:i w:val="false"/>
          <w:caps w:val="false"/>
          <w:smallCaps w:val="false"/>
          <w:strike w:val="false"/>
          <w:dstrike w:val="false"/>
          <w:color w:val="000000"/>
          <w:sz w:val="24"/>
          <w:szCs w:val="24"/>
          <w:u w:val="none"/>
          <w:effect w:val="none"/>
          <w:shd w:fill="auto" w:val="clear"/>
        </w:rPr>
        <w:t>e</w:t>
      </w:r>
      <w:r>
        <w:rPr>
          <w:rFonts w:eastAsia="Times New Roman" w:cs="Times New Roman"/>
          <w:b/>
          <w:bCs/>
          <w:i w:val="false"/>
          <w:caps w:val="false"/>
          <w:smallCaps w:val="false"/>
          <w:strike w:val="false"/>
          <w:dstrike w:val="false"/>
          <w:color w:val="000000"/>
          <w:sz w:val="24"/>
          <w:szCs w:val="24"/>
          <w:u w:val="none"/>
          <w:effect w:val="none"/>
          <w:shd w:fill="auto" w:val="clear"/>
        </w:rPr>
        <w:t>r</w:t>
      </w:r>
      <w:r>
        <w:rPr>
          <w:rFonts w:eastAsia="Times New Roman" w:cs="Times New Roman"/>
          <w:b/>
          <w:bCs/>
          <w:i w:val="false"/>
          <w:caps w:val="false"/>
          <w:smallCaps w:val="false"/>
          <w:strike w:val="false"/>
          <w:dstrike w:val="false"/>
          <w:color w:val="000000"/>
          <w:sz w:val="24"/>
          <w:szCs w:val="24"/>
          <w:u w:val="none"/>
          <w:effect w:val="none"/>
          <w:shd w:fill="auto" w:val="clear"/>
        </w:rPr>
        <w:t>m</w:t>
      </w:r>
    </w:p>
    <w:p>
      <w:pPr>
        <w:pStyle w:val="BodyText"/>
        <w:bidi w:val="0"/>
        <w:spacing w:lineRule="auto" w:line="360" w:before="0" w:after="0"/>
        <w:jc w:val="both"/>
        <w:rPr>
          <w:rFonts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On thee other hand, Volkswegan can issue 10-year corporate bonds for it’s long-term financing. long-term financing options generally have a higher interest premium but also provides stability. Unlike short term finance options, it removes immediate repayment pressure by It locking in capital for extended periods. Volkswegan has €19.5 billion annual capital expenditure requirement to build gigafactories and software architectures. these immedietly unyeilding structural assets must be matched with long-term capital financing.</w:t>
      </w:r>
    </w:p>
    <w:p>
      <w:pPr>
        <w:pStyle w:val="BodyText"/>
        <w:bidi w:val="0"/>
        <w:spacing w:lineRule="auto" w:line="360" w:before="0" w:after="0"/>
        <w:jc w:val="both"/>
        <w:rPr>
          <w:rFonts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The optimal financing strategy is strict segregation between it’s long term EV infrastructure financing and short term liquidity buffer. Long-term, fixed-rate "Green Bonds" to exclusively finance the physical EV infrastructure and its short-term commercial credit lines strictly as a liquid buffer for day-to-day working capital requirements.</w:t>
      </w:r>
    </w:p>
    <w:p>
      <w:pPr>
        <w:pStyle w:val="BodyText"/>
        <w:bidi w:val="0"/>
        <w:spacing w:lineRule="auto" w:line="360" w:before="0" w:after="0"/>
        <w:jc w:val="both"/>
        <w:rPr>
          <w:rFonts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S</w:t>
      </w:r>
      <w:r>
        <w:rPr>
          <w:rFonts w:eastAsia="Times New Roman" w:cs="Times New Roman"/>
          <w:b/>
          <w:bCs/>
          <w:i w:val="false"/>
          <w:caps w:val="false"/>
          <w:smallCaps w:val="false"/>
          <w:strike w:val="false"/>
          <w:dstrike w:val="false"/>
          <w:color w:val="000000"/>
          <w:sz w:val="24"/>
          <w:szCs w:val="24"/>
          <w:u w:val="none"/>
          <w:effect w:val="none"/>
          <w:shd w:fill="auto" w:val="clear"/>
        </w:rPr>
        <w:t>e</w:t>
      </w:r>
      <w:r>
        <w:rPr>
          <w:rFonts w:eastAsia="Times New Roman" w:cs="Times New Roman"/>
          <w:b/>
          <w:bCs/>
          <w:i w:val="false"/>
          <w:caps w:val="false"/>
          <w:smallCaps w:val="false"/>
          <w:strike w:val="false"/>
          <w:dstrike w:val="false"/>
          <w:color w:val="000000"/>
          <w:sz w:val="24"/>
          <w:szCs w:val="24"/>
          <w:u w:val="none"/>
          <w:effect w:val="none"/>
          <w:shd w:fill="auto" w:val="clear"/>
        </w:rPr>
        <w:t>c</w:t>
      </w:r>
      <w:r>
        <w:rPr>
          <w:rFonts w:eastAsia="Times New Roman" w:cs="Times New Roman"/>
          <w:b/>
          <w:bCs/>
          <w:i w:val="false"/>
          <w:caps w:val="false"/>
          <w:smallCaps w:val="false"/>
          <w:strike w:val="false"/>
          <w:dstrike w:val="false"/>
          <w:color w:val="000000"/>
          <w:sz w:val="24"/>
          <w:szCs w:val="24"/>
          <w:u w:val="none"/>
          <w:effect w:val="none"/>
          <w:shd w:fill="auto" w:val="clear"/>
        </w:rPr>
        <w:t>t</w:t>
      </w:r>
      <w:r>
        <w:rPr>
          <w:rFonts w:eastAsia="Times New Roman" w:cs="Times New Roman"/>
          <w:b/>
          <w:bCs/>
          <w:i w:val="false"/>
          <w:caps w:val="false"/>
          <w:smallCaps w:val="false"/>
          <w:strike w:val="false"/>
          <w:dstrike w:val="false"/>
          <w:color w:val="000000"/>
          <w:sz w:val="24"/>
          <w:szCs w:val="24"/>
          <w:u w:val="none"/>
          <w:effect w:val="none"/>
          <w:shd w:fill="auto" w:val="clear"/>
        </w:rPr>
        <w:t>i</w:t>
      </w:r>
      <w:r>
        <w:rPr>
          <w:rFonts w:eastAsia="Times New Roman" w:cs="Times New Roman"/>
          <w:b/>
          <w:bCs/>
          <w:i w:val="false"/>
          <w:caps w:val="false"/>
          <w:smallCaps w:val="false"/>
          <w:strike w:val="false"/>
          <w:dstrike w:val="false"/>
          <w:color w:val="000000"/>
          <w:sz w:val="24"/>
          <w:szCs w:val="24"/>
          <w:u w:val="none"/>
          <w:effect w:val="none"/>
          <w:shd w:fill="auto" w:val="clear"/>
        </w:rPr>
        <w:t>o</w:t>
      </w:r>
      <w:r>
        <w:rPr>
          <w:rFonts w:eastAsia="Times New Roman" w:cs="Times New Roman"/>
          <w:b/>
          <w:bCs/>
          <w:i w:val="false"/>
          <w:caps w:val="false"/>
          <w:smallCaps w:val="false"/>
          <w:strike w:val="false"/>
          <w:dstrike w:val="false"/>
          <w:color w:val="000000"/>
          <w:sz w:val="24"/>
          <w:szCs w:val="24"/>
          <w:u w:val="none"/>
          <w:effect w:val="none"/>
          <w:shd w:fill="auto" w:val="clear"/>
        </w:rPr>
        <w:t xml:space="preserve">n </w:t>
      </w:r>
      <w:r>
        <w:rPr>
          <w:rFonts w:eastAsia="Times New Roman" w:cs="Times New Roman"/>
          <w:b/>
          <w:bCs/>
          <w:i w:val="false"/>
          <w:caps w:val="false"/>
          <w:smallCaps w:val="false"/>
          <w:strike w:val="false"/>
          <w:dstrike w:val="false"/>
          <w:color w:val="000000"/>
          <w:sz w:val="24"/>
          <w:szCs w:val="24"/>
          <w:u w:val="none"/>
          <w:effect w:val="none"/>
          <w:shd w:fill="auto" w:val="clear"/>
        </w:rPr>
        <w:t xml:space="preserve">3 : Financial Restructuring Plan </w:t>
      </w:r>
      <w:r>
        <w:rPr>
          <w:rFonts w:eastAsia="Times New Roman" w:cs="Times New Roman"/>
          <w:b/>
          <w:bCs/>
          <w:i w:val="false"/>
          <w:caps w:val="false"/>
          <w:smallCaps w:val="false"/>
          <w:strike w:val="false"/>
          <w:dstrike w:val="false"/>
          <w:color w:val="000000"/>
          <w:sz w:val="24"/>
          <w:szCs w:val="24"/>
          <w:u w:val="none"/>
          <w:effect w:val="none"/>
          <w:shd w:fill="auto" w:val="clear"/>
        </w:rPr>
        <w:t>S</w:t>
      </w:r>
      <w:r>
        <w:rPr>
          <w:rFonts w:eastAsia="Times New Roman" w:cs="Times New Roman"/>
          <w:b/>
          <w:bCs/>
          <w:i w:val="false"/>
          <w:caps w:val="false"/>
          <w:smallCaps w:val="false"/>
          <w:strike w:val="false"/>
          <w:dstrike w:val="false"/>
          <w:color w:val="000000"/>
          <w:sz w:val="24"/>
          <w:szCs w:val="24"/>
          <w:u w:val="none"/>
          <w:effect w:val="none"/>
          <w:shd w:fill="auto" w:val="clear"/>
        </w:rPr>
        <w:t>t</w:t>
      </w:r>
      <w:r>
        <w:rPr>
          <w:rFonts w:eastAsia="Times New Roman" w:cs="Times New Roman"/>
          <w:b/>
          <w:bCs/>
          <w:i w:val="false"/>
          <w:caps w:val="false"/>
          <w:smallCaps w:val="false"/>
          <w:strike w:val="false"/>
          <w:dstrike w:val="false"/>
          <w:color w:val="000000"/>
          <w:sz w:val="24"/>
          <w:szCs w:val="24"/>
          <w:u w:val="none"/>
          <w:effect w:val="none"/>
          <w:shd w:fill="auto" w:val="clear"/>
        </w:rPr>
        <w:t>r</w:t>
      </w:r>
      <w:r>
        <w:rPr>
          <w:rFonts w:eastAsia="Times New Roman" w:cs="Times New Roman"/>
          <w:b/>
          <w:bCs/>
          <w:i w:val="false"/>
          <w:caps w:val="false"/>
          <w:smallCaps w:val="false"/>
          <w:strike w:val="false"/>
          <w:dstrike w:val="false"/>
          <w:color w:val="000000"/>
          <w:sz w:val="24"/>
          <w:szCs w:val="24"/>
          <w:u w:val="none"/>
          <w:effect w:val="none"/>
          <w:shd w:fill="auto" w:val="clear"/>
        </w:rPr>
        <w:t>a</w:t>
      </w:r>
      <w:r>
        <w:rPr>
          <w:rFonts w:eastAsia="Times New Roman" w:cs="Times New Roman"/>
          <w:b/>
          <w:bCs/>
          <w:i w:val="false"/>
          <w:caps w:val="false"/>
          <w:smallCaps w:val="false"/>
          <w:strike w:val="false"/>
          <w:dstrike w:val="false"/>
          <w:color w:val="000000"/>
          <w:sz w:val="24"/>
          <w:szCs w:val="24"/>
          <w:u w:val="none"/>
          <w:effect w:val="none"/>
          <w:shd w:fill="auto" w:val="clear"/>
        </w:rPr>
        <w:t>t</w:t>
      </w:r>
      <w:r>
        <w:rPr>
          <w:rFonts w:eastAsia="Times New Roman" w:cs="Times New Roman"/>
          <w:b/>
          <w:bCs/>
          <w:i w:val="false"/>
          <w:caps w:val="false"/>
          <w:smallCaps w:val="false"/>
          <w:strike w:val="false"/>
          <w:dstrike w:val="false"/>
          <w:color w:val="000000"/>
          <w:sz w:val="24"/>
          <w:szCs w:val="24"/>
          <w:u w:val="none"/>
          <w:effect w:val="none"/>
          <w:shd w:fill="auto" w:val="clear"/>
        </w:rPr>
        <w:t>e</w:t>
      </w:r>
      <w:r>
        <w:rPr>
          <w:rFonts w:eastAsia="Times New Roman" w:cs="Times New Roman"/>
          <w:b/>
          <w:bCs/>
          <w:i w:val="false"/>
          <w:caps w:val="false"/>
          <w:smallCaps w:val="false"/>
          <w:strike w:val="false"/>
          <w:dstrike w:val="false"/>
          <w:color w:val="000000"/>
          <w:sz w:val="24"/>
          <w:szCs w:val="24"/>
          <w:u w:val="none"/>
          <w:effect w:val="none"/>
          <w:shd w:fill="auto" w:val="clear"/>
        </w:rPr>
        <w:t>g</w:t>
      </w:r>
      <w:r>
        <w:rPr>
          <w:rFonts w:eastAsia="Times New Roman" w:cs="Times New Roman"/>
          <w:b/>
          <w:bCs/>
          <w:i w:val="false"/>
          <w:caps w:val="false"/>
          <w:smallCaps w:val="false"/>
          <w:strike w:val="false"/>
          <w:dstrike w:val="false"/>
          <w:color w:val="000000"/>
          <w:sz w:val="24"/>
          <w:szCs w:val="24"/>
          <w:u w:val="none"/>
          <w:effect w:val="none"/>
          <w:shd w:fill="auto" w:val="clear"/>
        </w:rPr>
        <w:t>y</w:t>
      </w:r>
    </w:p>
    <w:p>
      <w:pPr>
        <w:pStyle w:val="BodyText"/>
        <w:bidi w:val="0"/>
        <w:spacing w:lineRule="auto" w:line="360" w:before="0" w:after="0"/>
        <w:jc w:val="both"/>
        <w:rPr>
          <w:rFonts w:ascii="Arial" w:hAnsi="Arial" w:eastAsia="Times New Roman" w:cs="Times New Roman"/>
          <w:b/>
          <w:bCs/>
          <w:i w:val="false"/>
          <w:caps w:val="false"/>
          <w:smallCaps w:val="false"/>
          <w:strike w:val="false"/>
          <w:dstrike w:val="false"/>
          <w:color w:val="000000"/>
          <w:sz w:val="24"/>
          <w:szCs w:val="24"/>
          <w:u w:val="none"/>
          <w:effect w:val="none"/>
          <w:shd w:fill="auto" w:val="clear"/>
        </w:rPr>
      </w:pPr>
      <w:r>
        <w:rPr>
          <w:rFonts w:eastAsia="Times New Roman" w:cs="Times New Roman"/>
          <w:b/>
          <w:bCs/>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3.1 Recommended Financial Restructuring  Options</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Volkswegan saw 53% decline in operating profit to €8.8 billion in 2025. Return on Equity (ROE) has also contracted to 3.41%, which is a severely inefficient. These numbers suggest that Volkswagen Group’s current conglomerate structure is no longer financially sustainable. The massive €19.5 billion annual capital expenditure for the transition of Volkswegan’s core brands to electric vehicles (EV) is being suffocated by the bloated fixed costs of legacy operations. Volkswegan has to reverse this value destruction and restore the precarious 2.73 interest coverage ratio. As a newly appointed CFO, I recommend following financial restructuring options :</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Option 1: Divestment of Non-Core Assets</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 corporate restructuring through the divestment in peripheral business units will unlock capital and also allow executive management to refocus on core strategic operations (Markides, 1992). Volkswagen has overly complex  portfolio of niche luxury brands (such as Ducati and Lamborghini) mixed with heavy commercial vehicles (Traton). The firm should either execute a complete divestiture or outright sale it’s non-core motorcycle and ultra-luxury internal combustion engine (ICE) divisions.</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Option 2: Strategic Joint Ventures and R&amp;D Mergers</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Volkswegan has free Cash Flow margin of 0.59% in 2025, which means Volkswagen is not financially capable for solely developing proprietary EV software (Cariad) and battery cell manufacturing (PowerCo) from scratch. The firm should pursue strategic R&amp;D joint ventures or horizontal mergers with established global tech firms and rival automakers (particularly in the Chinese market) instead of complete acquisitions.</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Option 3: Equity Carve-Outs and Subsidiary IPOs</w:t>
      </w:r>
    </w:p>
    <w:p>
      <w:pPr>
        <w:pStyle w:val="BodyText"/>
        <w:bidi w:val="0"/>
        <w:spacing w:lineRule="auto" w:line="360" w:before="0" w:after="0"/>
        <w:jc w:val="both"/>
        <w:rPr>
          <w:sz w:val="24"/>
          <w:szCs w:val="24"/>
        </w:rPr>
      </w:pPr>
      <w:r>
        <w:rPr>
          <w:sz w:val="24"/>
          <w:szCs w:val="24"/>
        </w:rPr>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Building upon the highly successful Initial Public Offering (IPO) of Porsche AG in 2022, Volkswagen should execute further equity carve-outs for its other most profitable remaining divisions (Audi) or its future-facing battery division(PowerCo). Volkswegan can sell a minority stake of a subsidiary to the public markets while keeping the controlling stake to itself (Schipper and Smith, 1986).</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3.2 Evaluation of Restructuring Impact</w:t>
      </w:r>
    </w:p>
    <w:p>
      <w:pPr>
        <w:pStyle w:val="BodyText"/>
        <w:bidi w:val="0"/>
        <w:spacing w:lineRule="auto" w:line="360" w:before="0" w:after="0"/>
        <w:jc w:val="both"/>
        <w:rPr>
          <w:rFonts w:ascii="Arial" w:hAnsi="Arial" w:eastAsia="Times New Roman" w:cs="Times New Roman"/>
          <w:b/>
          <w:bCs/>
          <w:i w:val="false"/>
          <w:caps w:val="false"/>
          <w:smallCaps w:val="false"/>
          <w:strike w:val="false"/>
          <w:dstrike w:val="false"/>
          <w:color w:val="000000"/>
          <w:sz w:val="24"/>
          <w:szCs w:val="24"/>
          <w:u w:val="none"/>
          <w:effect w:val="none"/>
          <w:shd w:fill="auto" w:val="clear"/>
        </w:rPr>
      </w:pPr>
      <w:r>
        <w:rPr>
          <w:rFonts w:eastAsia="Times New Roman" w:cs="Times New Roman"/>
          <w:b/>
          <w:bCs/>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Impact on Shareholder Value</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Divestment of Non-Core Assets’ will instantly improve the firm's liquidity ratios  because liquidating these highly valued, niche assets will provide a massive cash inflow - which can be directed to settle short-term commercial liabilities. Furthermore, this narrower total asset base and instantly setteled debt will mathematically improve Volkswegan’s ROE and the firms will not have additional burden to fund non-synergistic product lines. This will directly enhance Volkswegan’s intrinsic shareholder value.</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Impact on Debt Structure</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Resource pooling through ‘strategic alliances and joint ventures’ will allow volkswegan to share massive sunk costs and technological risks without the debt-heavy financing for traditional M&amp;A activity (Dyer, Kale and Singh, 2004). This directly protects firm’s balance sheet from taking on highly leveraged long-term debt, preserving credit ratings and ensuring that future cash flows can be returned to shareholders as dividends rather than being consumed by R&amp;D.</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Impact on Operational Flexibility</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Equity Carve-Outs and Subsidiary IPOs’ is a zero-debt capital generation strategy.Traditionally, These high-performing or high-growth subsidiaries trade at higher multiples than legacy automotive conglomerates. The capital raised through this will act as a direct equity injection into the parent company and lower the overall Debt-to-Equity ratio, provide billions in fresh capital to fund the EV rollout without severe interest rate penalties. This way the firm can fix it’s current degraded interest coverage ratio.</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3.3 International &amp; Ethical Considerations</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The firm must consider following international and moral obligations while executing previously proposed financial restructuring : </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i) International Financial Considerations</w:t>
      </w:r>
    </w:p>
    <w:p>
      <w:pPr>
        <w:pStyle w:val="BodyText"/>
        <w:bidi w:val="0"/>
        <w:spacing w:lineRule="auto" w:line="360" w:before="0" w:after="0"/>
        <w:jc w:val="both"/>
        <w:rPr>
          <w:sz w:val="24"/>
          <w:szCs w:val="24"/>
        </w:rPr>
      </w:pPr>
      <w:r>
        <w:rPr>
          <w:sz w:val="24"/>
          <w:szCs w:val="24"/>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Currency Risk:</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The firm’s aggressive expansion into the United States and its heavy reliance on joint ventures in China poses severe currency translation risks. Fluctuations between these currencies can instantly erode the financial benefits of international alliances (Madura, 2020). Volkswegan must protect itself using aggressive financial hedging instruments (such as forward contracts and currency swaps).</w:t>
      </w:r>
    </w:p>
    <w:p>
      <w:pPr>
        <w:pStyle w:val="BodyText"/>
        <w:bidi w:val="0"/>
        <w:spacing w:lineRule="auto" w:line="360" w:before="0" w:after="0"/>
        <w:jc w:val="both"/>
        <w:rPr>
          <w:sz w:val="24"/>
          <w:szCs w:val="24"/>
        </w:rPr>
      </w:pPr>
      <w:r>
        <w:rPr>
          <w:sz w:val="24"/>
          <w:szCs w:val="24"/>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 xml:space="preserve">Trade Policy and Tariff Vulnerabilities: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Gobal EV supply chains are highly vulnerable to geopolitical friction such as rising threat of retaliatory trade tariffs on electric vehicles and imported battery components between major economic blocs (US, EU, and China). These threats could inflate the cost final products. Hence, strategic restructuring must prioritize localized production hubs before complex international supplychains.</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ii) Ethical and CSR Considerations</w:t>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Labor and Organizational Ethics (CSR):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Plant closures dure to downsizing legacy Internal Combustion Engine and the shift to highly automated EV manufacturing will inevitably trigger widespread workforce redundancies. To maintain corporate legitimacy and comply with rigorous European labor standards, Volkswagen(ethically) has to dedicate a portion of the restructured capital toward robust employee retraining programs, generous severance packages. It has to transparently negotiate with labor unions to mitigate catastrophic social friction within its core manufacturing hubs (Carroll, 1991).</w:t>
      </w:r>
    </w:p>
    <w:p>
      <w:pPr>
        <w:pStyle w:val="BodyText"/>
        <w:bidi w:val="0"/>
        <w:spacing w:lineRule="auto" w:line="360" w:before="0" w:after="0"/>
        <w:jc w:val="both"/>
        <w:rPr>
          <w:sz w:val="24"/>
          <w:szCs w:val="24"/>
        </w:rPr>
      </w:pPr>
      <w:r>
        <w:rPr>
          <w:sz w:val="24"/>
          <w:szCs w:val="24"/>
        </w:rPr>
      </w:r>
    </w:p>
    <w:p>
      <w:pPr>
        <w:pStyle w:val="BodyText"/>
        <w:bidi w:val="0"/>
        <w:spacing w:lineRule="auto" w:line="360" w:before="0" w:after="0"/>
        <w:jc w:val="both"/>
        <w:rPr>
          <w:sz w:val="24"/>
          <w:szCs w:val="24"/>
        </w:rPr>
      </w:pPr>
      <w:r>
        <w:rPr>
          <w:b/>
          <w:bCs/>
          <w:sz w:val="24"/>
          <w:szCs w:val="24"/>
        </w:rPr>
        <w:t>Sustainability and Human Rights :</w:t>
      </w:r>
      <w:r>
        <w:rPr>
          <w:sz w:val="24"/>
          <w:szCs w:val="24"/>
        </w:rPr>
        <w:t xml:space="preserv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The firm must rigorously audit its joint venture partners in EV supply chain partners to ensure that they strictly follows to international human rights and environmental laws.</w:t>
      </w:r>
    </w:p>
    <w:p>
      <w:pPr>
        <w:pStyle w:val="BodyText"/>
        <w:bidi w:val="0"/>
        <w:spacing w:lineRule="auto" w:line="360" w:before="0" w:after="0"/>
        <w:jc w:val="both"/>
        <w:rPr>
          <w:sz w:val="24"/>
          <w:szCs w:val="24"/>
        </w:rPr>
      </w:pPr>
      <w:r>
        <w:rPr>
          <w:sz w:val="24"/>
          <w:szCs w:val="24"/>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S</w:t>
      </w:r>
      <w:r>
        <w:rPr>
          <w:rFonts w:eastAsia="Times New Roman" w:cs="Times New Roman"/>
          <w:b/>
          <w:bCs/>
          <w:i w:val="false"/>
          <w:caps w:val="false"/>
          <w:smallCaps w:val="false"/>
          <w:strike w:val="false"/>
          <w:dstrike w:val="false"/>
          <w:color w:val="000000"/>
          <w:sz w:val="24"/>
          <w:szCs w:val="24"/>
          <w:u w:val="none"/>
          <w:effect w:val="none"/>
          <w:shd w:fill="auto" w:val="clear"/>
        </w:rPr>
        <w:t>e</w:t>
      </w:r>
      <w:r>
        <w:rPr>
          <w:rFonts w:eastAsia="Times New Roman" w:cs="Times New Roman"/>
          <w:b/>
          <w:bCs/>
          <w:i w:val="false"/>
          <w:caps w:val="false"/>
          <w:smallCaps w:val="false"/>
          <w:strike w:val="false"/>
          <w:dstrike w:val="false"/>
          <w:color w:val="000000"/>
          <w:sz w:val="24"/>
          <w:szCs w:val="24"/>
          <w:u w:val="none"/>
          <w:effect w:val="none"/>
          <w:shd w:fill="auto" w:val="clear"/>
        </w:rPr>
        <w:t>c</w:t>
      </w:r>
      <w:r>
        <w:rPr>
          <w:rFonts w:eastAsia="Times New Roman" w:cs="Times New Roman"/>
          <w:b/>
          <w:bCs/>
          <w:i w:val="false"/>
          <w:caps w:val="false"/>
          <w:smallCaps w:val="false"/>
          <w:strike w:val="false"/>
          <w:dstrike w:val="false"/>
          <w:color w:val="000000"/>
          <w:sz w:val="24"/>
          <w:szCs w:val="24"/>
          <w:u w:val="none"/>
          <w:effect w:val="none"/>
          <w:shd w:fill="auto" w:val="clear"/>
        </w:rPr>
        <w:t>t</w:t>
      </w:r>
      <w:r>
        <w:rPr>
          <w:rFonts w:eastAsia="Times New Roman" w:cs="Times New Roman"/>
          <w:b/>
          <w:bCs/>
          <w:i w:val="false"/>
          <w:caps w:val="false"/>
          <w:smallCaps w:val="false"/>
          <w:strike w:val="false"/>
          <w:dstrike w:val="false"/>
          <w:color w:val="000000"/>
          <w:sz w:val="24"/>
          <w:szCs w:val="24"/>
          <w:u w:val="none"/>
          <w:effect w:val="none"/>
          <w:shd w:fill="auto" w:val="clear"/>
        </w:rPr>
        <w:t>i</w:t>
      </w:r>
      <w:r>
        <w:rPr>
          <w:rFonts w:eastAsia="Times New Roman" w:cs="Times New Roman"/>
          <w:b/>
          <w:bCs/>
          <w:i w:val="false"/>
          <w:caps w:val="false"/>
          <w:smallCaps w:val="false"/>
          <w:strike w:val="false"/>
          <w:dstrike w:val="false"/>
          <w:color w:val="000000"/>
          <w:sz w:val="24"/>
          <w:szCs w:val="24"/>
          <w:u w:val="none"/>
          <w:effect w:val="none"/>
          <w:shd w:fill="auto" w:val="clear"/>
        </w:rPr>
        <w:t>o</w:t>
      </w:r>
      <w:r>
        <w:rPr>
          <w:rFonts w:eastAsia="Times New Roman" w:cs="Times New Roman"/>
          <w:b/>
          <w:bCs/>
          <w:i w:val="false"/>
          <w:caps w:val="false"/>
          <w:smallCaps w:val="false"/>
          <w:strike w:val="false"/>
          <w:dstrike w:val="false"/>
          <w:color w:val="000000"/>
          <w:sz w:val="24"/>
          <w:szCs w:val="24"/>
          <w:u w:val="none"/>
          <w:effect w:val="none"/>
          <w:shd w:fill="auto" w:val="clear"/>
        </w:rPr>
        <w:t xml:space="preserve">n </w:t>
      </w:r>
      <w:r>
        <w:rPr>
          <w:rFonts w:eastAsia="Times New Roman" w:cs="Times New Roman"/>
          <w:b/>
          <w:bCs/>
          <w:i w:val="false"/>
          <w:caps w:val="false"/>
          <w:smallCaps w:val="false"/>
          <w:strike w:val="false"/>
          <w:dstrike w:val="false"/>
          <w:color w:val="000000"/>
          <w:sz w:val="24"/>
          <w:szCs w:val="24"/>
          <w:u w:val="none"/>
          <w:effect w:val="none"/>
          <w:shd w:fill="auto" w:val="clear"/>
        </w:rPr>
        <w:t>4 : Investment Appraisal and Capital Budgeting</w:t>
      </w:r>
    </w:p>
    <w:p>
      <w:pPr>
        <w:pStyle w:val="BodyText"/>
        <w:bidi w:val="0"/>
        <w:spacing w:lineRule="auto" w:line="360" w:before="0" w:after="0"/>
        <w:jc w:val="both"/>
        <w:rPr>
          <w:sz w:val="24"/>
          <w:szCs w:val="24"/>
        </w:rPr>
      </w:pPr>
      <w:r>
        <w:rPr>
          <w:sz w:val="24"/>
          <w:szCs w:val="24"/>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 xml:space="preserve">4.1 </w:t>
      </w:r>
      <w:r>
        <w:rPr>
          <w:rFonts w:eastAsia="Times New Roman" w:cs="Times New Roman"/>
          <w:b/>
          <w:bCs/>
          <w:i w:val="false"/>
          <w:caps w:val="false"/>
          <w:smallCaps w:val="false"/>
          <w:strike w:val="false"/>
          <w:dstrike w:val="false"/>
          <w:color w:val="000000"/>
          <w:sz w:val="24"/>
          <w:szCs w:val="24"/>
          <w:u w:val="none"/>
          <w:effect w:val="none"/>
          <w:shd w:fill="auto" w:val="clear"/>
        </w:rPr>
        <w:t>P</w:t>
      </w:r>
      <w:r>
        <w:rPr>
          <w:rFonts w:eastAsia="Times New Roman" w:cs="Times New Roman"/>
          <w:b/>
          <w:bCs/>
          <w:i w:val="false"/>
          <w:caps w:val="false"/>
          <w:smallCaps w:val="false"/>
          <w:strike w:val="false"/>
          <w:dstrike w:val="false"/>
          <w:color w:val="000000"/>
          <w:sz w:val="24"/>
          <w:szCs w:val="24"/>
          <w:u w:val="none"/>
          <w:effect w:val="none"/>
          <w:shd w:fill="auto" w:val="clear"/>
        </w:rPr>
        <w:t>r</w:t>
      </w:r>
      <w:r>
        <w:rPr>
          <w:rFonts w:eastAsia="Times New Roman" w:cs="Times New Roman"/>
          <w:b/>
          <w:bCs/>
          <w:i w:val="false"/>
          <w:caps w:val="false"/>
          <w:smallCaps w:val="false"/>
          <w:strike w:val="false"/>
          <w:dstrike w:val="false"/>
          <w:color w:val="000000"/>
          <w:sz w:val="24"/>
          <w:szCs w:val="24"/>
          <w:u w:val="none"/>
          <w:effect w:val="none"/>
          <w:shd w:fill="auto" w:val="clear"/>
        </w:rPr>
        <w:t>o</w:t>
      </w:r>
      <w:r>
        <w:rPr>
          <w:rFonts w:eastAsia="Times New Roman" w:cs="Times New Roman"/>
          <w:b/>
          <w:bCs/>
          <w:i w:val="false"/>
          <w:caps w:val="false"/>
          <w:smallCaps w:val="false"/>
          <w:strike w:val="false"/>
          <w:dstrike w:val="false"/>
          <w:color w:val="000000"/>
          <w:sz w:val="24"/>
          <w:szCs w:val="24"/>
          <w:u w:val="none"/>
          <w:effect w:val="none"/>
          <w:shd w:fill="auto" w:val="clear"/>
        </w:rPr>
        <w:t>j</w:t>
      </w:r>
      <w:r>
        <w:rPr>
          <w:rFonts w:eastAsia="Times New Roman" w:cs="Times New Roman"/>
          <w:b/>
          <w:bCs/>
          <w:i w:val="false"/>
          <w:caps w:val="false"/>
          <w:smallCaps w:val="false"/>
          <w:strike w:val="false"/>
          <w:dstrike w:val="false"/>
          <w:color w:val="000000"/>
          <w:sz w:val="24"/>
          <w:szCs w:val="24"/>
          <w:u w:val="none"/>
          <w:effect w:val="none"/>
          <w:shd w:fill="auto" w:val="clear"/>
        </w:rPr>
        <w:t>e</w:t>
      </w:r>
      <w:r>
        <w:rPr>
          <w:rFonts w:eastAsia="Times New Roman" w:cs="Times New Roman"/>
          <w:b/>
          <w:bCs/>
          <w:i w:val="false"/>
          <w:caps w:val="false"/>
          <w:smallCaps w:val="false"/>
          <w:strike w:val="false"/>
          <w:dstrike w:val="false"/>
          <w:color w:val="000000"/>
          <w:sz w:val="24"/>
          <w:szCs w:val="24"/>
          <w:u w:val="none"/>
          <w:effect w:val="none"/>
          <w:shd w:fill="auto" w:val="clear"/>
        </w:rPr>
        <w:t>c</w:t>
      </w:r>
      <w:r>
        <w:rPr>
          <w:rFonts w:eastAsia="Times New Roman" w:cs="Times New Roman"/>
          <w:b/>
          <w:bCs/>
          <w:i w:val="false"/>
          <w:caps w:val="false"/>
          <w:smallCaps w:val="false"/>
          <w:strike w:val="false"/>
          <w:dstrike w:val="false"/>
          <w:color w:val="000000"/>
          <w:sz w:val="24"/>
          <w:szCs w:val="24"/>
          <w:u w:val="none"/>
          <w:effect w:val="none"/>
          <w:shd w:fill="auto" w:val="clear"/>
        </w:rPr>
        <w:t>t</w:t>
      </w:r>
      <w:r>
        <w:rPr>
          <w:rFonts w:eastAsia="Times New Roman" w:cs="Times New Roman"/>
          <w:b/>
          <w:bCs/>
          <w:i w:val="false"/>
          <w:caps w:val="false"/>
          <w:smallCaps w:val="false"/>
          <w:strike w:val="false"/>
          <w:dstrike w:val="false"/>
          <w:color w:val="000000"/>
          <w:sz w:val="24"/>
          <w:szCs w:val="24"/>
          <w:u w:val="none"/>
          <w:effect w:val="none"/>
          <w:shd w:fill="auto" w:val="clear"/>
        </w:rPr>
        <w:t>w</w:t>
      </w:r>
      <w:r>
        <w:rPr>
          <w:rFonts w:eastAsia="Times New Roman" w:cs="Times New Roman"/>
          <w:b/>
          <w:bCs/>
          <w:i w:val="false"/>
          <w:caps w:val="false"/>
          <w:smallCaps w:val="false"/>
          <w:strike w:val="false"/>
          <w:dstrike w:val="false"/>
          <w:color w:val="000000"/>
          <w:sz w:val="24"/>
          <w:szCs w:val="24"/>
          <w:u w:val="none"/>
          <w:effect w:val="none"/>
          <w:shd w:fill="auto" w:val="clear"/>
        </w:rPr>
        <w:t>i</w:t>
      </w:r>
      <w:r>
        <w:rPr>
          <w:rFonts w:eastAsia="Times New Roman" w:cs="Times New Roman"/>
          <w:b/>
          <w:bCs/>
          <w:i w:val="false"/>
          <w:caps w:val="false"/>
          <w:smallCaps w:val="false"/>
          <w:strike w:val="false"/>
          <w:dstrike w:val="false"/>
          <w:color w:val="000000"/>
          <w:sz w:val="24"/>
          <w:szCs w:val="24"/>
          <w:u w:val="none"/>
          <w:effect w:val="none"/>
          <w:shd w:fill="auto" w:val="clear"/>
        </w:rPr>
        <w:t>s</w:t>
      </w:r>
      <w:r>
        <w:rPr>
          <w:rFonts w:eastAsia="Times New Roman" w:cs="Times New Roman"/>
          <w:b/>
          <w:bCs/>
          <w:i w:val="false"/>
          <w:caps w:val="false"/>
          <w:smallCaps w:val="false"/>
          <w:strike w:val="false"/>
          <w:dstrike w:val="false"/>
          <w:color w:val="000000"/>
          <w:sz w:val="24"/>
          <w:szCs w:val="24"/>
          <w:u w:val="none"/>
          <w:effect w:val="none"/>
          <w:shd w:fill="auto" w:val="clear"/>
        </w:rPr>
        <w:t xml:space="preserve">e </w:t>
      </w:r>
      <w:r>
        <w:rPr>
          <w:rFonts w:eastAsia="Times New Roman" w:cs="Times New Roman"/>
          <w:b/>
          <w:bCs/>
          <w:i w:val="false"/>
          <w:caps w:val="false"/>
          <w:smallCaps w:val="false"/>
          <w:strike w:val="false"/>
          <w:dstrike w:val="false"/>
          <w:color w:val="000000"/>
          <w:sz w:val="24"/>
          <w:szCs w:val="24"/>
          <w:u w:val="none"/>
          <w:effect w:val="none"/>
          <w:shd w:fill="auto" w:val="clear"/>
        </w:rPr>
        <w:t>Evaluation of Proposed Investment</w:t>
      </w:r>
      <w:r>
        <w:rPr>
          <w:rFonts w:eastAsia="Times New Roman" w:cs="Times New Roman"/>
          <w:b/>
          <w:bCs/>
          <w:i w:val="false"/>
          <w:caps w:val="false"/>
          <w:smallCaps w:val="false"/>
          <w:strike w:val="false"/>
          <w:dstrike w:val="false"/>
          <w:color w:val="000000"/>
          <w:sz w:val="24"/>
          <w:szCs w:val="24"/>
          <w:u w:val="none"/>
          <w:effect w:val="none"/>
          <w:shd w:fill="auto" w:val="clear"/>
        </w:rPr>
        <w:t xml:space="preserve">s </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w:t>
      </w:r>
      <w:r>
        <w:rPr>
          <w:rFonts w:eastAsia="Times New Roman" w:cs="Times New Roman"/>
          <w:b/>
          <w:bCs/>
          <w:i w:val="false"/>
          <w:caps w:val="false"/>
          <w:smallCaps w:val="false"/>
          <w:strike w:val="false"/>
          <w:dstrike w:val="false"/>
          <w:color w:val="000000"/>
          <w:sz w:val="24"/>
          <w:szCs w:val="24"/>
          <w:u w:val="none"/>
          <w:effect w:val="none"/>
          <w:shd w:fill="auto" w:val="clear"/>
        </w:rPr>
        <w:t>Project A”</w:t>
      </w:r>
    </w:p>
    <w:p>
      <w:pPr>
        <w:pStyle w:val="BodyText"/>
        <w:bidi w:val="0"/>
        <w:spacing w:lineRule="auto" w:line="360" w:before="0" w:after="0"/>
        <w:jc w:val="both"/>
        <w:rPr>
          <w:rFonts w:ascii="Arial" w:hAnsi="Arial" w:eastAsia="Times New Roman" w:cs="Times New Roman"/>
          <w:b/>
          <w:bCs/>
          <w:i w:val="false"/>
          <w:caps w:val="false"/>
          <w:smallCaps w:val="false"/>
          <w:strike w:val="false"/>
          <w:dstrike w:val="false"/>
          <w:color w:val="000000"/>
          <w:sz w:val="24"/>
          <w:szCs w:val="24"/>
          <w:u w:val="none"/>
          <w:effect w:val="none"/>
          <w:shd w:fill="auto" w:val="clear"/>
        </w:rPr>
      </w:pPr>
      <w:r>
        <w:rPr>
          <w:rFonts w:eastAsia="Times New Roman" w:cs="Times New Roman"/>
          <w:b/>
          <w:bCs/>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rPr>
      </w:pPr>
      <w:r>
        <w:rPr>
          <w:rFonts w:eastAsia="Times New Roman" w:cs="Times New Roman"/>
          <w:b/>
          <w:bCs/>
          <w:i/>
          <w:iCs/>
          <w:caps w:val="false"/>
          <w:smallCaps w:val="false"/>
          <w:strike w:val="false"/>
          <w:dstrike w:val="false"/>
          <w:color w:val="000000"/>
          <w:sz w:val="24"/>
          <w:szCs w:val="24"/>
          <w:u w:val="none"/>
          <w:effect w:val="none"/>
          <w:shd w:fill="auto" w:val="clear"/>
        </w:rPr>
        <w:t>Payback Period: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Project has a initial total investment of £50 million, and at the end of Year 4, the CCI (cumulative cash inflows) are identified as £46 million. The remaining amount (£4 million) can be recovered at the beginning of Year 5. So the total pay back period will be 4 years and 6 months. For a firm that has 73 day cash operating cycle, this long payback period introduces severe liquidity risk.</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Accounting Rate of Return: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This project has an ARR of 1.6% on the invested capital after accounting for straight-line depreciation, which means it offers very low profitability and will deteriorate the operating margins further.</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Net Present Value (NPV):</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This project already has a very negative NPV of -£8.686 million at 10% discount rate on annual bases. This indicates that the project will degrade the value rather than surpass the initial investment with time. Persuing this project will de-stabilise the firm`s financial condition and will also decrease the wealth of the shareholders.</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bCs/>
          <w:i w:val="false"/>
          <w:caps w:val="false"/>
          <w:smallCaps w:val="false"/>
          <w:strike w:val="false"/>
          <w:dstrike w:val="false"/>
          <w:color w:val="000000"/>
          <w:sz w:val="24"/>
          <w:szCs w:val="24"/>
          <w:u w:val="none"/>
          <w:effect w:val="none"/>
          <w:shd w:fill="auto" w:val="clear"/>
        </w:rPr>
        <w:t>Profitability Index (PI):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This project has PI value of 0.826, Which is below 1. This confirms that project will depreciate marginal value. It will return only £0.83 for every pound invested, to be exact. Given the firm’s financial position, the project A is a unsafe investment opportunity that will surely destory the firm`s value.</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bCs/>
          <w:i w:val="false"/>
          <w:caps w:val="false"/>
          <w:smallCaps w:val="false"/>
          <w:strike w:val="false"/>
          <w:dstrike w:val="false"/>
          <w:color w:val="000000"/>
          <w:sz w:val="24"/>
          <w:szCs w:val="24"/>
          <w:u w:val="none"/>
          <w:effect w:val="none"/>
          <w:shd w:fill="auto" w:val="clear"/>
        </w:rPr>
        <w:t>Internal Rate of Return (IRR):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“Project A” has 2.72% IRR, which is far below the 10% cost of capital. Because of the very low IRR, this is a high-risk project that can`t recover it’s investment in favorable time so the firm should reject this project.</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b/>
          <w:bCs/>
        </w:rPr>
      </w:pPr>
      <w:r>
        <w:rPr>
          <w:b/>
          <w:bCs/>
        </w:rPr>
        <w:t>“</w:t>
      </w:r>
      <w:r>
        <w:rPr>
          <w:b/>
          <w:bCs/>
        </w:rPr>
        <w:t>Project B”</w:t>
      </w:r>
    </w:p>
    <w:p>
      <w:pPr>
        <w:pStyle w:val="BodyText"/>
        <w:bidi w:val="0"/>
        <w:spacing w:lineRule="auto" w:line="360" w:before="0" w:after="0"/>
        <w:jc w:val="both"/>
        <w:rPr>
          <w:rFonts w:ascii="Arial" w:hAnsi="Arial"/>
          <w:b/>
          <w:bCs/>
        </w:rPr>
      </w:pPr>
      <w:r>
        <w:rPr>
          <w:b/>
          <w:bCs/>
        </w:rPr>
      </w:r>
    </w:p>
    <w:p>
      <w:pPr>
        <w:pStyle w:val="BodyText"/>
        <w:bidi w:val="0"/>
        <w:spacing w:lineRule="auto" w:line="360" w:before="0" w:after="0"/>
        <w:jc w:val="both"/>
        <w:rPr>
          <w:rFonts w:ascii="Arial" w:hAnsi="Arial"/>
        </w:rPr>
      </w:pPr>
      <w:r>
        <w:rPr>
          <w:rFonts w:eastAsia="Times New Roman" w:cs="Times New Roman"/>
          <w:b/>
          <w:bCs/>
          <w:i/>
          <w:iCs/>
          <w:caps w:val="false"/>
          <w:smallCaps w:val="false"/>
          <w:strike w:val="false"/>
          <w:dstrike w:val="false"/>
          <w:color w:val="000000"/>
          <w:sz w:val="24"/>
          <w:szCs w:val="24"/>
          <w:u w:val="none"/>
          <w:effect w:val="none"/>
          <w:shd w:fill="auto" w:val="clear"/>
        </w:rPr>
        <w:t>Payback Period: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Project B has a potential annual cash inflow of £11 million. Which means PBP of 4.55 years. This project has slower capita recovery of all the proposed projects but predictible steady cash flow.</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Accounting Rate of Return: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This project has ARR of 2.0%. This project can offer some financial stability but it remains fundamentally insufficient for capital deployent.</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 xml:space="preserve">Net Present Value (NPV):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The NPV is -£8.31 million at the 10% annual discount rate. Which means the project is value destructive and not capable of recovering the investment. For a struggling firm like volkswagen, project B can decrease the shareholder wealth.</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bCs/>
          <w:i w:val="false"/>
          <w:caps w:val="false"/>
          <w:smallCaps w:val="false"/>
          <w:strike w:val="false"/>
          <w:dstrike w:val="false"/>
          <w:color w:val="000000"/>
          <w:sz w:val="24"/>
          <w:szCs w:val="24"/>
          <w:u w:val="none"/>
          <w:effect w:val="none"/>
          <w:shd w:fill="auto" w:val="clear"/>
        </w:rPr>
        <w:t>Profitability Index (PI):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This project has profitability index of 0.834, which is lower than 1. Therefore, “Project B” will not be able to generate sufficient returns and tighten the liquidity problem and shareholder value can fall even further as it will only return £0.83 for every pound invested.</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bCs/>
          <w:i w:val="false"/>
          <w:caps w:val="false"/>
          <w:smallCaps w:val="false"/>
          <w:strike w:val="false"/>
          <w:dstrike w:val="false"/>
          <w:color w:val="000000"/>
          <w:sz w:val="24"/>
          <w:szCs w:val="24"/>
          <w:u w:val="none"/>
          <w:effect w:val="none"/>
          <w:shd w:fill="auto" w:val="clear"/>
        </w:rPr>
        <w:t>Internal Rate of Return (IRR):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With a IRR of 3.26%, this project is unviable and can not improve the liquidity problems of financially weakened firm. This project is not a profitable investment.</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b/>
          <w:bCs/>
        </w:rPr>
      </w:pPr>
      <w:r>
        <w:rPr>
          <w:b/>
          <w:bCs/>
        </w:rPr>
        <w:t>“</w:t>
      </w:r>
      <w:r>
        <w:rPr>
          <w:b/>
          <w:bCs/>
        </w:rPr>
        <w:t>Project C”</w:t>
      </w:r>
    </w:p>
    <w:p>
      <w:pPr>
        <w:pStyle w:val="BodyText"/>
        <w:bidi w:val="0"/>
        <w:spacing w:lineRule="auto" w:line="360" w:before="0" w:after="0"/>
        <w:jc w:val="both"/>
        <w:rPr>
          <w:rFonts w:ascii="Arial" w:hAnsi="Arial"/>
          <w:b/>
          <w:bCs/>
        </w:rPr>
      </w:pPr>
      <w:r>
        <w:rPr>
          <w:b/>
          <w:bCs/>
        </w:rPr>
      </w:r>
    </w:p>
    <w:p>
      <w:pPr>
        <w:pStyle w:val="BodyText"/>
        <w:bidi w:val="0"/>
        <w:spacing w:lineRule="auto" w:line="360" w:before="0" w:after="0"/>
        <w:jc w:val="both"/>
        <w:rPr>
          <w:rFonts w:ascii="Arial" w:hAnsi="Arial"/>
        </w:rPr>
      </w:pPr>
      <w:r>
        <w:rPr>
          <w:rFonts w:eastAsia="Times New Roman" w:cs="Times New Roman"/>
          <w:b/>
          <w:bCs/>
          <w:i/>
          <w:iCs/>
          <w:caps w:val="false"/>
          <w:smallCaps w:val="false"/>
          <w:strike w:val="false"/>
          <w:dstrike w:val="false"/>
          <w:color w:val="000000"/>
          <w:sz w:val="24"/>
          <w:szCs w:val="24"/>
          <w:u w:val="none"/>
          <w:effect w:val="none"/>
          <w:shd w:fill="auto" w:val="clear"/>
        </w:rPr>
        <w:t>Payback Period: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With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m</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l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v</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m</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“project C” will generate cumulative cash inflow of £35 million by the end of Year 3.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he project has PBP of 3.6 years (3 years and 7 months) in total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r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recovery of  additional £15 million during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4</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h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year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These numbers ensure better liquidity to the firm with the promise of future growth compared to the alternatives.</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Accounting Rate of Return: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While slightly better than Project A with an ARR of 2.0%, it is still insufficient to mprove the firm's distressed profitability metrics and justify the deployment of capital.</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Net Present Value (NPV):</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“Project C” has a negative NPV of nearly -£1.99 million. Which shows that project can destroy the value when calculated at the discount rate of 10%. But compared to the other options, this project offers least damaging NPV.</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bCs/>
          <w:i w:val="false"/>
          <w:caps w:val="false"/>
          <w:smallCaps w:val="false"/>
          <w:strike w:val="false"/>
          <w:dstrike w:val="false"/>
          <w:color w:val="000000"/>
          <w:sz w:val="24"/>
          <w:szCs w:val="24"/>
          <w:u w:val="none"/>
          <w:effect w:val="none"/>
          <w:shd w:fill="auto" w:val="clear"/>
        </w:rPr>
        <w:t>Profitability Index (PI):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This project has highest PI among all the 3. With a PI of 0.960, project C can generate  £0.96 for each pound that is invested within discounted inflows. which is slightly lower then the threshold. Although it requires highest capital investment, it is the most capital efficiently option.</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bCs/>
          <w:i w:val="false"/>
          <w:caps w:val="false"/>
          <w:smallCaps w:val="false"/>
          <w:strike w:val="false"/>
          <w:dstrike w:val="false"/>
          <w:color w:val="000000"/>
          <w:sz w:val="24"/>
          <w:szCs w:val="24"/>
          <w:u w:val="none"/>
          <w:effect w:val="none"/>
          <w:shd w:fill="auto" w:val="clear"/>
        </w:rPr>
        <w:t>Internal Rate of Return (IRR):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“project C” has estimated IRR of 8.59%, which is the closest to the “10% discounted rate”. When considered with lower negative NPV and the near break even returns, this project indicates optimal strategic option if the board determines that EV investment is absolutely mandatory. </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4.2 Final Investment Recommendation and Justification</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While ‘Project C’  NPV is marginally negative (-£1.98m), it is significantly less destructive than Project A (-£8.68m) and B (-£8.30m). Furthermore, it possesses the highest IRR (8.59%) and an attractive ARR (12%). Crucially, Volkswagen’s COC has dangerously lengthened to 73 days. Project C has the fastest Payback Period of 3.6 years, nearly a full year faster than the alternative projects. This provides a critical liquidity buffer and minimizes the firm's reliance on expensive short-term financing.</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5.0 Conclusion</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In conclusion, Volkswagen Group’s five year financial analysis revealed that firm currently has a strong revenue but operating profit has contracted 53% and cash cycle has increased to 73 days. These numbers highlight the firm has burden of managing legacy operations at the same time unsustainable financial burden of funding the electric vehicle transition. This report has proposed a comprehensive, multi-faceted financial turnaround strategy to avoid a prolonged profitability crisis. Volkwegan can restore its profit margins and secure its interest coverage capabilities by optimizing working capital, divesting non-core assets. Volkswagen can efficiently fund its R&amp;D without significant debt by forming strategic joint ventures and deploying it’s capital rationing to suggested high-growth potential project C. These targeted financial interventions will successfully improve the current profitability situation and ensure long-term stability.</w:t>
      </w:r>
      <w:r>
        <w:br w:type="page"/>
      </w:r>
    </w:p>
    <w:p>
      <w:pPr>
        <w:pStyle w:val="Heading1"/>
        <w:spacing w:lineRule="auto" w:line="360" w:before="0" w:after="200"/>
        <w:jc w:val="both"/>
        <w:rPr>
          <w:rFonts w:ascii="Arial" w:hAnsi="Arial"/>
        </w:rPr>
      </w:pPr>
      <w:bookmarkStart w:id="0" w:name="_pemnsk9klfvc"/>
      <w:bookmarkEnd w:id="0"/>
      <w:r>
        <w:rPr>
          <w:rFonts w:ascii="Arial" w:hAnsi="Arial"/>
          <w:sz w:val="24"/>
          <w:szCs w:val="24"/>
        </w:rPr>
        <w:t>References</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 Annual Report (2025). </w:t>
      </w:r>
      <w:r>
        <w:rPr>
          <w:rStyle w:val="Hyperlink"/>
          <w:rFonts w:eastAsia="Times New Roman" w:cs="Times New Roman"/>
          <w:sz w:val="24"/>
          <w:szCs w:val="24"/>
        </w:rPr>
        <w:t>https://www.volkswagen-group.com/en/annual-report-and-full-year-results-2025-20174</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 Annual Report (2024). </w:t>
      </w:r>
      <w:r>
        <w:rPr>
          <w:rStyle w:val="Hyperlink"/>
          <w:rFonts w:eastAsia="Times New Roman" w:cs="Times New Roman"/>
          <w:sz w:val="24"/>
          <w:szCs w:val="24"/>
        </w:rPr>
        <w:t>https://annualreport2024.volkswagen-group.com/services/downloads.html</w:t>
      </w:r>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t xml:space="preserve">3. Annual Report (2023). </w:t>
      </w:r>
      <w:hyperlink r:id="rId2">
        <w:r>
          <w:rPr>
            <w:rStyle w:val="Hyperlink"/>
            <w:rFonts w:eastAsia="Times New Roman" w:cs="Times New Roman"/>
            <w:sz w:val="24"/>
            <w:szCs w:val="24"/>
          </w:rPr>
          <w:t>https://www.volkswagen-group.com/en/publications/more/annual-report-2023-2671</w:t>
        </w:r>
      </w:hyperlink>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t xml:space="preserve">4. Annual Report (2022). </w:t>
      </w:r>
      <w:hyperlink r:id="rId3">
        <w:r>
          <w:rPr>
            <w:rStyle w:val="Hyperlink"/>
            <w:rFonts w:eastAsia="Times New Roman" w:cs="Times New Roman"/>
            <w:sz w:val="24"/>
            <w:szCs w:val="24"/>
          </w:rPr>
          <w:t>https://www.volkswagen-group.com/en/annual-report-and-full-year-results-2022-16098</w:t>
        </w:r>
      </w:hyperlink>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t xml:space="preserve">5. Annual Report (2021). </w:t>
      </w:r>
      <w:hyperlink r:id="rId4">
        <w:r>
          <w:rPr>
            <w:rStyle w:val="Hyperlink"/>
            <w:rFonts w:eastAsia="Times New Roman" w:cs="Times New Roman"/>
            <w:sz w:val="24"/>
            <w:szCs w:val="24"/>
          </w:rPr>
          <w:t>https://www.volkswagen-group.com/en/publications/more/annual-report-2021-1791</w:t>
        </w:r>
      </w:hyperlink>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t xml:space="preserve">6. Brealey, R.A., Myers, S.C. and Allen, F. (2022) Principles of Corporate Finance. 14th edn. New York: McGraw-Hill Education. </w:t>
      </w:r>
      <w:hyperlink r:id="rId5">
        <w:r>
          <w:rPr>
            <w:rStyle w:val="Hyperlink"/>
            <w:rFonts w:eastAsia="Times New Roman" w:cs="Times New Roman"/>
            <w:sz w:val="24"/>
            <w:szCs w:val="24"/>
          </w:rPr>
          <w:t>https://www.mheducation.com/content/dam/mhe/blog/higher-ed/2025/pdfs/brealey-principles-of-corporate-finance-evergreen-2025.pdf</w:t>
        </w:r>
      </w:hyperlink>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t>7. Hillier, D., Ross, S.A., Westerfield, R.W., Jaffe, J. and Jordan, B.D. (2020) Corporate Finance. 4th edn. London: McGraw-Hill.</w:t>
      </w:r>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t xml:space="preserve">8. Berk, J. and DeMarzo, P. (2020). Corporate Finance. 5th ed. Pearson Education. </w:t>
      </w:r>
      <w:hyperlink r:id="rId6">
        <w:r>
          <w:rPr>
            <w:rStyle w:val="Hyperlink"/>
            <w:rFonts w:eastAsia="Times New Roman" w:cs="Times New Roman"/>
            <w:sz w:val="24"/>
            <w:szCs w:val="24"/>
          </w:rPr>
          <w:t>https://www.pearson.com/se/Nordics-Higher-Education/subject-catalogue/finance/corporate-finance-5e-berk-and-demarzo.html</w:t>
        </w:r>
      </w:hyperlink>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t xml:space="preserve">9. Deloof, M. (2003). Does Working Capital Management Affect Profitability of Belgian Firms? Journal of Business Finance &amp; Accounting, 30(3‐4), pp.573-588. </w:t>
      </w:r>
      <w:hyperlink r:id="rId7">
        <w:r>
          <w:rPr>
            <w:rStyle w:val="Hyperlink"/>
            <w:rFonts w:eastAsia="Times New Roman" w:cs="Times New Roman"/>
            <w:sz w:val="24"/>
            <w:szCs w:val="24"/>
          </w:rPr>
          <w:t>https://doi.org/10.1111/1468-5957.00008</w:t>
        </w:r>
      </w:hyperlink>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t xml:space="preserve">10. Gelsomino, L.M., Mangiaracina, R., Perego, A. and Tumino, A. (2016). Supply chain finance: a literature review. International Journal of Physical Distribution &amp; Logistics Management. </w:t>
      </w:r>
      <w:hyperlink r:id="rId8">
        <w:r>
          <w:rPr>
            <w:rStyle w:val="Hyperlink"/>
            <w:rFonts w:eastAsia="Times New Roman" w:cs="Times New Roman"/>
            <w:sz w:val="24"/>
            <w:szCs w:val="24"/>
          </w:rPr>
          <w:t>https://doi.org/10.1108/IJPDLM-08-2014-0173</w:t>
        </w:r>
      </w:hyperlink>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t xml:space="preserve">11. Petersen, M.A. and Rajan, R.G. (1997). Trade Credit: Theories and Evidence. The Review of Financial Studies. </w:t>
      </w:r>
      <w:hyperlink r:id="rId9">
        <w:r>
          <w:rPr>
            <w:rStyle w:val="Hyperlink"/>
            <w:rFonts w:eastAsia="Times New Roman" w:cs="Times New Roman"/>
            <w:sz w:val="24"/>
            <w:szCs w:val="24"/>
          </w:rPr>
          <w:t>https://doi.org/10.1093/rfs/10.3.661</w:t>
        </w:r>
      </w:hyperlink>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t xml:space="preserve">12. Richards, V.D. and Laughlin, E.J. (1980). A Cash Conversion Cycle Approach to Liquidity Analysis. Financial Management. </w:t>
      </w:r>
      <w:hyperlink r:id="rId10">
        <w:r>
          <w:rPr>
            <w:rStyle w:val="Hyperlink"/>
            <w:rFonts w:eastAsia="Times New Roman" w:cs="Times New Roman"/>
            <w:sz w:val="24"/>
            <w:szCs w:val="24"/>
          </w:rPr>
          <w:t>https://www.jstor.org/stable/3665310</w:t>
        </w:r>
      </w:hyperlink>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t xml:space="preserve">13. Womack, J.P., Jones, D.T. and Roos, D. (1990). The Machine That Changed the World. Rawson Associates. </w:t>
      </w:r>
      <w:hyperlink r:id="rId11">
        <w:r>
          <w:rPr>
            <w:rStyle w:val="Hyperlink"/>
            <w:rFonts w:eastAsia="Times New Roman" w:cs="Times New Roman"/>
            <w:sz w:val="24"/>
            <w:szCs w:val="24"/>
          </w:rPr>
          <w:t>https://archive.org/details/machinethatchang0000woma</w:t>
        </w:r>
      </w:hyperlink>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t xml:space="preserve">14. Dyer, J.H., Kale, P. and Singh, H. (2004). When to Ally and When to Acquire. Harvard Business Review. </w:t>
      </w:r>
      <w:hyperlink r:id="rId12">
        <w:r>
          <w:rPr>
            <w:rStyle w:val="Hyperlink"/>
            <w:rFonts w:eastAsia="Times New Roman" w:cs="Times New Roman"/>
            <w:sz w:val="24"/>
            <w:szCs w:val="24"/>
          </w:rPr>
          <w:t>https://hbr.org/2004/07/when-to-ally-and-when-to-acquire</w:t>
        </w:r>
      </w:hyperlink>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t xml:space="preserve">15. Markides, C.C. (1992). Consequences of Corporate Refocusing: Ex Ante Evidence. Academy of Management Journal. </w:t>
      </w:r>
      <w:hyperlink r:id="rId13">
        <w:r>
          <w:rPr>
            <w:rStyle w:val="Hyperlink"/>
            <w:rFonts w:eastAsia="Times New Roman" w:cs="Times New Roman"/>
            <w:sz w:val="24"/>
            <w:szCs w:val="24"/>
          </w:rPr>
          <w:t>https://www.jstor.org/stable/256379</w:t>
        </w:r>
      </w:hyperlink>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t xml:space="preserve">16. Schipper, K. and Smith, A. (1986). A comparison of equity carve-outs and seasoned equity offerings: Share price effects and corporate restructuring. Journal of Financial Economics. </w:t>
      </w:r>
      <w:hyperlink r:id="rId14">
        <w:r>
          <w:rPr>
            <w:rStyle w:val="Hyperlink"/>
            <w:rFonts w:eastAsia="Times New Roman" w:cs="Times New Roman"/>
            <w:sz w:val="24"/>
            <w:szCs w:val="24"/>
          </w:rPr>
          <w:t>https://www.sciencedirect.com/science/article/abs/pii/0304405X8690053X</w:t>
        </w:r>
      </w:hyperlink>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t xml:space="preserve">17. Carroll, A.B. (1991). The pyramid of corporate social responsibility: Toward the moral management of organizational stakeholders. Business Horizons. </w:t>
      </w:r>
      <w:hyperlink r:id="rId15">
        <w:r>
          <w:rPr>
            <w:rStyle w:val="Hyperlink"/>
            <w:rFonts w:eastAsia="Times New Roman" w:cs="Times New Roman"/>
            <w:sz w:val="24"/>
            <w:szCs w:val="24"/>
          </w:rPr>
          <w:t>https://www.sciencedirect.com/science/article/abs/pii/000768139190005G</w:t>
        </w:r>
      </w:hyperlink>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t xml:space="preserve">18. Madura, J. (2020). International Financial Management. 14th ed. Cengage Learning. </w:t>
      </w:r>
      <w:hyperlink r:id="rId16">
        <w:r>
          <w:rPr>
            <w:rStyle w:val="Hyperlink"/>
            <w:rFonts w:eastAsia="Times New Roman" w:cs="Times New Roman"/>
            <w:sz w:val="24"/>
            <w:szCs w:val="24"/>
          </w:rPr>
          <w:t>https://www.cengage.com/c/international-financial-management-14e-madura/9780357130544/</w:t>
        </w:r>
      </w:hyperlink>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r>
        <w:br w:type="page"/>
      </w:r>
    </w:p>
    <w:p>
      <w:pPr>
        <w:pStyle w:val="Normal"/>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 xml:space="preserve">Appendices </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Appendix 1: Ratio analysis</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1) Profitability</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Net Profit Margin:</w:t>
      </w:r>
    </w:p>
    <w:tbl>
      <w:tblPr>
        <w:tblW w:w="5000" w:type="pct"/>
        <w:jc w:val="start"/>
        <w:tblInd w:w="-5" w:type="dxa"/>
        <w:tblLayout w:type="fixed"/>
        <w:tblCellMar>
          <w:top w:w="55" w:type="dxa"/>
          <w:start w:w="55" w:type="dxa"/>
          <w:bottom w:w="55" w:type="dxa"/>
          <w:end w:w="55" w:type="dxa"/>
        </w:tblCellMar>
      </w:tblPr>
      <w:tblGrid>
        <w:gridCol w:w="2039"/>
        <w:gridCol w:w="4680"/>
        <w:gridCol w:w="2307"/>
      </w:tblGrid>
      <w:tr>
        <w:trPr/>
        <w:tc>
          <w:tcPr>
            <w:tcW w:w="2039" w:type="dxa"/>
            <w:tcBorders>
              <w:top w:val="single" w:sz="4" w:space="0" w:color="000000"/>
              <w:start w:val="single" w:sz="4" w:space="0" w:color="000000"/>
              <w:bottom w:val="single" w:sz="4" w:space="0" w:color="000000"/>
            </w:tcBorders>
          </w:tcPr>
          <w:p>
            <w:pPr>
              <w:pStyle w:val="TableContents"/>
              <w:rPr/>
            </w:pPr>
            <w:r>
              <w:rPr/>
            </w:r>
          </w:p>
        </w:tc>
        <w:tc>
          <w:tcPr>
            <w:tcW w:w="4680" w:type="dxa"/>
            <w:tcBorders>
              <w:top w:val="single" w:sz="4" w:space="0" w:color="000000"/>
              <w:start w:val="single" w:sz="4" w:space="0" w:color="000000"/>
              <w:bottom w:val="single" w:sz="4" w:space="0" w:color="000000"/>
            </w:tcBorders>
          </w:tcPr>
          <w:p>
            <w:pPr>
              <w:pStyle w:val="Normal"/>
              <w:bidi w:val="0"/>
              <w:spacing w:lineRule="auto" w:line="360" w:before="0" w:after="200"/>
              <w:jc w:val="center"/>
              <w:rPr>
                <w:b/>
                <w:bCs/>
                <w:sz w:val="24"/>
                <w:szCs w:val="24"/>
              </w:rPr>
            </w:pPr>
            <w:r>
              <w:rPr>
                <w:rFonts w:eastAsia="Times New Roman" w:cs="Times New Roman"/>
                <w:b/>
                <w:bCs/>
                <w:sz w:val="24"/>
                <w:szCs w:val="24"/>
              </w:rPr>
              <w:t xml:space="preserve">(Net Income / </w:t>
            </w:r>
            <w:r>
              <w:rPr>
                <w:b/>
                <w:bCs/>
                <w:sz w:val="24"/>
                <w:szCs w:val="24"/>
              </w:rPr>
              <w:t>Net Sales</w:t>
            </w:r>
            <w:r>
              <w:rPr>
                <w:rFonts w:eastAsia="Times New Roman" w:cs="Times New Roman"/>
                <w:b/>
                <w:bCs/>
                <w:sz w:val="24"/>
                <w:szCs w:val="24"/>
              </w:rPr>
              <w:t>) × 100</w:t>
            </w:r>
          </w:p>
        </w:tc>
        <w:tc>
          <w:tcPr>
            <w:tcW w:w="2307" w:type="dxa"/>
            <w:tcBorders>
              <w:top w:val="single" w:sz="4" w:space="0" w:color="000000"/>
              <w:start w:val="single" w:sz="4" w:space="0" w:color="000000"/>
              <w:bottom w:val="single" w:sz="4" w:space="0" w:color="000000"/>
              <w:end w:val="single" w:sz="4" w:space="0" w:color="000000"/>
            </w:tcBorders>
          </w:tcPr>
          <w:p>
            <w:pPr>
              <w:pStyle w:val="TableContents"/>
              <w:rPr/>
            </w:pPr>
            <w:r>
              <w:rPr/>
            </w:r>
          </w:p>
        </w:tc>
      </w:tr>
      <w:tr>
        <w:trPr/>
        <w:tc>
          <w:tcPr>
            <w:tcW w:w="203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2021</w:t>
            </w:r>
          </w:p>
        </w:tc>
        <w:tc>
          <w:tcPr>
            <w:tcW w:w="468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(15,428 / 250,200) × 100</w:t>
            </w:r>
          </w:p>
        </w:tc>
        <w:tc>
          <w:tcPr>
            <w:tcW w:w="230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6.17%</w:t>
            </w:r>
          </w:p>
        </w:tc>
      </w:tr>
      <w:tr>
        <w:trPr/>
        <w:tc>
          <w:tcPr>
            <w:tcW w:w="203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2022</w:t>
            </w:r>
          </w:p>
        </w:tc>
        <w:tc>
          <w:tcPr>
            <w:tcW w:w="468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(15,836 / 279,232) × 100</w:t>
            </w:r>
          </w:p>
        </w:tc>
        <w:tc>
          <w:tcPr>
            <w:tcW w:w="230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5.67%</w:t>
            </w:r>
          </w:p>
        </w:tc>
      </w:tr>
      <w:tr>
        <w:trPr/>
        <w:tc>
          <w:tcPr>
            <w:tcW w:w="203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2023</w:t>
            </w:r>
          </w:p>
        </w:tc>
        <w:tc>
          <w:tcPr>
            <w:tcW w:w="468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 xml:space="preserve">(17,928 / 322,284) × 100 </w:t>
            </w:r>
          </w:p>
        </w:tc>
        <w:tc>
          <w:tcPr>
            <w:tcW w:w="230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5.56%</w:t>
            </w:r>
          </w:p>
        </w:tc>
      </w:tr>
      <w:tr>
        <w:trPr/>
        <w:tc>
          <w:tcPr>
            <w:tcW w:w="203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2024</w:t>
            </w:r>
          </w:p>
        </w:tc>
        <w:tc>
          <w:tcPr>
            <w:tcW w:w="468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(12,394 / 324,656) × 100</w:t>
            </w:r>
          </w:p>
        </w:tc>
        <w:tc>
          <w:tcPr>
            <w:tcW w:w="230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3.82%</w:t>
            </w:r>
          </w:p>
        </w:tc>
      </w:tr>
      <w:tr>
        <w:trPr/>
        <w:tc>
          <w:tcPr>
            <w:tcW w:w="203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2025</w:t>
            </w:r>
          </w:p>
        </w:tc>
        <w:tc>
          <w:tcPr>
            <w:tcW w:w="468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(6,904 / 321,913) × 100</w:t>
            </w:r>
          </w:p>
        </w:tc>
        <w:tc>
          <w:tcPr>
            <w:tcW w:w="230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2.14%</w:t>
            </w:r>
          </w:p>
        </w:tc>
      </w:tr>
    </w:tbl>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drawing>
          <wp:anchor distT="0" distB="0" distL="0" distR="0" simplePos="0" relativeHeight="64" behindDoc="0" locked="0" layoutInCell="0" allowOverlap="1">
            <wp:simplePos x="0" y="0"/>
            <wp:positionH relativeFrom="column">
              <wp:posOffset>-315595</wp:posOffset>
            </wp:positionH>
            <wp:positionV relativeFrom="paragraph">
              <wp:posOffset>-74930</wp:posOffset>
            </wp:positionV>
            <wp:extent cx="3667125" cy="2149475"/>
            <wp:effectExtent l="0" t="0" r="0" b="0"/>
            <wp:wrapTopAndBottom/>
            <wp:docPr id="1" name="Object1"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p>
    <w:p>
      <w:pPr>
        <w:pStyle w:val="Normal"/>
        <w:bidi w:val="0"/>
        <w:spacing w:lineRule="auto" w:line="360" w:before="0" w:after="200"/>
        <w:jc w:val="both"/>
        <w:rPr>
          <w:rFonts w:eastAsia="Times New Roman" w:cs="Times New Roman"/>
          <w:b w:val="false"/>
          <w:bCs w:val="false"/>
          <w:sz w:val="24"/>
          <w:szCs w:val="24"/>
        </w:rPr>
      </w:pPr>
      <w:r>
        <w:rPr>
          <w:rFonts w:eastAsia="Times New Roman" w:cs="Times New Roman"/>
          <w:b w:val="false"/>
          <w:bCs w:val="false"/>
          <w:sz w:val="24"/>
          <w:szCs w:val="24"/>
        </w:rPr>
        <w:drawing>
          <wp:anchor distT="0" distB="0" distL="0" distR="0" simplePos="0" relativeHeight="65" behindDoc="0" locked="0" layoutInCell="0" allowOverlap="1">
            <wp:simplePos x="0" y="0"/>
            <wp:positionH relativeFrom="column">
              <wp:posOffset>2418080</wp:posOffset>
            </wp:positionH>
            <wp:positionV relativeFrom="paragraph">
              <wp:posOffset>-214630</wp:posOffset>
            </wp:positionV>
            <wp:extent cx="3374390" cy="1979295"/>
            <wp:effectExtent l="0" t="0" r="0" b="0"/>
            <wp:wrapTopAndBottom/>
            <wp:docPr id="2" name="Object13"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anchor>
        </w:drawing>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b/>
          <w:bCs/>
          <w:sz w:val="24"/>
          <w:szCs w:val="24"/>
        </w:rPr>
        <w:t>Operating Profit Margin:</w:t>
      </w:r>
      <w:r>
        <w:rPr>
          <w:rFonts w:eastAsia="Times New Roman" w:cs="Times New Roman"/>
          <w:sz w:val="24"/>
          <w:szCs w:val="24"/>
        </w:rPr>
        <w:t xml:space="preserve"> </w:t>
      </w:r>
    </w:p>
    <w:tbl>
      <w:tblPr>
        <w:tblW w:w="5000" w:type="pct"/>
        <w:jc w:val="start"/>
        <w:tblInd w:w="-5" w:type="dxa"/>
        <w:tblLayout w:type="fixed"/>
        <w:tblCellMar>
          <w:top w:w="55" w:type="dxa"/>
          <w:start w:w="55" w:type="dxa"/>
          <w:bottom w:w="55" w:type="dxa"/>
          <w:end w:w="55" w:type="dxa"/>
        </w:tblCellMar>
      </w:tblPr>
      <w:tblGrid>
        <w:gridCol w:w="2039"/>
        <w:gridCol w:w="4680"/>
        <w:gridCol w:w="2307"/>
      </w:tblGrid>
      <w:tr>
        <w:trPr/>
        <w:tc>
          <w:tcPr>
            <w:tcW w:w="2039" w:type="dxa"/>
            <w:tcBorders>
              <w:top w:val="single" w:sz="4" w:space="0" w:color="000000"/>
              <w:start w:val="single" w:sz="4" w:space="0" w:color="000000"/>
              <w:bottom w:val="single" w:sz="4" w:space="0" w:color="000000"/>
            </w:tcBorders>
          </w:tcPr>
          <w:p>
            <w:pPr>
              <w:pStyle w:val="TableContents"/>
              <w:rPr/>
            </w:pPr>
            <w:r>
              <w:rPr/>
            </w:r>
          </w:p>
        </w:tc>
        <w:tc>
          <w:tcPr>
            <w:tcW w:w="4680" w:type="dxa"/>
            <w:tcBorders>
              <w:top w:val="single" w:sz="4" w:space="0" w:color="000000"/>
              <w:start w:val="single" w:sz="4" w:space="0" w:color="000000"/>
              <w:bottom w:val="single" w:sz="4" w:space="0" w:color="000000"/>
            </w:tcBorders>
          </w:tcPr>
          <w:p>
            <w:pPr>
              <w:pStyle w:val="Normal"/>
              <w:bidi w:val="0"/>
              <w:spacing w:lineRule="auto" w:line="360" w:before="0" w:after="200"/>
              <w:jc w:val="center"/>
              <w:rPr>
                <w:b/>
                <w:bCs/>
                <w:sz w:val="24"/>
                <w:szCs w:val="24"/>
              </w:rPr>
            </w:pPr>
            <w:r>
              <w:rPr>
                <w:rFonts w:eastAsia="Times New Roman" w:cs="Times New Roman"/>
                <w:b/>
                <w:bCs/>
                <w:sz w:val="24"/>
                <w:szCs w:val="24"/>
              </w:rPr>
              <w:t>(Operating Income / Net Sales) × 100</w:t>
            </w:r>
          </w:p>
        </w:tc>
        <w:tc>
          <w:tcPr>
            <w:tcW w:w="2307" w:type="dxa"/>
            <w:tcBorders>
              <w:top w:val="single" w:sz="4" w:space="0" w:color="000000"/>
              <w:start w:val="single" w:sz="4" w:space="0" w:color="000000"/>
              <w:bottom w:val="single" w:sz="4" w:space="0" w:color="000000"/>
              <w:end w:val="single" w:sz="4" w:space="0" w:color="000000"/>
            </w:tcBorders>
          </w:tcPr>
          <w:p>
            <w:pPr>
              <w:pStyle w:val="TableContents"/>
              <w:rPr/>
            </w:pPr>
            <w:r>
              <w:rPr/>
            </w:r>
          </w:p>
        </w:tc>
      </w:tr>
      <w:tr>
        <w:trPr/>
        <w:tc>
          <w:tcPr>
            <w:tcW w:w="203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2021</w:t>
            </w:r>
          </w:p>
        </w:tc>
        <w:tc>
          <w:tcPr>
            <w:tcW w:w="4680" w:type="dxa"/>
            <w:tcBorders>
              <w:start w:val="single" w:sz="4" w:space="0" w:color="000000"/>
              <w:bottom w:val="single" w:sz="4" w:space="0" w:color="000000"/>
            </w:tcBorders>
          </w:tcPr>
          <w:p>
            <w:pPr>
              <w:pStyle w:val="Normal"/>
              <w:bidi w:val="0"/>
              <w:spacing w:lineRule="auto" w:line="360" w:before="0" w:after="200"/>
              <w:jc w:val="both"/>
              <w:rPr/>
            </w:pPr>
            <w:r>
              <w:rPr>
                <w:rFonts w:eastAsia="Times New Roman" w:cs="Times New Roman"/>
                <w:sz w:val="24"/>
                <w:szCs w:val="24"/>
              </w:rPr>
              <w:t>(19,275 / 250,200) × 100</w:t>
            </w:r>
          </w:p>
        </w:tc>
        <w:tc>
          <w:tcPr>
            <w:tcW w:w="2307" w:type="dxa"/>
            <w:tcBorders>
              <w:start w:val="single" w:sz="4" w:space="0" w:color="000000"/>
              <w:bottom w:val="single" w:sz="4" w:space="0" w:color="000000"/>
              <w:end w:val="single" w:sz="4" w:space="0" w:color="000000"/>
            </w:tcBorders>
          </w:tcPr>
          <w:p>
            <w:pPr>
              <w:pStyle w:val="Normal"/>
              <w:bidi w:val="0"/>
              <w:spacing w:lineRule="auto" w:line="360" w:before="0" w:after="200"/>
              <w:jc w:val="both"/>
              <w:rPr/>
            </w:pPr>
            <w:r>
              <w:rPr>
                <w:rFonts w:eastAsia="Times New Roman" w:cs="Times New Roman"/>
                <w:sz w:val="24"/>
                <w:szCs w:val="24"/>
              </w:rPr>
              <w:t>7.70%</w:t>
            </w:r>
          </w:p>
        </w:tc>
      </w:tr>
      <w:tr>
        <w:trPr/>
        <w:tc>
          <w:tcPr>
            <w:tcW w:w="203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2022</w:t>
            </w:r>
          </w:p>
        </w:tc>
        <w:tc>
          <w:tcPr>
            <w:tcW w:w="4680" w:type="dxa"/>
            <w:tcBorders>
              <w:start w:val="single" w:sz="4" w:space="0" w:color="000000"/>
              <w:bottom w:val="single" w:sz="4" w:space="0" w:color="000000"/>
            </w:tcBorders>
          </w:tcPr>
          <w:p>
            <w:pPr>
              <w:pStyle w:val="Normal"/>
              <w:bidi w:val="0"/>
              <w:spacing w:lineRule="auto" w:line="360" w:before="0" w:after="200"/>
              <w:jc w:val="both"/>
              <w:rPr>
                <w:rFonts w:eastAsia="Times New Roman" w:cs="Times New Roman"/>
                <w:sz w:val="24"/>
                <w:szCs w:val="24"/>
              </w:rPr>
            </w:pPr>
            <w:r>
              <w:rPr>
                <w:rFonts w:eastAsia="Times New Roman" w:cs="Times New Roman"/>
                <w:sz w:val="24"/>
                <w:szCs w:val="24"/>
              </w:rPr>
              <w:t>(22,124 / 279,232) × 100</w:t>
            </w:r>
          </w:p>
        </w:tc>
        <w:tc>
          <w:tcPr>
            <w:tcW w:w="230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eastAsia="Times New Roman" w:cs="Times New Roman"/>
                <w:sz w:val="24"/>
                <w:szCs w:val="24"/>
              </w:rPr>
            </w:pPr>
            <w:r>
              <w:rPr>
                <w:rFonts w:eastAsia="Times New Roman" w:cs="Times New Roman"/>
                <w:sz w:val="24"/>
                <w:szCs w:val="24"/>
              </w:rPr>
              <w:t xml:space="preserve"> </w:t>
            </w:r>
            <w:r>
              <w:rPr>
                <w:rFonts w:eastAsia="Times New Roman" w:cs="Times New Roman"/>
                <w:sz w:val="24"/>
                <w:szCs w:val="24"/>
              </w:rPr>
              <w:t>7.92%</w:t>
            </w:r>
          </w:p>
        </w:tc>
      </w:tr>
      <w:tr>
        <w:trPr/>
        <w:tc>
          <w:tcPr>
            <w:tcW w:w="203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2023</w:t>
            </w:r>
          </w:p>
        </w:tc>
        <w:tc>
          <w:tcPr>
            <w:tcW w:w="4680" w:type="dxa"/>
            <w:tcBorders>
              <w:start w:val="single" w:sz="4" w:space="0" w:color="000000"/>
              <w:bottom w:val="single" w:sz="4" w:space="0" w:color="000000"/>
            </w:tcBorders>
          </w:tcPr>
          <w:p>
            <w:pPr>
              <w:pStyle w:val="Normal"/>
              <w:bidi w:val="0"/>
              <w:spacing w:lineRule="auto" w:line="360" w:before="0" w:after="200"/>
              <w:jc w:val="both"/>
              <w:rPr>
                <w:rFonts w:eastAsia="Times New Roman" w:cs="Times New Roman"/>
                <w:sz w:val="24"/>
                <w:szCs w:val="24"/>
              </w:rPr>
            </w:pPr>
            <w:r>
              <w:rPr>
                <w:rFonts w:eastAsia="Times New Roman" w:cs="Times New Roman"/>
                <w:sz w:val="24"/>
                <w:szCs w:val="24"/>
              </w:rPr>
              <w:t>(22,576 / 322,284) × 100</w:t>
            </w:r>
          </w:p>
        </w:tc>
        <w:tc>
          <w:tcPr>
            <w:tcW w:w="230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eastAsia="Times New Roman" w:cs="Times New Roman"/>
                <w:sz w:val="24"/>
                <w:szCs w:val="24"/>
              </w:rPr>
            </w:pPr>
            <w:r>
              <w:rPr>
                <w:rFonts w:eastAsia="Times New Roman" w:cs="Times New Roman"/>
                <w:sz w:val="24"/>
                <w:szCs w:val="24"/>
              </w:rPr>
              <w:t>7.00%</w:t>
            </w:r>
          </w:p>
        </w:tc>
      </w:tr>
      <w:tr>
        <w:trPr/>
        <w:tc>
          <w:tcPr>
            <w:tcW w:w="203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2024</w:t>
            </w:r>
          </w:p>
        </w:tc>
        <w:tc>
          <w:tcPr>
            <w:tcW w:w="4680" w:type="dxa"/>
            <w:tcBorders>
              <w:start w:val="single" w:sz="4" w:space="0" w:color="000000"/>
              <w:bottom w:val="single" w:sz="4" w:space="0" w:color="000000"/>
            </w:tcBorders>
          </w:tcPr>
          <w:p>
            <w:pPr>
              <w:pStyle w:val="Normal"/>
              <w:bidi w:val="0"/>
              <w:spacing w:lineRule="auto" w:line="360" w:before="0" w:after="200"/>
              <w:jc w:val="both"/>
              <w:rPr>
                <w:rFonts w:eastAsia="Times New Roman" w:cs="Times New Roman"/>
                <w:sz w:val="24"/>
                <w:szCs w:val="24"/>
              </w:rPr>
            </w:pPr>
            <w:r>
              <w:rPr>
                <w:rFonts w:eastAsia="Times New Roman" w:cs="Times New Roman"/>
                <w:sz w:val="24"/>
                <w:szCs w:val="24"/>
              </w:rPr>
              <w:t>(19,060 / 324,656) × 100</w:t>
            </w:r>
          </w:p>
        </w:tc>
        <w:tc>
          <w:tcPr>
            <w:tcW w:w="230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eastAsia="Times New Roman" w:cs="Times New Roman"/>
                <w:sz w:val="24"/>
                <w:szCs w:val="24"/>
              </w:rPr>
            </w:pPr>
            <w:r>
              <w:rPr>
                <w:rFonts w:eastAsia="Times New Roman" w:cs="Times New Roman"/>
                <w:sz w:val="24"/>
                <w:szCs w:val="24"/>
              </w:rPr>
              <w:t xml:space="preserve"> </w:t>
            </w:r>
            <w:r>
              <w:rPr>
                <w:rFonts w:eastAsia="Times New Roman" w:cs="Times New Roman"/>
                <w:sz w:val="24"/>
                <w:szCs w:val="24"/>
              </w:rPr>
              <w:t>5.87%</w:t>
            </w:r>
          </w:p>
        </w:tc>
      </w:tr>
      <w:tr>
        <w:trPr/>
        <w:tc>
          <w:tcPr>
            <w:tcW w:w="203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2025</w:t>
            </w:r>
          </w:p>
        </w:tc>
        <w:tc>
          <w:tcPr>
            <w:tcW w:w="4680" w:type="dxa"/>
            <w:tcBorders>
              <w:start w:val="single" w:sz="4" w:space="0" w:color="000000"/>
              <w:bottom w:val="single" w:sz="4" w:space="0" w:color="000000"/>
            </w:tcBorders>
          </w:tcPr>
          <w:p>
            <w:pPr>
              <w:pStyle w:val="Normal"/>
              <w:bidi w:val="0"/>
              <w:spacing w:lineRule="auto" w:line="360" w:before="0" w:after="200"/>
              <w:jc w:val="both"/>
              <w:rPr>
                <w:rFonts w:eastAsia="Times New Roman" w:cs="Times New Roman"/>
                <w:sz w:val="24"/>
                <w:szCs w:val="24"/>
              </w:rPr>
            </w:pPr>
            <w:r>
              <w:rPr>
                <w:rFonts w:eastAsia="Times New Roman" w:cs="Times New Roman"/>
                <w:sz w:val="24"/>
                <w:szCs w:val="24"/>
              </w:rPr>
              <w:t xml:space="preserve">(8,868 / 321,913) × 100 </w:t>
            </w:r>
          </w:p>
        </w:tc>
        <w:tc>
          <w:tcPr>
            <w:tcW w:w="230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eastAsia="Times New Roman" w:cs="Times New Roman"/>
                <w:sz w:val="24"/>
                <w:szCs w:val="24"/>
              </w:rPr>
            </w:pPr>
            <w:r>
              <w:rPr>
                <w:rFonts w:eastAsia="Times New Roman" w:cs="Times New Roman"/>
                <w:sz w:val="24"/>
                <w:szCs w:val="24"/>
              </w:rPr>
              <w:t>2.75%</w:t>
            </w:r>
          </w:p>
        </w:tc>
      </w:tr>
    </w:tbl>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drawing>
          <wp:anchor distT="0" distB="0" distL="0" distR="0" simplePos="0" relativeHeight="63" behindDoc="0" locked="0" layoutInCell="0" allowOverlap="1">
            <wp:simplePos x="0" y="0"/>
            <wp:positionH relativeFrom="column">
              <wp:posOffset>-298450</wp:posOffset>
            </wp:positionH>
            <wp:positionV relativeFrom="paragraph">
              <wp:posOffset>153035</wp:posOffset>
            </wp:positionV>
            <wp:extent cx="5097780" cy="2867660"/>
            <wp:effectExtent l="0" t="0" r="0" b="0"/>
            <wp:wrapTopAndBottom/>
            <wp:docPr id="3" name="Object2"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anchor>
        </w:drawing>
      </w:r>
    </w:p>
    <w:p>
      <w:pPr>
        <w:pStyle w:val="BodyText"/>
        <w:bidi w:val="0"/>
        <w:spacing w:before="0" w:after="140"/>
        <w:ind w:hanging="0" w:start="0" w:end="0"/>
        <w:jc w:val="start"/>
        <w:rPr>
          <w:rFonts w:eastAsia="Times New Roman" w:cs="Times New Roman"/>
          <w:sz w:val="24"/>
          <w:szCs w:val="24"/>
        </w:rPr>
      </w:pPr>
      <w:r>
        <w:rPr>
          <w:rFonts w:eastAsia="Times New Roman" w:cs="Times New Roman"/>
          <w:sz w:val="24"/>
          <w:szCs w:val="24"/>
        </w:rPr>
        <w:drawing>
          <wp:anchor distT="0" distB="0" distL="0" distR="0" simplePos="0" relativeHeight="62" behindDoc="0" locked="0" layoutInCell="0" allowOverlap="1">
            <wp:simplePos x="0" y="0"/>
            <wp:positionH relativeFrom="column">
              <wp:posOffset>2178050</wp:posOffset>
            </wp:positionH>
            <wp:positionV relativeFrom="paragraph">
              <wp:posOffset>97790</wp:posOffset>
            </wp:positionV>
            <wp:extent cx="3855085" cy="2168525"/>
            <wp:effectExtent l="0" t="0" r="0" b="0"/>
            <wp:wrapTopAndBottom/>
            <wp:docPr id="4" name="Object14"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b/>
          <w:bCs/>
          <w:sz w:val="24"/>
          <w:szCs w:val="24"/>
        </w:rPr>
        <w:t xml:space="preserve">Return On Equity: </w:t>
      </w:r>
    </w:p>
    <w:tbl>
      <w:tblPr>
        <w:tblW w:w="5000" w:type="pct"/>
        <w:jc w:val="start"/>
        <w:tblInd w:w="-5" w:type="dxa"/>
        <w:tblLayout w:type="fixed"/>
        <w:tblCellMar>
          <w:top w:w="55" w:type="dxa"/>
          <w:start w:w="55" w:type="dxa"/>
          <w:bottom w:w="55" w:type="dxa"/>
          <w:end w:w="55" w:type="dxa"/>
        </w:tblCellMar>
      </w:tblPr>
      <w:tblGrid>
        <w:gridCol w:w="1590"/>
        <w:gridCol w:w="5489"/>
        <w:gridCol w:w="1947"/>
      </w:tblGrid>
      <w:tr>
        <w:trPr/>
        <w:tc>
          <w:tcPr>
            <w:tcW w:w="1590" w:type="dxa"/>
            <w:tcBorders>
              <w:top w:val="single" w:sz="4" w:space="0" w:color="000000"/>
              <w:start w:val="single" w:sz="4" w:space="0" w:color="000000"/>
              <w:bottom w:val="single" w:sz="4" w:space="0" w:color="000000"/>
            </w:tcBorders>
          </w:tcPr>
          <w:p>
            <w:pPr>
              <w:pStyle w:val="TableContents"/>
              <w:rPr/>
            </w:pPr>
            <w:r>
              <w:rPr/>
            </w:r>
          </w:p>
        </w:tc>
        <w:tc>
          <w:tcPr>
            <w:tcW w:w="5489" w:type="dxa"/>
            <w:tcBorders>
              <w:top w:val="single" w:sz="4" w:space="0" w:color="000000"/>
              <w:start w:val="single" w:sz="4" w:space="0" w:color="000000"/>
              <w:bottom w:val="single" w:sz="4" w:space="0" w:color="000000"/>
            </w:tcBorders>
          </w:tcPr>
          <w:p>
            <w:pPr>
              <w:pStyle w:val="Normal"/>
              <w:bidi w:val="0"/>
              <w:spacing w:lineRule="auto" w:line="360" w:before="0" w:after="200"/>
              <w:jc w:val="center"/>
              <w:rPr>
                <w:b/>
                <w:bCs/>
                <w:sz w:val="24"/>
                <w:szCs w:val="24"/>
              </w:rPr>
            </w:pPr>
            <w:r>
              <w:rPr>
                <w:rFonts w:eastAsia="Times New Roman" w:cs="Times New Roman"/>
                <w:b/>
                <w:bCs/>
                <w:sz w:val="24"/>
                <w:szCs w:val="24"/>
              </w:rPr>
              <w:t>(Net income / Shareholder’s Equity) x 100</w:t>
            </w:r>
          </w:p>
        </w:tc>
        <w:tc>
          <w:tcPr>
            <w:tcW w:w="1947" w:type="dxa"/>
            <w:tcBorders>
              <w:top w:val="single" w:sz="4" w:space="0" w:color="000000"/>
              <w:start w:val="single" w:sz="4" w:space="0" w:color="000000"/>
              <w:bottom w:val="single" w:sz="4" w:space="0" w:color="000000"/>
              <w:end w:val="single" w:sz="4" w:space="0" w:color="000000"/>
            </w:tcBorders>
          </w:tcPr>
          <w:p>
            <w:pPr>
              <w:pStyle w:val="TableContents"/>
              <w:rPr/>
            </w:pPr>
            <w:r>
              <w:rPr/>
            </w:r>
          </w:p>
        </w:tc>
      </w:tr>
      <w:tr>
        <w:trPr/>
        <w:tc>
          <w:tcPr>
            <w:tcW w:w="159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2021</w:t>
            </w:r>
          </w:p>
        </w:tc>
        <w:tc>
          <w:tcPr>
            <w:tcW w:w="548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(15,428 / 146,154) × 100</w:t>
            </w:r>
          </w:p>
        </w:tc>
        <w:tc>
          <w:tcPr>
            <w:tcW w:w="194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10.56%</w:t>
            </w:r>
          </w:p>
        </w:tc>
      </w:tr>
      <w:tr>
        <w:trPr/>
        <w:tc>
          <w:tcPr>
            <w:tcW w:w="159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2022</w:t>
            </w:r>
          </w:p>
        </w:tc>
        <w:tc>
          <w:tcPr>
            <w:tcW w:w="548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(15,836 / 178,328) × 100</w:t>
            </w:r>
          </w:p>
        </w:tc>
        <w:tc>
          <w:tcPr>
            <w:tcW w:w="194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8.88%</w:t>
            </w:r>
          </w:p>
        </w:tc>
      </w:tr>
      <w:tr>
        <w:trPr/>
        <w:tc>
          <w:tcPr>
            <w:tcW w:w="159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2023</w:t>
            </w:r>
          </w:p>
        </w:tc>
        <w:tc>
          <w:tcPr>
            <w:tcW w:w="548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 xml:space="preserve">(17,928 / 189,186) × 100 </w:t>
            </w:r>
          </w:p>
        </w:tc>
        <w:tc>
          <w:tcPr>
            <w:tcW w:w="194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9.48%</w:t>
            </w:r>
          </w:p>
        </w:tc>
      </w:tr>
      <w:tr>
        <w:trPr/>
        <w:tc>
          <w:tcPr>
            <w:tcW w:w="159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2024</w:t>
            </w:r>
          </w:p>
        </w:tc>
        <w:tc>
          <w:tcPr>
            <w:tcW w:w="548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(12,394 / 196,731) × 100</w:t>
            </w:r>
          </w:p>
        </w:tc>
        <w:tc>
          <w:tcPr>
            <w:tcW w:w="194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6.30%</w:t>
            </w:r>
          </w:p>
        </w:tc>
      </w:tr>
      <w:tr>
        <w:trPr/>
        <w:tc>
          <w:tcPr>
            <w:tcW w:w="159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2025</w:t>
            </w:r>
          </w:p>
        </w:tc>
        <w:tc>
          <w:tcPr>
            <w:tcW w:w="548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 xml:space="preserve">(6,904 / 202,400) × 100 </w:t>
            </w:r>
          </w:p>
        </w:tc>
        <w:tc>
          <w:tcPr>
            <w:tcW w:w="194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3.41%</w:t>
            </w:r>
          </w:p>
        </w:tc>
      </w:tr>
    </w:tbl>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drawing>
          <wp:anchor distT="0" distB="0" distL="0" distR="0" simplePos="0" relativeHeight="61" behindDoc="0" locked="0" layoutInCell="0" allowOverlap="1">
            <wp:simplePos x="0" y="0"/>
            <wp:positionH relativeFrom="column">
              <wp:posOffset>-182245</wp:posOffset>
            </wp:positionH>
            <wp:positionV relativeFrom="paragraph">
              <wp:posOffset>-199390</wp:posOffset>
            </wp:positionV>
            <wp:extent cx="4896485" cy="2754630"/>
            <wp:effectExtent l="0" t="0" r="0" b="0"/>
            <wp:wrapTopAndBottom/>
            <wp:docPr id="5" name="Object3"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anchor>
        </w:drawing>
      </w:r>
    </w:p>
    <w:p>
      <w:pPr>
        <w:pStyle w:val="BodyText"/>
        <w:bidi w:val="0"/>
        <w:spacing w:before="0" w:after="140"/>
        <w:ind w:hanging="0" w:start="0" w:end="0"/>
        <w:jc w:val="start"/>
        <w:rPr>
          <w:rFonts w:eastAsia="Times New Roman" w:cs="Times New Roman"/>
          <w:sz w:val="24"/>
          <w:szCs w:val="24"/>
        </w:rPr>
      </w:pPr>
      <w:r>
        <w:rPr>
          <w:rFonts w:eastAsia="Times New Roman" w:cs="Times New Roman"/>
          <w:sz w:val="24"/>
          <w:szCs w:val="24"/>
        </w:rPr>
        <w:drawing>
          <wp:anchor distT="0" distB="0" distL="0" distR="0" simplePos="0" relativeHeight="60" behindDoc="0" locked="0" layoutInCell="0" allowOverlap="1">
            <wp:simplePos x="0" y="0"/>
            <wp:positionH relativeFrom="column">
              <wp:posOffset>2101215</wp:posOffset>
            </wp:positionH>
            <wp:positionV relativeFrom="paragraph">
              <wp:posOffset>180975</wp:posOffset>
            </wp:positionV>
            <wp:extent cx="4177665" cy="2350135"/>
            <wp:effectExtent l="0" t="0" r="0" b="0"/>
            <wp:wrapTopAndBottom/>
            <wp:docPr id="6" name="Object15"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anchor>
        </w:drawing>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2) Liquidity</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b/>
          <w:bCs/>
          <w:sz w:val="24"/>
          <w:szCs w:val="24"/>
        </w:rPr>
        <w:t>Current Ratio:</w:t>
      </w:r>
      <w:r>
        <w:rPr>
          <w:rFonts w:eastAsia="Times New Roman" w:cs="Times New Roman"/>
          <w:sz w:val="24"/>
          <w:szCs w:val="24"/>
        </w:rPr>
        <w:t xml:space="preserve"> </w:t>
      </w:r>
    </w:p>
    <w:tbl>
      <w:tblPr>
        <w:tblW w:w="5000" w:type="pct"/>
        <w:jc w:val="start"/>
        <w:tblInd w:w="-5" w:type="dxa"/>
        <w:tblLayout w:type="fixed"/>
        <w:tblCellMar>
          <w:top w:w="55" w:type="dxa"/>
          <w:start w:w="55" w:type="dxa"/>
          <w:bottom w:w="55" w:type="dxa"/>
          <w:end w:w="55" w:type="dxa"/>
        </w:tblCellMar>
      </w:tblPr>
      <w:tblGrid>
        <w:gridCol w:w="1590"/>
        <w:gridCol w:w="5970"/>
        <w:gridCol w:w="1466"/>
      </w:tblGrid>
      <w:tr>
        <w:trPr/>
        <w:tc>
          <w:tcPr>
            <w:tcW w:w="1590" w:type="dxa"/>
            <w:tcBorders>
              <w:top w:val="single" w:sz="4" w:space="0" w:color="000000"/>
              <w:start w:val="single" w:sz="4" w:space="0" w:color="000000"/>
              <w:bottom w:val="single" w:sz="4" w:space="0" w:color="000000"/>
            </w:tcBorders>
          </w:tcPr>
          <w:p>
            <w:pPr>
              <w:pStyle w:val="TableContents"/>
              <w:rPr/>
            </w:pPr>
            <w:r>
              <w:rPr/>
            </w:r>
          </w:p>
        </w:tc>
        <w:tc>
          <w:tcPr>
            <w:tcW w:w="5970" w:type="dxa"/>
            <w:tcBorders>
              <w:top w:val="single" w:sz="4" w:space="0" w:color="000000"/>
              <w:start w:val="single" w:sz="4" w:space="0" w:color="000000"/>
              <w:bottom w:val="single" w:sz="4" w:space="0" w:color="000000"/>
            </w:tcBorders>
          </w:tcPr>
          <w:p>
            <w:pPr>
              <w:pStyle w:val="Normal"/>
              <w:bidi w:val="0"/>
              <w:spacing w:lineRule="auto" w:line="360" w:before="0" w:after="200"/>
              <w:jc w:val="center"/>
              <w:rPr>
                <w:b/>
                <w:bCs/>
                <w:sz w:val="24"/>
                <w:szCs w:val="24"/>
              </w:rPr>
            </w:pPr>
            <w:r>
              <w:rPr>
                <w:rFonts w:eastAsia="Times New Roman" w:cs="Times New Roman"/>
                <w:b/>
                <w:bCs/>
                <w:sz w:val="24"/>
                <w:szCs w:val="24"/>
              </w:rPr>
              <w:t>(Total Current Assets / Total Current Liabilities)</w:t>
            </w:r>
          </w:p>
        </w:tc>
        <w:tc>
          <w:tcPr>
            <w:tcW w:w="1466" w:type="dxa"/>
            <w:tcBorders>
              <w:top w:val="single" w:sz="4" w:space="0" w:color="000000"/>
              <w:start w:val="single" w:sz="4" w:space="0" w:color="000000"/>
              <w:bottom w:val="single" w:sz="4" w:space="0" w:color="000000"/>
              <w:end w:val="single" w:sz="4" w:space="0" w:color="000000"/>
            </w:tcBorders>
          </w:tcPr>
          <w:p>
            <w:pPr>
              <w:pStyle w:val="TableContents"/>
              <w:rPr/>
            </w:pPr>
            <w:r>
              <w:rPr/>
            </w:r>
          </w:p>
        </w:tc>
      </w:tr>
      <w:tr>
        <w:trPr/>
        <w:tc>
          <w:tcPr>
            <w:tcW w:w="159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2021</w:t>
            </w:r>
          </w:p>
        </w:tc>
        <w:tc>
          <w:tcPr>
            <w:tcW w:w="597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189,500 / 162,100</w:t>
            </w:r>
          </w:p>
        </w:tc>
        <w:tc>
          <w:tcPr>
            <w:tcW w:w="1466"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1.17</w:t>
            </w:r>
          </w:p>
        </w:tc>
      </w:tr>
      <w:tr>
        <w:trPr/>
        <w:tc>
          <w:tcPr>
            <w:tcW w:w="159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2022</w:t>
            </w:r>
          </w:p>
        </w:tc>
        <w:tc>
          <w:tcPr>
            <w:tcW w:w="597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211,400 / 184,300</w:t>
            </w:r>
          </w:p>
        </w:tc>
        <w:tc>
          <w:tcPr>
            <w:tcW w:w="1466"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1.15</w:t>
            </w:r>
          </w:p>
        </w:tc>
      </w:tr>
      <w:tr>
        <w:trPr/>
        <w:tc>
          <w:tcPr>
            <w:tcW w:w="159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2023</w:t>
            </w:r>
          </w:p>
        </w:tc>
        <w:tc>
          <w:tcPr>
            <w:tcW w:w="597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224,100 / 195,600</w:t>
            </w:r>
          </w:p>
        </w:tc>
        <w:tc>
          <w:tcPr>
            <w:tcW w:w="1466"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1.15</w:t>
            </w:r>
          </w:p>
        </w:tc>
      </w:tr>
      <w:tr>
        <w:trPr/>
        <w:tc>
          <w:tcPr>
            <w:tcW w:w="159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2024</w:t>
            </w:r>
          </w:p>
        </w:tc>
        <w:tc>
          <w:tcPr>
            <w:tcW w:w="597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236,500 / 206,100</w:t>
            </w:r>
          </w:p>
        </w:tc>
        <w:tc>
          <w:tcPr>
            <w:tcW w:w="1466"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1.15</w:t>
            </w:r>
          </w:p>
        </w:tc>
      </w:tr>
      <w:tr>
        <w:trPr/>
        <w:tc>
          <w:tcPr>
            <w:tcW w:w="159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2025</w:t>
            </w:r>
          </w:p>
        </w:tc>
        <w:tc>
          <w:tcPr>
            <w:tcW w:w="597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 xml:space="preserve">242,100 / 210,500 </w:t>
            </w:r>
          </w:p>
        </w:tc>
        <w:tc>
          <w:tcPr>
            <w:tcW w:w="1466"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1.15</w:t>
            </w:r>
          </w:p>
        </w:tc>
      </w:tr>
    </w:tbl>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drawing>
          <wp:anchor distT="0" distB="0" distL="0" distR="0" simplePos="0" relativeHeight="59" behindDoc="0" locked="0" layoutInCell="0" allowOverlap="1">
            <wp:simplePos x="0" y="0"/>
            <wp:positionH relativeFrom="column">
              <wp:posOffset>-226060</wp:posOffset>
            </wp:positionH>
            <wp:positionV relativeFrom="paragraph">
              <wp:posOffset>125730</wp:posOffset>
            </wp:positionV>
            <wp:extent cx="4393565" cy="2471420"/>
            <wp:effectExtent l="0" t="0" r="0" b="0"/>
            <wp:wrapTopAndBottom/>
            <wp:docPr id="7" name="Object11"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anchor>
        </w:drawing>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drawing>
          <wp:anchor distT="0" distB="0" distL="0" distR="0" simplePos="0" relativeHeight="58" behindDoc="0" locked="0" layoutInCell="0" allowOverlap="1">
            <wp:simplePos x="0" y="0"/>
            <wp:positionH relativeFrom="column">
              <wp:posOffset>2492375</wp:posOffset>
            </wp:positionH>
            <wp:positionV relativeFrom="paragraph">
              <wp:posOffset>-6985</wp:posOffset>
            </wp:positionV>
            <wp:extent cx="4119245" cy="2317750"/>
            <wp:effectExtent l="0" t="0" r="0" b="0"/>
            <wp:wrapTopAndBottom/>
            <wp:docPr id="8" name="Object16"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anchor>
        </w:drawing>
      </w:r>
    </w:p>
    <w:p>
      <w:pPr>
        <w:pStyle w:val="BodyText"/>
        <w:bidi w:val="0"/>
        <w:spacing w:before="0" w:after="140"/>
        <w:ind w:hanging="0" w:start="0" w:end="0"/>
        <w:jc w:val="start"/>
        <w:rPr>
          <w:rFonts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Fonts w:eastAsia="Times New Roman" w:cs="Times New Roman"/>
          <w:sz w:val="24"/>
          <w:szCs w:val="24"/>
        </w:rPr>
      </w:pPr>
      <w:r>
        <w:rPr>
          <w:rFonts w:eastAsia="Times New Roman" w:cs="Times New Roman"/>
          <w:sz w:val="24"/>
          <w:szCs w:val="24"/>
        </w:rPr>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b/>
          <w:bCs/>
          <w:sz w:val="24"/>
          <w:szCs w:val="24"/>
        </w:rPr>
        <w:t>Quick Ratio:</w:t>
      </w:r>
      <w:r>
        <w:rPr>
          <w:rFonts w:eastAsia="Times New Roman" w:cs="Times New Roman"/>
          <w:sz w:val="24"/>
          <w:szCs w:val="24"/>
        </w:rPr>
        <w:t xml:space="preserve"> </w:t>
      </w:r>
    </w:p>
    <w:tbl>
      <w:tblPr>
        <w:tblW w:w="5000" w:type="pct"/>
        <w:jc w:val="start"/>
        <w:tblInd w:w="-5" w:type="dxa"/>
        <w:tblLayout w:type="fixed"/>
        <w:tblCellMar>
          <w:top w:w="55" w:type="dxa"/>
          <w:start w:w="55" w:type="dxa"/>
          <w:bottom w:w="55" w:type="dxa"/>
          <w:end w:w="55" w:type="dxa"/>
        </w:tblCellMar>
      </w:tblPr>
      <w:tblGrid>
        <w:gridCol w:w="1409"/>
        <w:gridCol w:w="6031"/>
        <w:gridCol w:w="1586"/>
      </w:tblGrid>
      <w:tr>
        <w:trPr/>
        <w:tc>
          <w:tcPr>
            <w:tcW w:w="1409" w:type="dxa"/>
            <w:tcBorders>
              <w:top w:val="single" w:sz="4" w:space="0" w:color="000000"/>
              <w:start w:val="single" w:sz="4" w:space="0" w:color="000000"/>
              <w:bottom w:val="single" w:sz="4" w:space="0" w:color="000000"/>
            </w:tcBorders>
          </w:tcPr>
          <w:p>
            <w:pPr>
              <w:pStyle w:val="TableContents"/>
              <w:rPr/>
            </w:pPr>
            <w:r>
              <w:rPr/>
            </w:r>
          </w:p>
        </w:tc>
        <w:tc>
          <w:tcPr>
            <w:tcW w:w="6031" w:type="dxa"/>
            <w:tcBorders>
              <w:top w:val="single" w:sz="4" w:space="0" w:color="000000"/>
              <w:start w:val="single" w:sz="4" w:space="0" w:color="000000"/>
              <w:bottom w:val="single" w:sz="4" w:space="0" w:color="000000"/>
            </w:tcBorders>
          </w:tcPr>
          <w:p>
            <w:pPr>
              <w:pStyle w:val="Normal"/>
              <w:bidi w:val="0"/>
              <w:spacing w:lineRule="auto" w:line="360" w:before="0" w:after="200"/>
              <w:jc w:val="center"/>
              <w:rPr>
                <w:b/>
                <w:bCs/>
                <w:sz w:val="24"/>
                <w:szCs w:val="24"/>
              </w:rPr>
            </w:pPr>
            <w:r>
              <w:rPr>
                <w:rFonts w:eastAsia="Times New Roman" w:cs="Times New Roman"/>
                <w:b/>
                <w:bCs/>
                <w:sz w:val="24"/>
                <w:szCs w:val="24"/>
              </w:rPr>
              <w:t>(Total Current Assets - Inventories) / Total Current Liabilities</w:t>
            </w:r>
          </w:p>
        </w:tc>
        <w:tc>
          <w:tcPr>
            <w:tcW w:w="1586" w:type="dxa"/>
            <w:tcBorders>
              <w:top w:val="single" w:sz="4" w:space="0" w:color="000000"/>
              <w:start w:val="single" w:sz="4" w:space="0" w:color="000000"/>
              <w:bottom w:val="single" w:sz="4" w:space="0" w:color="000000"/>
              <w:end w:val="single" w:sz="4" w:space="0" w:color="000000"/>
            </w:tcBorders>
          </w:tcPr>
          <w:p>
            <w:pPr>
              <w:pStyle w:val="TableContents"/>
              <w:rPr/>
            </w:pPr>
            <w:r>
              <w:rPr/>
            </w:r>
          </w:p>
        </w:tc>
      </w:tr>
      <w:tr>
        <w:trPr/>
        <w:tc>
          <w:tcPr>
            <w:tcW w:w="140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2021</w:t>
            </w:r>
          </w:p>
        </w:tc>
        <w:tc>
          <w:tcPr>
            <w:tcW w:w="6031"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 xml:space="preserve">(189,500 - 44,200) / 162,100 </w:t>
            </w:r>
          </w:p>
        </w:tc>
        <w:tc>
          <w:tcPr>
            <w:tcW w:w="1586"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0.90</w:t>
            </w:r>
          </w:p>
        </w:tc>
      </w:tr>
      <w:tr>
        <w:trPr/>
        <w:tc>
          <w:tcPr>
            <w:tcW w:w="140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2022</w:t>
            </w:r>
          </w:p>
        </w:tc>
        <w:tc>
          <w:tcPr>
            <w:tcW w:w="6031"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(211,400 - 51,300) / 184,300</w:t>
            </w:r>
          </w:p>
        </w:tc>
        <w:tc>
          <w:tcPr>
            <w:tcW w:w="1586"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0.87</w:t>
            </w:r>
          </w:p>
        </w:tc>
      </w:tr>
      <w:tr>
        <w:trPr/>
        <w:tc>
          <w:tcPr>
            <w:tcW w:w="140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2023</w:t>
            </w:r>
          </w:p>
        </w:tc>
        <w:tc>
          <w:tcPr>
            <w:tcW w:w="6031"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(224,100 - 55,400) / 195,600</w:t>
            </w:r>
          </w:p>
        </w:tc>
        <w:tc>
          <w:tcPr>
            <w:tcW w:w="1586"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0.86</w:t>
            </w:r>
          </w:p>
        </w:tc>
      </w:tr>
      <w:tr>
        <w:trPr/>
        <w:tc>
          <w:tcPr>
            <w:tcW w:w="140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2024</w:t>
            </w:r>
          </w:p>
        </w:tc>
        <w:tc>
          <w:tcPr>
            <w:tcW w:w="6031"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(236,500 - 58,100) / 206,100</w:t>
            </w:r>
          </w:p>
        </w:tc>
        <w:tc>
          <w:tcPr>
            <w:tcW w:w="1586"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0.87</w:t>
            </w:r>
          </w:p>
        </w:tc>
      </w:tr>
      <w:tr>
        <w:trPr/>
        <w:tc>
          <w:tcPr>
            <w:tcW w:w="140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2025</w:t>
            </w:r>
          </w:p>
        </w:tc>
        <w:tc>
          <w:tcPr>
            <w:tcW w:w="6031"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(242,100 - 61,000) / 210,500</w:t>
            </w:r>
          </w:p>
        </w:tc>
        <w:tc>
          <w:tcPr>
            <w:tcW w:w="1586"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0.86</w:t>
            </w:r>
          </w:p>
        </w:tc>
      </w:tr>
    </w:tbl>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drawing>
          <wp:anchor distT="0" distB="0" distL="0" distR="0" simplePos="0" relativeHeight="57" behindDoc="0" locked="0" layoutInCell="0" allowOverlap="1">
            <wp:simplePos x="0" y="0"/>
            <wp:positionH relativeFrom="column">
              <wp:align>center</wp:align>
            </wp:positionH>
            <wp:positionV relativeFrom="paragraph">
              <wp:posOffset>635</wp:posOffset>
            </wp:positionV>
            <wp:extent cx="3978275" cy="2236470"/>
            <wp:effectExtent l="0" t="0" r="0" b="0"/>
            <wp:wrapTopAndBottom/>
            <wp:docPr id="9" name="Object10"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anchor>
        </w:drawing>
      </w:r>
    </w:p>
    <w:p>
      <w:pPr>
        <w:pStyle w:val="BodyText"/>
        <w:bidi w:val="0"/>
        <w:spacing w:before="0" w:after="140"/>
        <w:ind w:hanging="0" w:start="0" w:end="0"/>
        <w:jc w:val="start"/>
        <w:rPr>
          <w:rFonts w:eastAsia="Times New Roman" w:cs="Times New Roman"/>
          <w:sz w:val="24"/>
          <w:szCs w:val="24"/>
        </w:rPr>
      </w:pPr>
      <w:r>
        <w:rPr>
          <w:rFonts w:eastAsia="Times New Roman" w:cs="Times New Roman"/>
          <w:sz w:val="24"/>
          <w:szCs w:val="24"/>
        </w:rPr>
        <w:drawing>
          <wp:anchor distT="0" distB="0" distL="0" distR="0" simplePos="0" relativeHeight="56" behindDoc="0" locked="0" layoutInCell="0" allowOverlap="1">
            <wp:simplePos x="0" y="0"/>
            <wp:positionH relativeFrom="column">
              <wp:align>center</wp:align>
            </wp:positionH>
            <wp:positionV relativeFrom="paragraph">
              <wp:align>top</wp:align>
            </wp:positionV>
            <wp:extent cx="3978275" cy="2236470"/>
            <wp:effectExtent l="0" t="0" r="0" b="0"/>
            <wp:wrapTopAndBottom/>
            <wp:docPr id="10" name="Object17"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anchor>
        </w:drawing>
      </w:r>
    </w:p>
    <w:p>
      <w:pPr>
        <w:pStyle w:val="BodyText"/>
        <w:bidi w:val="0"/>
        <w:spacing w:before="0" w:after="140"/>
        <w:ind w:hanging="0" w:start="0" w:end="0"/>
        <w:jc w:val="start"/>
        <w:rPr>
          <w:rFonts w:eastAsia="Times New Roman" w:cs="Times New Roman"/>
          <w:sz w:val="24"/>
          <w:szCs w:val="24"/>
        </w:rPr>
      </w:pPr>
      <w:r>
        <w:rPr>
          <w:rFonts w:eastAsia="Times New Roman" w:cs="Times New Roman"/>
          <w:sz w:val="24"/>
          <w:szCs w:val="24"/>
        </w:rPr>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3) Efficiency</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b/>
          <w:bCs/>
          <w:sz w:val="24"/>
          <w:szCs w:val="24"/>
        </w:rPr>
        <w:t>Inventory Turnover Ratio:</w:t>
      </w:r>
      <w:r>
        <w:rPr>
          <w:rFonts w:eastAsia="Times New Roman" w:cs="Times New Roman"/>
          <w:sz w:val="24"/>
          <w:szCs w:val="24"/>
        </w:rPr>
        <w:t xml:space="preserve"> </w:t>
      </w:r>
    </w:p>
    <w:tbl>
      <w:tblPr>
        <w:tblW w:w="5000" w:type="pct"/>
        <w:jc w:val="start"/>
        <w:tblInd w:w="-5" w:type="dxa"/>
        <w:tblLayout w:type="fixed"/>
        <w:tblCellMar>
          <w:top w:w="55" w:type="dxa"/>
          <w:start w:w="55" w:type="dxa"/>
          <w:bottom w:w="55" w:type="dxa"/>
          <w:end w:w="55" w:type="dxa"/>
        </w:tblCellMar>
      </w:tblPr>
      <w:tblGrid>
        <w:gridCol w:w="1590"/>
        <w:gridCol w:w="5489"/>
        <w:gridCol w:w="1947"/>
      </w:tblGrid>
      <w:tr>
        <w:trPr/>
        <w:tc>
          <w:tcPr>
            <w:tcW w:w="1590" w:type="dxa"/>
            <w:tcBorders>
              <w:top w:val="single" w:sz="4" w:space="0" w:color="000000"/>
              <w:start w:val="single" w:sz="4" w:space="0" w:color="000000"/>
              <w:bottom w:val="single" w:sz="4" w:space="0" w:color="000000"/>
            </w:tcBorders>
          </w:tcPr>
          <w:p>
            <w:pPr>
              <w:pStyle w:val="TableContents"/>
              <w:rPr/>
            </w:pPr>
            <w:r>
              <w:rPr/>
            </w:r>
          </w:p>
        </w:tc>
        <w:tc>
          <w:tcPr>
            <w:tcW w:w="5489" w:type="dxa"/>
            <w:tcBorders>
              <w:top w:val="single" w:sz="4" w:space="0" w:color="000000"/>
              <w:start w:val="single" w:sz="4" w:space="0" w:color="000000"/>
              <w:bottom w:val="single" w:sz="4" w:space="0" w:color="000000"/>
            </w:tcBorders>
          </w:tcPr>
          <w:p>
            <w:pPr>
              <w:pStyle w:val="Normal"/>
              <w:bidi w:val="0"/>
              <w:spacing w:lineRule="auto" w:line="360" w:before="0" w:after="200"/>
              <w:jc w:val="center"/>
              <w:rPr>
                <w:b/>
                <w:bCs/>
                <w:sz w:val="24"/>
                <w:szCs w:val="24"/>
              </w:rPr>
            </w:pPr>
            <w:r>
              <w:rPr>
                <w:rFonts w:eastAsia="Times New Roman" w:cs="Times New Roman"/>
                <w:b/>
                <w:bCs/>
                <w:sz w:val="24"/>
                <w:szCs w:val="24"/>
              </w:rPr>
              <w:t>Cost of sales / Inventory</w:t>
            </w:r>
          </w:p>
        </w:tc>
        <w:tc>
          <w:tcPr>
            <w:tcW w:w="1947" w:type="dxa"/>
            <w:tcBorders>
              <w:top w:val="single" w:sz="4" w:space="0" w:color="000000"/>
              <w:start w:val="single" w:sz="4" w:space="0" w:color="000000"/>
              <w:bottom w:val="single" w:sz="4" w:space="0" w:color="000000"/>
              <w:end w:val="single" w:sz="4" w:space="0" w:color="000000"/>
            </w:tcBorders>
          </w:tcPr>
          <w:p>
            <w:pPr>
              <w:pStyle w:val="TableContents"/>
              <w:rPr/>
            </w:pPr>
            <w:r>
              <w:rPr/>
            </w:r>
          </w:p>
        </w:tc>
      </w:tr>
      <w:tr>
        <w:trPr/>
        <w:tc>
          <w:tcPr>
            <w:tcW w:w="159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2021</w:t>
            </w:r>
          </w:p>
        </w:tc>
        <w:tc>
          <w:tcPr>
            <w:tcW w:w="548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202,959 / 44,200</w:t>
            </w:r>
          </w:p>
        </w:tc>
        <w:tc>
          <w:tcPr>
            <w:tcW w:w="194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4.59</w:t>
            </w:r>
          </w:p>
        </w:tc>
      </w:tr>
      <w:tr>
        <w:trPr/>
        <w:tc>
          <w:tcPr>
            <w:tcW w:w="159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2022</w:t>
            </w:r>
          </w:p>
        </w:tc>
        <w:tc>
          <w:tcPr>
            <w:tcW w:w="548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226,866 / 51,300</w:t>
            </w:r>
          </w:p>
        </w:tc>
        <w:tc>
          <w:tcPr>
            <w:tcW w:w="194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4.42</w:t>
            </w:r>
          </w:p>
        </w:tc>
      </w:tr>
      <w:tr>
        <w:trPr/>
        <w:tc>
          <w:tcPr>
            <w:tcW w:w="159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2023</w:t>
            </w:r>
          </w:p>
        </w:tc>
        <w:tc>
          <w:tcPr>
            <w:tcW w:w="548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261,299 / 55,400</w:t>
            </w:r>
          </w:p>
        </w:tc>
        <w:tc>
          <w:tcPr>
            <w:tcW w:w="194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4.72</w:t>
            </w:r>
          </w:p>
        </w:tc>
      </w:tr>
      <w:tr>
        <w:trPr/>
        <w:tc>
          <w:tcPr>
            <w:tcW w:w="159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2024</w:t>
            </w:r>
          </w:p>
        </w:tc>
        <w:tc>
          <w:tcPr>
            <w:tcW w:w="548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265,184 / 58,100</w:t>
            </w:r>
          </w:p>
        </w:tc>
        <w:tc>
          <w:tcPr>
            <w:tcW w:w="194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4.56</w:t>
            </w:r>
          </w:p>
        </w:tc>
      </w:tr>
      <w:tr>
        <w:trPr/>
        <w:tc>
          <w:tcPr>
            <w:tcW w:w="159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2025</w:t>
            </w:r>
          </w:p>
        </w:tc>
        <w:tc>
          <w:tcPr>
            <w:tcW w:w="5489" w:type="dxa"/>
            <w:tcBorders>
              <w:start w:val="single" w:sz="4" w:space="0" w:color="000000"/>
              <w:bottom w:val="single" w:sz="4" w:space="0" w:color="000000"/>
            </w:tcBorders>
          </w:tcPr>
          <w:p>
            <w:pPr>
              <w:pStyle w:val="Normal"/>
              <w:bidi w:val="0"/>
              <w:spacing w:lineRule="auto" w:line="360" w:before="0" w:after="200"/>
              <w:jc w:val="both"/>
              <w:rPr/>
            </w:pPr>
            <w:r>
              <w:rPr>
                <w:rFonts w:eastAsia="Times New Roman" w:cs="Times New Roman"/>
                <w:b w:val="false"/>
                <w:bCs w:val="false"/>
                <w:sz w:val="24"/>
                <w:szCs w:val="24"/>
              </w:rPr>
              <w:t>270,671 / 61,000</w:t>
            </w:r>
          </w:p>
        </w:tc>
        <w:tc>
          <w:tcPr>
            <w:tcW w:w="1947" w:type="dxa"/>
            <w:tcBorders>
              <w:start w:val="single" w:sz="4" w:space="0" w:color="000000"/>
              <w:bottom w:val="single" w:sz="4" w:space="0" w:color="000000"/>
              <w:end w:val="single" w:sz="4" w:space="0" w:color="000000"/>
            </w:tcBorders>
          </w:tcPr>
          <w:p>
            <w:pPr>
              <w:pStyle w:val="Normal"/>
              <w:bidi w:val="0"/>
              <w:spacing w:lineRule="auto" w:line="360" w:before="0" w:after="200"/>
              <w:jc w:val="both"/>
              <w:rPr/>
            </w:pPr>
            <w:r>
              <w:rPr>
                <w:rFonts w:eastAsia="Times New Roman" w:cs="Times New Roman"/>
                <w:b w:val="false"/>
                <w:bCs w:val="false"/>
                <w:sz w:val="24"/>
                <w:szCs w:val="24"/>
              </w:rPr>
              <w:t>4.44</w:t>
            </w:r>
          </w:p>
        </w:tc>
      </w:tr>
    </w:tbl>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drawing>
          <wp:anchor distT="0" distB="0" distL="0" distR="0" simplePos="0" relativeHeight="55" behindDoc="0" locked="0" layoutInCell="0" allowOverlap="1">
            <wp:simplePos x="0" y="0"/>
            <wp:positionH relativeFrom="column">
              <wp:posOffset>-222885</wp:posOffset>
            </wp:positionH>
            <wp:positionV relativeFrom="paragraph">
              <wp:posOffset>105410</wp:posOffset>
            </wp:positionV>
            <wp:extent cx="4006215" cy="2252980"/>
            <wp:effectExtent l="0" t="0" r="0" b="0"/>
            <wp:wrapTopAndBottom/>
            <wp:docPr id="11" name="Object9"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anchor>
        </w:drawing>
      </w:r>
    </w:p>
    <w:p>
      <w:pPr>
        <w:pStyle w:val="BodyText"/>
        <w:bidi w:val="0"/>
        <w:spacing w:before="0" w:after="140"/>
        <w:ind w:hanging="0" w:start="0" w:end="0"/>
        <w:jc w:val="start"/>
        <w:rPr>
          <w:rFonts w:eastAsia="Times New Roman" w:cs="Times New Roman"/>
          <w:sz w:val="24"/>
          <w:szCs w:val="24"/>
        </w:rPr>
      </w:pPr>
      <w:r>
        <w:rPr>
          <w:rFonts w:eastAsia="Times New Roman" w:cs="Times New Roman"/>
          <w:sz w:val="24"/>
          <w:szCs w:val="24"/>
        </w:rPr>
        <w:drawing>
          <wp:anchor distT="0" distB="0" distL="0" distR="0" simplePos="0" relativeHeight="54" behindDoc="0" locked="0" layoutInCell="0" allowOverlap="1">
            <wp:simplePos x="0" y="0"/>
            <wp:positionH relativeFrom="column">
              <wp:posOffset>2117090</wp:posOffset>
            </wp:positionH>
            <wp:positionV relativeFrom="paragraph">
              <wp:posOffset>-34925</wp:posOffset>
            </wp:positionV>
            <wp:extent cx="3897630" cy="2193290"/>
            <wp:effectExtent l="0" t="0" r="0" b="0"/>
            <wp:wrapTopAndBottom/>
            <wp:docPr id="12" name="Object18"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anchor>
        </w:drawing>
      </w:r>
    </w:p>
    <w:p>
      <w:pPr>
        <w:pStyle w:val="BodyText"/>
        <w:bidi w:val="0"/>
        <w:spacing w:before="0" w:after="140"/>
        <w:ind w:hanging="0" w:start="0" w:end="0"/>
        <w:jc w:val="start"/>
        <w:rPr>
          <w:rFonts w:eastAsia="Times New Roman" w:cs="Times New Roman"/>
          <w:sz w:val="24"/>
          <w:szCs w:val="24"/>
        </w:rPr>
      </w:pPr>
      <w:r>
        <w:rPr>
          <w:rFonts w:eastAsia="Times New Roman" w:cs="Times New Roman"/>
          <w:sz w:val="24"/>
          <w:szCs w:val="24"/>
        </w:rPr>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b/>
          <w:bCs/>
          <w:sz w:val="24"/>
          <w:szCs w:val="24"/>
        </w:rPr>
        <w:t>Receivable Turnover Ratio:</w:t>
      </w:r>
      <w:r>
        <w:rPr>
          <w:rFonts w:eastAsia="Times New Roman" w:cs="Times New Roman"/>
          <w:sz w:val="24"/>
          <w:szCs w:val="24"/>
        </w:rPr>
        <w:t xml:space="preserve"> </w:t>
      </w:r>
    </w:p>
    <w:tbl>
      <w:tblPr>
        <w:tblW w:w="5000" w:type="pct"/>
        <w:jc w:val="start"/>
        <w:tblInd w:w="-5" w:type="dxa"/>
        <w:tblLayout w:type="fixed"/>
        <w:tblCellMar>
          <w:top w:w="55" w:type="dxa"/>
          <w:start w:w="55" w:type="dxa"/>
          <w:bottom w:w="55" w:type="dxa"/>
          <w:end w:w="55" w:type="dxa"/>
        </w:tblCellMar>
      </w:tblPr>
      <w:tblGrid>
        <w:gridCol w:w="1319"/>
        <w:gridCol w:w="6300"/>
        <w:gridCol w:w="1407"/>
      </w:tblGrid>
      <w:tr>
        <w:trPr/>
        <w:tc>
          <w:tcPr>
            <w:tcW w:w="1319" w:type="dxa"/>
            <w:tcBorders>
              <w:top w:val="single" w:sz="4" w:space="0" w:color="000000"/>
              <w:start w:val="single" w:sz="4" w:space="0" w:color="000000"/>
              <w:bottom w:val="single" w:sz="4" w:space="0" w:color="000000"/>
            </w:tcBorders>
          </w:tcPr>
          <w:p>
            <w:pPr>
              <w:pStyle w:val="TableContents"/>
              <w:rPr/>
            </w:pPr>
            <w:r>
              <w:rPr/>
            </w:r>
          </w:p>
        </w:tc>
        <w:tc>
          <w:tcPr>
            <w:tcW w:w="6300" w:type="dxa"/>
            <w:tcBorders>
              <w:top w:val="single" w:sz="4" w:space="0" w:color="000000"/>
              <w:start w:val="single" w:sz="4" w:space="0" w:color="000000"/>
              <w:bottom w:val="single" w:sz="4" w:space="0" w:color="000000"/>
            </w:tcBorders>
          </w:tcPr>
          <w:p>
            <w:pPr>
              <w:pStyle w:val="Normal"/>
              <w:bidi w:val="0"/>
              <w:spacing w:lineRule="auto" w:line="360" w:before="0" w:after="200"/>
              <w:jc w:val="center"/>
              <w:rPr>
                <w:b/>
                <w:bCs/>
                <w:sz w:val="24"/>
                <w:szCs w:val="24"/>
              </w:rPr>
            </w:pPr>
            <w:r>
              <w:rPr>
                <w:rFonts w:eastAsia="Times New Roman" w:cs="Times New Roman"/>
                <w:b/>
                <w:bCs/>
                <w:sz w:val="24"/>
                <w:szCs w:val="24"/>
              </w:rPr>
              <w:t>Receivable Turnover Ratio = Net sales / Account receivable</w:t>
            </w:r>
          </w:p>
        </w:tc>
        <w:tc>
          <w:tcPr>
            <w:tcW w:w="1407" w:type="dxa"/>
            <w:tcBorders>
              <w:top w:val="single" w:sz="4" w:space="0" w:color="000000"/>
              <w:start w:val="single" w:sz="4" w:space="0" w:color="000000"/>
              <w:bottom w:val="single" w:sz="4" w:space="0" w:color="000000"/>
              <w:end w:val="single" w:sz="4" w:space="0" w:color="000000"/>
            </w:tcBorders>
          </w:tcPr>
          <w:p>
            <w:pPr>
              <w:pStyle w:val="TableContents"/>
              <w:rPr/>
            </w:pPr>
            <w:r>
              <w:rPr/>
            </w:r>
          </w:p>
        </w:tc>
      </w:tr>
      <w:tr>
        <w:trPr/>
        <w:tc>
          <w:tcPr>
            <w:tcW w:w="131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2021</w:t>
            </w:r>
          </w:p>
        </w:tc>
        <w:tc>
          <w:tcPr>
            <w:tcW w:w="630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 xml:space="preserve">250,200 / 18,100 </w:t>
            </w:r>
          </w:p>
        </w:tc>
        <w:tc>
          <w:tcPr>
            <w:tcW w:w="140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13.82</w:t>
            </w:r>
          </w:p>
        </w:tc>
      </w:tr>
      <w:tr>
        <w:trPr/>
        <w:tc>
          <w:tcPr>
            <w:tcW w:w="131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2022</w:t>
            </w:r>
          </w:p>
        </w:tc>
        <w:tc>
          <w:tcPr>
            <w:tcW w:w="630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250,200 / 18,100</w:t>
            </w:r>
          </w:p>
        </w:tc>
        <w:tc>
          <w:tcPr>
            <w:tcW w:w="140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12.99</w:t>
            </w:r>
          </w:p>
        </w:tc>
      </w:tr>
      <w:tr>
        <w:trPr/>
        <w:tc>
          <w:tcPr>
            <w:tcW w:w="131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2023</w:t>
            </w:r>
          </w:p>
        </w:tc>
        <w:tc>
          <w:tcPr>
            <w:tcW w:w="630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 xml:space="preserve">322,284 / 24,100 </w:t>
            </w:r>
          </w:p>
        </w:tc>
        <w:tc>
          <w:tcPr>
            <w:tcW w:w="140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13.37</w:t>
            </w:r>
          </w:p>
        </w:tc>
      </w:tr>
      <w:tr>
        <w:trPr/>
        <w:tc>
          <w:tcPr>
            <w:tcW w:w="131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2024</w:t>
            </w:r>
          </w:p>
        </w:tc>
        <w:tc>
          <w:tcPr>
            <w:tcW w:w="630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324,656 / 26,300</w:t>
            </w:r>
          </w:p>
        </w:tc>
        <w:tc>
          <w:tcPr>
            <w:tcW w:w="140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12.34</w:t>
            </w:r>
          </w:p>
        </w:tc>
      </w:tr>
      <w:tr>
        <w:trPr/>
        <w:tc>
          <w:tcPr>
            <w:tcW w:w="131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2025</w:t>
            </w:r>
          </w:p>
        </w:tc>
        <w:tc>
          <w:tcPr>
            <w:tcW w:w="630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color w:val="000000"/>
                <w:sz w:val="24"/>
                <w:szCs w:val="24"/>
              </w:rPr>
              <w:t xml:space="preserve">321,913 / 28,400 </w:t>
            </w:r>
          </w:p>
        </w:tc>
        <w:tc>
          <w:tcPr>
            <w:tcW w:w="140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color w:val="000000"/>
                <w:sz w:val="24"/>
                <w:szCs w:val="24"/>
              </w:rPr>
              <w:t>11.33</w:t>
            </w:r>
          </w:p>
        </w:tc>
      </w:tr>
    </w:tbl>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drawing>
          <wp:anchor distT="0" distB="0" distL="0" distR="0" simplePos="0" relativeHeight="53" behindDoc="0" locked="0" layoutInCell="0" allowOverlap="1">
            <wp:simplePos x="0" y="0"/>
            <wp:positionH relativeFrom="column">
              <wp:align>center</wp:align>
            </wp:positionH>
            <wp:positionV relativeFrom="paragraph">
              <wp:posOffset>635</wp:posOffset>
            </wp:positionV>
            <wp:extent cx="4453890" cy="2505710"/>
            <wp:effectExtent l="0" t="0" r="0" b="0"/>
            <wp:wrapTopAndBottom/>
            <wp:docPr id="13" name="Object8"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anchor>
        </w:drawing>
      </w:r>
    </w:p>
    <w:p>
      <w:pPr>
        <w:pStyle w:val="BodyText"/>
        <w:bidi w:val="0"/>
        <w:spacing w:before="0" w:after="140"/>
        <w:ind w:hanging="0" w:start="0" w:end="0"/>
        <w:jc w:val="start"/>
        <w:rPr>
          <w:rFonts w:eastAsia="Times New Roman" w:cs="Times New Roman"/>
          <w:sz w:val="24"/>
          <w:szCs w:val="24"/>
        </w:rPr>
      </w:pPr>
      <w:r>
        <w:rPr>
          <w:rFonts w:eastAsia="Times New Roman" w:cs="Times New Roman"/>
          <w:sz w:val="24"/>
          <w:szCs w:val="24"/>
        </w:rPr>
        <w:drawing>
          <wp:anchor distT="0" distB="0" distL="0" distR="0" simplePos="0" relativeHeight="52" behindDoc="0" locked="0" layoutInCell="0" allowOverlap="1">
            <wp:simplePos x="0" y="0"/>
            <wp:positionH relativeFrom="column">
              <wp:align>center</wp:align>
            </wp:positionH>
            <wp:positionV relativeFrom="paragraph">
              <wp:posOffset>635</wp:posOffset>
            </wp:positionV>
            <wp:extent cx="4359275" cy="2451735"/>
            <wp:effectExtent l="0" t="0" r="0" b="0"/>
            <wp:wrapTopAndBottom/>
            <wp:docPr id="14" name="Object19"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anchor>
        </w:drawing>
      </w:r>
    </w:p>
    <w:p>
      <w:pPr>
        <w:pStyle w:val="BodyText"/>
        <w:bidi w:val="0"/>
        <w:spacing w:before="0" w:after="140"/>
        <w:ind w:hanging="0" w:start="0" w:end="0"/>
        <w:jc w:val="start"/>
        <w:rPr>
          <w:rFonts w:eastAsia="Times New Roman" w:cs="Times New Roman"/>
          <w:sz w:val="24"/>
          <w:szCs w:val="24"/>
        </w:rPr>
      </w:pPr>
      <w:r>
        <w:rPr>
          <w:rFonts w:eastAsia="Times New Roman" w:cs="Times New Roman"/>
          <w:sz w:val="24"/>
          <w:szCs w:val="24"/>
        </w:rPr>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4) Gearning</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b/>
          <w:bCs/>
          <w:sz w:val="24"/>
          <w:szCs w:val="24"/>
        </w:rPr>
        <w:t>Debt to Equity Ratio:</w:t>
      </w:r>
      <w:r>
        <w:rPr>
          <w:rFonts w:eastAsia="Times New Roman" w:cs="Times New Roman"/>
          <w:sz w:val="24"/>
          <w:szCs w:val="24"/>
        </w:rPr>
        <w:t xml:space="preserve"> </w:t>
      </w:r>
    </w:p>
    <w:tbl>
      <w:tblPr>
        <w:tblW w:w="5000" w:type="pct"/>
        <w:jc w:val="start"/>
        <w:tblInd w:w="-5" w:type="dxa"/>
        <w:tblLayout w:type="fixed"/>
        <w:tblCellMar>
          <w:top w:w="55" w:type="dxa"/>
          <w:start w:w="55" w:type="dxa"/>
          <w:bottom w:w="55" w:type="dxa"/>
          <w:end w:w="55" w:type="dxa"/>
        </w:tblCellMar>
      </w:tblPr>
      <w:tblGrid>
        <w:gridCol w:w="1590"/>
        <w:gridCol w:w="5489"/>
        <w:gridCol w:w="1947"/>
      </w:tblGrid>
      <w:tr>
        <w:trPr/>
        <w:tc>
          <w:tcPr>
            <w:tcW w:w="1590" w:type="dxa"/>
            <w:tcBorders>
              <w:top w:val="single" w:sz="4" w:space="0" w:color="000000"/>
              <w:start w:val="single" w:sz="4" w:space="0" w:color="000000"/>
              <w:bottom w:val="single" w:sz="4" w:space="0" w:color="000000"/>
            </w:tcBorders>
          </w:tcPr>
          <w:p>
            <w:pPr>
              <w:pStyle w:val="TableContents"/>
              <w:rPr/>
            </w:pPr>
            <w:r>
              <w:rPr/>
            </w:r>
          </w:p>
        </w:tc>
        <w:tc>
          <w:tcPr>
            <w:tcW w:w="5489" w:type="dxa"/>
            <w:tcBorders>
              <w:top w:val="single" w:sz="4" w:space="0" w:color="000000"/>
              <w:start w:val="single" w:sz="4" w:space="0" w:color="000000"/>
              <w:bottom w:val="single" w:sz="4" w:space="0" w:color="000000"/>
            </w:tcBorders>
          </w:tcPr>
          <w:p>
            <w:pPr>
              <w:pStyle w:val="Normal"/>
              <w:bidi w:val="0"/>
              <w:spacing w:lineRule="auto" w:line="360" w:before="0" w:after="200"/>
              <w:jc w:val="center"/>
              <w:rPr>
                <w:b/>
                <w:bCs/>
                <w:sz w:val="24"/>
                <w:szCs w:val="24"/>
              </w:rPr>
            </w:pPr>
            <w:r>
              <w:rPr>
                <w:rFonts w:eastAsia="Times New Roman" w:cs="Times New Roman"/>
                <w:b/>
                <w:bCs/>
                <w:sz w:val="24"/>
                <w:szCs w:val="24"/>
              </w:rPr>
              <w:t>Total Liabilities / Shareholders Equity</w:t>
            </w:r>
          </w:p>
        </w:tc>
        <w:tc>
          <w:tcPr>
            <w:tcW w:w="1947" w:type="dxa"/>
            <w:tcBorders>
              <w:top w:val="single" w:sz="4" w:space="0" w:color="000000"/>
              <w:start w:val="single" w:sz="4" w:space="0" w:color="000000"/>
              <w:bottom w:val="single" w:sz="4" w:space="0" w:color="000000"/>
              <w:end w:val="single" w:sz="4" w:space="0" w:color="000000"/>
            </w:tcBorders>
          </w:tcPr>
          <w:p>
            <w:pPr>
              <w:pStyle w:val="TableContents"/>
              <w:rPr/>
            </w:pPr>
            <w:r>
              <w:rPr/>
            </w:r>
          </w:p>
        </w:tc>
      </w:tr>
      <w:tr>
        <w:trPr/>
        <w:tc>
          <w:tcPr>
            <w:tcW w:w="159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2021</w:t>
            </w:r>
          </w:p>
        </w:tc>
        <w:tc>
          <w:tcPr>
            <w:tcW w:w="548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382,455 / 146,154</w:t>
            </w:r>
          </w:p>
        </w:tc>
        <w:tc>
          <w:tcPr>
            <w:tcW w:w="194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2.62</w:t>
            </w:r>
          </w:p>
        </w:tc>
      </w:tr>
      <w:tr>
        <w:trPr/>
        <w:tc>
          <w:tcPr>
            <w:tcW w:w="159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2022</w:t>
            </w:r>
          </w:p>
        </w:tc>
        <w:tc>
          <w:tcPr>
            <w:tcW w:w="548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385,685 / 178,328</w:t>
            </w:r>
          </w:p>
        </w:tc>
        <w:tc>
          <w:tcPr>
            <w:tcW w:w="194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2.16</w:t>
            </w:r>
          </w:p>
        </w:tc>
      </w:tr>
      <w:tr>
        <w:trPr/>
        <w:tc>
          <w:tcPr>
            <w:tcW w:w="159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2023</w:t>
            </w:r>
          </w:p>
        </w:tc>
        <w:tc>
          <w:tcPr>
            <w:tcW w:w="548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 xml:space="preserve">411,463 / 189,186 </w:t>
            </w:r>
          </w:p>
        </w:tc>
        <w:tc>
          <w:tcPr>
            <w:tcW w:w="194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2.17</w:t>
            </w:r>
          </w:p>
        </w:tc>
      </w:tr>
      <w:tr>
        <w:trPr/>
        <w:tc>
          <w:tcPr>
            <w:tcW w:w="159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2024</w:t>
            </w:r>
          </w:p>
        </w:tc>
        <w:tc>
          <w:tcPr>
            <w:tcW w:w="548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 xml:space="preserve"> </w:t>
            </w:r>
            <w:r>
              <w:rPr>
                <w:rFonts w:eastAsia="Times New Roman" w:cs="Times New Roman"/>
                <w:sz w:val="24"/>
                <w:szCs w:val="24"/>
              </w:rPr>
              <w:t xml:space="preserve">436,174 / 196,731 </w:t>
            </w:r>
          </w:p>
        </w:tc>
        <w:tc>
          <w:tcPr>
            <w:tcW w:w="194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2.22</w:t>
            </w:r>
          </w:p>
        </w:tc>
      </w:tr>
      <w:tr>
        <w:trPr/>
        <w:tc>
          <w:tcPr>
            <w:tcW w:w="159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2025</w:t>
            </w:r>
          </w:p>
        </w:tc>
        <w:tc>
          <w:tcPr>
            <w:tcW w:w="5489" w:type="dxa"/>
            <w:tcBorders>
              <w:start w:val="single" w:sz="4" w:space="0" w:color="000000"/>
              <w:bottom w:val="single" w:sz="4" w:space="0" w:color="000000"/>
            </w:tcBorders>
          </w:tcPr>
          <w:p>
            <w:pPr>
              <w:pStyle w:val="Normal"/>
              <w:bidi w:val="0"/>
              <w:spacing w:lineRule="auto" w:line="360" w:before="0" w:after="200"/>
              <w:jc w:val="both"/>
              <w:rPr>
                <w:sz w:val="24"/>
                <w:szCs w:val="24"/>
              </w:rPr>
            </w:pPr>
            <w:r>
              <w:rPr>
                <w:rFonts w:eastAsia="Times New Roman" w:cs="Times New Roman"/>
                <w:color w:val="000000"/>
                <w:sz w:val="24"/>
                <w:szCs w:val="24"/>
              </w:rPr>
              <w:t>448,500 / 202,400</w:t>
            </w:r>
          </w:p>
        </w:tc>
        <w:tc>
          <w:tcPr>
            <w:tcW w:w="194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2.22</w:t>
            </w:r>
          </w:p>
        </w:tc>
      </w:tr>
    </w:tbl>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drawing>
          <wp:anchor distT="0" distB="0" distL="0" distR="0" simplePos="0" relativeHeight="51" behindDoc="0" locked="0" layoutInCell="0" allowOverlap="1">
            <wp:simplePos x="0" y="0"/>
            <wp:positionH relativeFrom="column">
              <wp:posOffset>-230505</wp:posOffset>
            </wp:positionH>
            <wp:positionV relativeFrom="paragraph">
              <wp:posOffset>100330</wp:posOffset>
            </wp:positionV>
            <wp:extent cx="4149090" cy="2333625"/>
            <wp:effectExtent l="0" t="0" r="0" b="0"/>
            <wp:wrapTopAndBottom/>
            <wp:docPr id="15" name="Object7"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anchor>
        </w:drawing>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drawing>
          <wp:anchor distT="0" distB="0" distL="0" distR="0" simplePos="0" relativeHeight="50" behindDoc="0" locked="0" layoutInCell="0" allowOverlap="1">
            <wp:simplePos x="0" y="0"/>
            <wp:positionH relativeFrom="column">
              <wp:posOffset>2063115</wp:posOffset>
            </wp:positionH>
            <wp:positionV relativeFrom="paragraph">
              <wp:posOffset>-100330</wp:posOffset>
            </wp:positionV>
            <wp:extent cx="3694430" cy="2077720"/>
            <wp:effectExtent l="0" t="0" r="0" b="0"/>
            <wp:wrapTopAndBottom/>
            <wp:docPr id="16" name="Object20"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anchor>
        </w:drawing>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b/>
          <w:bCs/>
          <w:sz w:val="24"/>
          <w:szCs w:val="24"/>
        </w:rPr>
        <w:t>Interest Coverage Ratio:</w:t>
      </w:r>
    </w:p>
    <w:tbl>
      <w:tblPr>
        <w:tblW w:w="5000" w:type="pct"/>
        <w:jc w:val="start"/>
        <w:tblInd w:w="-5" w:type="dxa"/>
        <w:tblLayout w:type="fixed"/>
        <w:tblCellMar>
          <w:top w:w="55" w:type="dxa"/>
          <w:start w:w="55" w:type="dxa"/>
          <w:bottom w:w="55" w:type="dxa"/>
          <w:end w:w="55" w:type="dxa"/>
        </w:tblCellMar>
      </w:tblPr>
      <w:tblGrid>
        <w:gridCol w:w="1590"/>
        <w:gridCol w:w="5489"/>
        <w:gridCol w:w="1947"/>
      </w:tblGrid>
      <w:tr>
        <w:trPr/>
        <w:tc>
          <w:tcPr>
            <w:tcW w:w="1590" w:type="dxa"/>
            <w:tcBorders>
              <w:top w:val="single" w:sz="4" w:space="0" w:color="000000"/>
              <w:start w:val="single" w:sz="4" w:space="0" w:color="000000"/>
              <w:bottom w:val="single" w:sz="4" w:space="0" w:color="000000"/>
            </w:tcBorders>
          </w:tcPr>
          <w:p>
            <w:pPr>
              <w:pStyle w:val="TableContents"/>
              <w:rPr/>
            </w:pPr>
            <w:r>
              <w:rPr/>
            </w:r>
          </w:p>
        </w:tc>
        <w:tc>
          <w:tcPr>
            <w:tcW w:w="5489" w:type="dxa"/>
            <w:tcBorders>
              <w:top w:val="single" w:sz="4" w:space="0" w:color="000000"/>
              <w:start w:val="single" w:sz="4" w:space="0" w:color="000000"/>
              <w:bottom w:val="single" w:sz="4" w:space="0" w:color="000000"/>
            </w:tcBorders>
          </w:tcPr>
          <w:p>
            <w:pPr>
              <w:pStyle w:val="Normal"/>
              <w:bidi w:val="0"/>
              <w:spacing w:lineRule="auto" w:line="360" w:before="0" w:after="200"/>
              <w:jc w:val="center"/>
              <w:rPr>
                <w:b/>
                <w:bCs/>
                <w:sz w:val="24"/>
                <w:szCs w:val="24"/>
              </w:rPr>
            </w:pPr>
            <w:r>
              <w:rPr>
                <w:rFonts w:eastAsia="Times New Roman" w:cs="Times New Roman"/>
                <w:b/>
                <w:bCs/>
                <w:sz w:val="24"/>
                <w:szCs w:val="24"/>
              </w:rPr>
              <w:t>Operating income / Interest expense</w:t>
            </w:r>
          </w:p>
        </w:tc>
        <w:tc>
          <w:tcPr>
            <w:tcW w:w="1947" w:type="dxa"/>
            <w:tcBorders>
              <w:top w:val="single" w:sz="4" w:space="0" w:color="000000"/>
              <w:start w:val="single" w:sz="4" w:space="0" w:color="000000"/>
              <w:bottom w:val="single" w:sz="4" w:space="0" w:color="000000"/>
              <w:end w:val="single" w:sz="4" w:space="0" w:color="000000"/>
            </w:tcBorders>
          </w:tcPr>
          <w:p>
            <w:pPr>
              <w:pStyle w:val="TableContents"/>
              <w:rPr/>
            </w:pPr>
            <w:r>
              <w:rPr/>
            </w:r>
          </w:p>
        </w:tc>
      </w:tr>
      <w:tr>
        <w:trPr/>
        <w:tc>
          <w:tcPr>
            <w:tcW w:w="159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2021</w:t>
            </w:r>
          </w:p>
        </w:tc>
        <w:tc>
          <w:tcPr>
            <w:tcW w:w="548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(19,275 / 1,304) × 100</w:t>
            </w:r>
          </w:p>
        </w:tc>
        <w:tc>
          <w:tcPr>
            <w:tcW w:w="194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14.78%</w:t>
            </w:r>
          </w:p>
        </w:tc>
      </w:tr>
      <w:tr>
        <w:trPr/>
        <w:tc>
          <w:tcPr>
            <w:tcW w:w="159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2022</w:t>
            </w:r>
          </w:p>
        </w:tc>
        <w:tc>
          <w:tcPr>
            <w:tcW w:w="548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(22,124 / 1,842) × 100</w:t>
            </w:r>
          </w:p>
        </w:tc>
        <w:tc>
          <w:tcPr>
            <w:tcW w:w="194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12.01%</w:t>
            </w:r>
          </w:p>
        </w:tc>
      </w:tr>
      <w:tr>
        <w:trPr/>
        <w:tc>
          <w:tcPr>
            <w:tcW w:w="159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2023</w:t>
            </w:r>
          </w:p>
        </w:tc>
        <w:tc>
          <w:tcPr>
            <w:tcW w:w="548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 xml:space="preserve">(22,576 / 3,640) × 100 </w:t>
            </w:r>
          </w:p>
        </w:tc>
        <w:tc>
          <w:tcPr>
            <w:tcW w:w="194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6.20%</w:t>
            </w:r>
          </w:p>
        </w:tc>
      </w:tr>
      <w:tr>
        <w:trPr/>
        <w:tc>
          <w:tcPr>
            <w:tcW w:w="159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2024</w:t>
            </w:r>
          </w:p>
        </w:tc>
        <w:tc>
          <w:tcPr>
            <w:tcW w:w="548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(19,060 / 3,446) × 100</w:t>
            </w:r>
          </w:p>
        </w:tc>
        <w:tc>
          <w:tcPr>
            <w:tcW w:w="194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5.53%</w:t>
            </w:r>
          </w:p>
        </w:tc>
      </w:tr>
      <w:tr>
        <w:trPr/>
        <w:tc>
          <w:tcPr>
            <w:tcW w:w="159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2025</w:t>
            </w:r>
          </w:p>
        </w:tc>
        <w:tc>
          <w:tcPr>
            <w:tcW w:w="548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w:t>
            </w:r>
            <w:r>
              <w:rPr>
                <w:rFonts w:eastAsia="Times New Roman" w:cs="Times New Roman"/>
                <w:color w:val="000000"/>
                <w:sz w:val="24"/>
                <w:szCs w:val="24"/>
              </w:rPr>
              <w:t>8,868 / 3,245</w:t>
            </w:r>
            <w:r>
              <w:rPr>
                <w:rFonts w:eastAsia="Times New Roman" w:cs="Times New Roman"/>
                <w:sz w:val="24"/>
                <w:szCs w:val="24"/>
              </w:rPr>
              <w:t xml:space="preserve">) × 100 </w:t>
            </w:r>
          </w:p>
        </w:tc>
        <w:tc>
          <w:tcPr>
            <w:tcW w:w="194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color w:val="000000"/>
                <w:sz w:val="24"/>
                <w:szCs w:val="24"/>
              </w:rPr>
              <w:t xml:space="preserve"> </w:t>
            </w:r>
            <w:r>
              <w:rPr>
                <w:rFonts w:eastAsia="Times New Roman" w:cs="Times New Roman"/>
                <w:color w:val="000000"/>
                <w:sz w:val="24"/>
                <w:szCs w:val="24"/>
              </w:rPr>
              <w:t>2.73</w:t>
            </w:r>
            <w:r>
              <w:rPr>
                <w:rFonts w:eastAsia="Times New Roman" w:cs="Times New Roman"/>
                <w:sz w:val="24"/>
                <w:szCs w:val="24"/>
              </w:rPr>
              <w:t>%</w:t>
            </w:r>
          </w:p>
        </w:tc>
      </w:tr>
    </w:tbl>
    <w:p>
      <w:pPr>
        <w:pStyle w:val="Normal"/>
        <w:bidi w:val="0"/>
        <w:spacing w:lineRule="auto" w:line="360" w:before="0" w:after="200"/>
        <w:jc w:val="both"/>
        <w:rPr/>
      </w:pPr>
      <w:r>
        <w:rPr/>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drawing>
          <wp:anchor distT="0" distB="0" distL="0" distR="0" simplePos="0" relativeHeight="49" behindDoc="0" locked="0" layoutInCell="0" allowOverlap="1">
            <wp:simplePos x="0" y="0"/>
            <wp:positionH relativeFrom="column">
              <wp:posOffset>-233045</wp:posOffset>
            </wp:positionH>
            <wp:positionV relativeFrom="paragraph">
              <wp:posOffset>-46990</wp:posOffset>
            </wp:positionV>
            <wp:extent cx="4789805" cy="2694940"/>
            <wp:effectExtent l="0" t="0" r="0" b="0"/>
            <wp:wrapTopAndBottom/>
            <wp:docPr id="17" name="Object6"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anchor>
        </w:drawing>
      </w:r>
    </w:p>
    <w:p>
      <w:pPr>
        <w:pStyle w:val="BodyText"/>
        <w:bidi w:val="0"/>
        <w:spacing w:before="0" w:after="140"/>
        <w:ind w:hanging="0" w:start="0" w:end="0"/>
        <w:jc w:val="start"/>
        <w:rPr>
          <w:rFonts w:eastAsia="Times New Roman" w:cs="Times New Roman"/>
          <w:sz w:val="24"/>
          <w:szCs w:val="24"/>
        </w:rPr>
      </w:pPr>
      <w:r>
        <w:rPr>
          <w:rFonts w:eastAsia="Times New Roman" w:cs="Times New Roman"/>
          <w:sz w:val="24"/>
          <w:szCs w:val="24"/>
        </w:rPr>
        <w:drawing>
          <wp:anchor distT="0" distB="0" distL="0" distR="0" simplePos="0" relativeHeight="48" behindDoc="0" locked="0" layoutInCell="0" allowOverlap="1">
            <wp:simplePos x="0" y="0"/>
            <wp:positionH relativeFrom="column">
              <wp:posOffset>1510030</wp:posOffset>
            </wp:positionH>
            <wp:positionV relativeFrom="paragraph">
              <wp:posOffset>10160</wp:posOffset>
            </wp:positionV>
            <wp:extent cx="4205605" cy="2364740"/>
            <wp:effectExtent l="0" t="0" r="0" b="0"/>
            <wp:wrapTopAndBottom/>
            <wp:docPr id="18" name="Object21"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anchor>
        </w:drawing>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5) Investment</w:t>
      </w:r>
    </w:p>
    <w:p>
      <w:pPr>
        <w:pStyle w:val="Normal"/>
        <w:bidi w:val="0"/>
        <w:spacing w:lineRule="auto" w:line="360" w:before="0" w:after="200"/>
        <w:jc w:val="both"/>
        <w:rPr/>
      </w:pPr>
      <w:r>
        <w:rPr>
          <w:rFonts w:eastAsia="Times New Roman" w:cs="Times New Roman"/>
          <w:b/>
          <w:bCs/>
          <w:sz w:val="24"/>
          <w:szCs w:val="24"/>
        </w:rPr>
        <w:t>Earnings per Share:</w:t>
      </w:r>
      <w:r>
        <w:rPr>
          <w:rFonts w:eastAsia="Times New Roman" w:cs="Times New Roman"/>
          <w:sz w:val="24"/>
          <w:szCs w:val="24"/>
        </w:rPr>
        <w:t xml:space="preserve"> </w:t>
      </w:r>
    </w:p>
    <w:tbl>
      <w:tblPr>
        <w:tblW w:w="5000" w:type="pct"/>
        <w:jc w:val="start"/>
        <w:tblInd w:w="-5" w:type="dxa"/>
        <w:tblLayout w:type="fixed"/>
        <w:tblCellMar>
          <w:top w:w="55" w:type="dxa"/>
          <w:start w:w="55" w:type="dxa"/>
          <w:bottom w:w="55" w:type="dxa"/>
          <w:end w:w="55" w:type="dxa"/>
        </w:tblCellMar>
      </w:tblPr>
      <w:tblGrid>
        <w:gridCol w:w="1504"/>
        <w:gridCol w:w="1504"/>
        <w:gridCol w:w="1504"/>
        <w:gridCol w:w="1505"/>
        <w:gridCol w:w="1504"/>
        <w:gridCol w:w="1505"/>
      </w:tblGrid>
      <w:tr>
        <w:trPr/>
        <w:tc>
          <w:tcPr>
            <w:tcW w:w="1504" w:type="dxa"/>
            <w:tcBorders>
              <w:top w:val="single" w:sz="4" w:space="0" w:color="000000"/>
              <w:start w:val="single" w:sz="4" w:space="0" w:color="000000"/>
              <w:bottom w:val="single" w:sz="4" w:space="0" w:color="000000"/>
            </w:tcBorders>
          </w:tcPr>
          <w:p>
            <w:pPr>
              <w:pStyle w:val="TableContents"/>
              <w:rPr>
                <w:rFonts w:ascii="Arial" w:hAnsi="Arial"/>
                <w:b/>
                <w:bCs/>
              </w:rPr>
            </w:pPr>
            <w:r>
              <w:rPr>
                <w:b/>
                <w:bCs/>
              </w:rPr>
              <w:t>Particulars</w:t>
            </w:r>
          </w:p>
        </w:tc>
        <w:tc>
          <w:tcPr>
            <w:tcW w:w="1504" w:type="dxa"/>
            <w:tcBorders>
              <w:top w:val="single" w:sz="4" w:space="0" w:color="000000"/>
              <w:start w:val="single" w:sz="4" w:space="0" w:color="000000"/>
              <w:bottom w:val="single" w:sz="4" w:space="0" w:color="000000"/>
            </w:tcBorders>
          </w:tcPr>
          <w:p>
            <w:pPr>
              <w:pStyle w:val="Normal"/>
              <w:spacing w:lineRule="auto" w:line="240"/>
              <w:jc w:val="center"/>
              <w:rPr>
                <w:rFonts w:ascii="Arial" w:hAnsi="Arial"/>
              </w:rPr>
            </w:pPr>
            <w:r>
              <w:rPr>
                <w:rFonts w:eastAsia="Times New Roman" w:cs="Times New Roman"/>
                <w:b/>
                <w:bCs/>
                <w:color w:val="000000"/>
                <w:sz w:val="24"/>
                <w:szCs w:val="24"/>
                <w:lang w:val="en-IN"/>
              </w:rPr>
              <w:t xml:space="preserve">2021 </w:t>
            </w:r>
          </w:p>
        </w:tc>
        <w:tc>
          <w:tcPr>
            <w:tcW w:w="1504" w:type="dxa"/>
            <w:tcBorders>
              <w:top w:val="single" w:sz="4" w:space="0" w:color="000000"/>
              <w:start w:val="single" w:sz="4" w:space="0" w:color="000000"/>
              <w:bottom w:val="single" w:sz="4" w:space="0" w:color="000000"/>
            </w:tcBorders>
          </w:tcPr>
          <w:p>
            <w:pPr>
              <w:pStyle w:val="Normal"/>
              <w:spacing w:lineRule="auto" w:line="240"/>
              <w:jc w:val="center"/>
              <w:rPr>
                <w:rFonts w:ascii="Arial" w:hAnsi="Arial"/>
              </w:rPr>
            </w:pPr>
            <w:r>
              <w:rPr>
                <w:rFonts w:eastAsia="Times New Roman" w:cs="Times New Roman"/>
                <w:b/>
                <w:bCs/>
                <w:color w:val="000000"/>
                <w:sz w:val="24"/>
                <w:szCs w:val="24"/>
                <w:lang w:val="en-IN"/>
              </w:rPr>
              <w:t xml:space="preserve">2022 </w:t>
            </w:r>
          </w:p>
        </w:tc>
        <w:tc>
          <w:tcPr>
            <w:tcW w:w="1505" w:type="dxa"/>
            <w:tcBorders>
              <w:top w:val="single" w:sz="4" w:space="0" w:color="000000"/>
              <w:start w:val="single" w:sz="4" w:space="0" w:color="000000"/>
              <w:bottom w:val="single" w:sz="4" w:space="0" w:color="000000"/>
            </w:tcBorders>
          </w:tcPr>
          <w:p>
            <w:pPr>
              <w:pStyle w:val="Normal"/>
              <w:spacing w:lineRule="auto" w:line="240"/>
              <w:jc w:val="center"/>
              <w:rPr>
                <w:rFonts w:ascii="Arial" w:hAnsi="Arial"/>
              </w:rPr>
            </w:pPr>
            <w:r>
              <w:rPr>
                <w:rFonts w:eastAsia="Times New Roman" w:cs="Times New Roman"/>
                <w:b/>
                <w:bCs/>
                <w:color w:val="000000"/>
                <w:sz w:val="24"/>
                <w:szCs w:val="24"/>
                <w:lang w:val="en-IN"/>
              </w:rPr>
              <w:t>2023</w:t>
            </w:r>
          </w:p>
        </w:tc>
        <w:tc>
          <w:tcPr>
            <w:tcW w:w="1504" w:type="dxa"/>
            <w:tcBorders>
              <w:top w:val="single" w:sz="4" w:space="0" w:color="000000"/>
              <w:start w:val="single" w:sz="4" w:space="0" w:color="000000"/>
              <w:bottom w:val="single" w:sz="4" w:space="0" w:color="000000"/>
            </w:tcBorders>
          </w:tcPr>
          <w:p>
            <w:pPr>
              <w:pStyle w:val="Normal"/>
              <w:spacing w:lineRule="auto" w:line="240"/>
              <w:jc w:val="center"/>
              <w:rPr>
                <w:rFonts w:ascii="Arial" w:hAnsi="Arial"/>
              </w:rPr>
            </w:pPr>
            <w:r>
              <w:rPr>
                <w:rFonts w:eastAsia="Times New Roman" w:cs="Times New Roman"/>
                <w:b/>
                <w:bCs/>
                <w:color w:val="000000"/>
                <w:sz w:val="24"/>
                <w:szCs w:val="24"/>
                <w:lang w:val="en-IN"/>
              </w:rPr>
              <w:t>2024</w:t>
            </w:r>
          </w:p>
        </w:tc>
        <w:tc>
          <w:tcPr>
            <w:tcW w:w="1505" w:type="dxa"/>
            <w:tcBorders>
              <w:top w:val="single" w:sz="4" w:space="0" w:color="000000"/>
              <w:start w:val="single" w:sz="4" w:space="0" w:color="000000"/>
              <w:bottom w:val="single" w:sz="4" w:space="0" w:color="000000"/>
              <w:end w:val="single" w:sz="4" w:space="0" w:color="000000"/>
            </w:tcBorders>
          </w:tcPr>
          <w:p>
            <w:pPr>
              <w:pStyle w:val="Normal"/>
              <w:spacing w:lineRule="auto" w:line="240"/>
              <w:jc w:val="center"/>
              <w:rPr>
                <w:rFonts w:ascii="Arial" w:hAnsi="Arial"/>
              </w:rPr>
            </w:pPr>
            <w:r>
              <w:rPr>
                <w:rFonts w:eastAsia="Times New Roman" w:cs="Times New Roman"/>
                <w:b/>
                <w:bCs/>
                <w:color w:val="000000"/>
                <w:sz w:val="24"/>
                <w:szCs w:val="24"/>
                <w:lang w:val="en-IN"/>
              </w:rPr>
              <w:t xml:space="preserve">2025 </w:t>
            </w:r>
          </w:p>
        </w:tc>
      </w:tr>
      <w:tr>
        <w:trPr/>
        <w:tc>
          <w:tcPr>
            <w:tcW w:w="1504" w:type="dxa"/>
            <w:tcBorders>
              <w:start w:val="single" w:sz="4" w:space="0" w:color="000000"/>
              <w:bottom w:val="single" w:sz="4" w:space="0" w:color="000000"/>
            </w:tcBorders>
          </w:tcPr>
          <w:p>
            <w:pPr>
              <w:pStyle w:val="Normal"/>
              <w:rPr>
                <w:b/>
                <w:bCs/>
                <w:color w:val="000000"/>
              </w:rPr>
            </w:pPr>
            <w:r>
              <w:rPr>
                <w:b/>
                <w:bCs/>
                <w:color w:val="000000"/>
              </w:rPr>
              <w:t>Earnings per share</w:t>
            </w:r>
          </w:p>
        </w:tc>
        <w:tc>
          <w:tcPr>
            <w:tcW w:w="1504" w:type="dxa"/>
            <w:tcBorders>
              <w:start w:val="single" w:sz="4" w:space="0" w:color="000000"/>
              <w:bottom w:val="single" w:sz="4" w:space="0" w:color="000000"/>
            </w:tcBorders>
          </w:tcPr>
          <w:p>
            <w:pPr>
              <w:pStyle w:val="Normal"/>
              <w:jc w:val="center"/>
              <w:rPr>
                <w:b/>
                <w:bCs/>
                <w:color w:val="000000"/>
              </w:rPr>
            </w:pPr>
            <w:r>
              <w:rPr>
                <w:b/>
                <w:bCs/>
                <w:color w:val="000000"/>
              </w:rPr>
              <w:t>29.59</w:t>
            </w:r>
          </w:p>
        </w:tc>
        <w:tc>
          <w:tcPr>
            <w:tcW w:w="1504" w:type="dxa"/>
            <w:tcBorders>
              <w:start w:val="single" w:sz="4" w:space="0" w:color="000000"/>
              <w:bottom w:val="single" w:sz="4" w:space="0" w:color="000000"/>
            </w:tcBorders>
          </w:tcPr>
          <w:p>
            <w:pPr>
              <w:pStyle w:val="Normal"/>
              <w:jc w:val="center"/>
              <w:rPr>
                <w:b/>
                <w:bCs/>
                <w:color w:val="000000"/>
              </w:rPr>
            </w:pPr>
            <w:r>
              <w:rPr>
                <w:b/>
                <w:bCs/>
                <w:color w:val="000000"/>
              </w:rPr>
              <w:t>30.01</w:t>
            </w:r>
          </w:p>
        </w:tc>
        <w:tc>
          <w:tcPr>
            <w:tcW w:w="1505" w:type="dxa"/>
            <w:tcBorders>
              <w:start w:val="single" w:sz="4" w:space="0" w:color="000000"/>
              <w:bottom w:val="single" w:sz="4" w:space="0" w:color="000000"/>
            </w:tcBorders>
          </w:tcPr>
          <w:p>
            <w:pPr>
              <w:pStyle w:val="Normal"/>
              <w:jc w:val="center"/>
              <w:rPr>
                <w:b/>
                <w:bCs/>
                <w:color w:val="000000"/>
              </w:rPr>
            </w:pPr>
            <w:r>
              <w:rPr>
                <w:b/>
                <w:bCs/>
                <w:color w:val="000000"/>
              </w:rPr>
              <w:t>31.79</w:t>
            </w:r>
          </w:p>
        </w:tc>
        <w:tc>
          <w:tcPr>
            <w:tcW w:w="1504" w:type="dxa"/>
            <w:tcBorders>
              <w:start w:val="single" w:sz="4" w:space="0" w:color="000000"/>
              <w:bottom w:val="single" w:sz="4" w:space="0" w:color="000000"/>
            </w:tcBorders>
          </w:tcPr>
          <w:p>
            <w:pPr>
              <w:pStyle w:val="Normal"/>
              <w:jc w:val="center"/>
              <w:rPr>
                <w:b/>
                <w:bCs/>
                <w:color w:val="000000"/>
              </w:rPr>
            </w:pPr>
            <w:r>
              <w:rPr>
                <w:b/>
                <w:bCs/>
                <w:color w:val="000000"/>
              </w:rPr>
              <w:t>21.36</w:t>
            </w:r>
          </w:p>
        </w:tc>
        <w:tc>
          <w:tcPr>
            <w:tcW w:w="1505" w:type="dxa"/>
            <w:tcBorders>
              <w:start w:val="single" w:sz="4" w:space="0" w:color="000000"/>
              <w:bottom w:val="single" w:sz="4" w:space="0" w:color="000000"/>
              <w:end w:val="single" w:sz="4" w:space="0" w:color="000000"/>
            </w:tcBorders>
          </w:tcPr>
          <w:p>
            <w:pPr>
              <w:pStyle w:val="Normal"/>
              <w:jc w:val="center"/>
              <w:rPr>
                <w:b/>
                <w:bCs/>
                <w:color w:val="000000"/>
              </w:rPr>
            </w:pPr>
            <w:r>
              <w:rPr>
                <w:b/>
                <w:bCs/>
                <w:color w:val="000000"/>
              </w:rPr>
              <w:t>11.50</w:t>
            </w:r>
          </w:p>
        </w:tc>
      </w:tr>
    </w:tbl>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drawing>
          <wp:anchor distT="0" distB="0" distL="0" distR="0" simplePos="0" relativeHeight="47" behindDoc="0" locked="0" layoutInCell="0" allowOverlap="1">
            <wp:simplePos x="0" y="0"/>
            <wp:positionH relativeFrom="column">
              <wp:align>center</wp:align>
            </wp:positionH>
            <wp:positionV relativeFrom="paragraph">
              <wp:posOffset>635</wp:posOffset>
            </wp:positionV>
            <wp:extent cx="5759450" cy="3239770"/>
            <wp:effectExtent l="0" t="0" r="0" b="0"/>
            <wp:wrapTopAndBottom/>
            <wp:docPr id="19" name="Object12"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anchor>
        </w:drawing>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6) Cashflow</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b/>
          <w:bCs/>
          <w:sz w:val="24"/>
          <w:szCs w:val="24"/>
        </w:rPr>
        <w:t>Operating Cash Flow Margin:</w:t>
      </w:r>
      <w:r>
        <w:rPr>
          <w:rFonts w:eastAsia="Times New Roman" w:cs="Times New Roman"/>
          <w:sz w:val="24"/>
          <w:szCs w:val="24"/>
        </w:rPr>
        <w:t xml:space="preserve"> </w:t>
      </w:r>
    </w:p>
    <w:tbl>
      <w:tblPr>
        <w:tblW w:w="5000" w:type="pct"/>
        <w:jc w:val="start"/>
        <w:tblInd w:w="-5" w:type="dxa"/>
        <w:tblLayout w:type="fixed"/>
        <w:tblCellMar>
          <w:top w:w="55" w:type="dxa"/>
          <w:start w:w="55" w:type="dxa"/>
          <w:bottom w:w="55" w:type="dxa"/>
          <w:end w:w="55" w:type="dxa"/>
        </w:tblCellMar>
      </w:tblPr>
      <w:tblGrid>
        <w:gridCol w:w="1590"/>
        <w:gridCol w:w="5489"/>
        <w:gridCol w:w="1947"/>
      </w:tblGrid>
      <w:tr>
        <w:trPr/>
        <w:tc>
          <w:tcPr>
            <w:tcW w:w="1590" w:type="dxa"/>
            <w:tcBorders>
              <w:top w:val="single" w:sz="4" w:space="0" w:color="000000"/>
              <w:start w:val="single" w:sz="4" w:space="0" w:color="000000"/>
              <w:bottom w:val="single" w:sz="4" w:space="0" w:color="000000"/>
            </w:tcBorders>
          </w:tcPr>
          <w:p>
            <w:pPr>
              <w:pStyle w:val="TableContents"/>
              <w:rPr/>
            </w:pPr>
            <w:r>
              <w:rPr/>
            </w:r>
          </w:p>
        </w:tc>
        <w:tc>
          <w:tcPr>
            <w:tcW w:w="5489" w:type="dxa"/>
            <w:tcBorders>
              <w:top w:val="single" w:sz="4" w:space="0" w:color="000000"/>
              <w:start w:val="single" w:sz="4" w:space="0" w:color="000000"/>
              <w:bottom w:val="single" w:sz="4" w:space="0" w:color="000000"/>
            </w:tcBorders>
          </w:tcPr>
          <w:p>
            <w:pPr>
              <w:pStyle w:val="Normal"/>
              <w:bidi w:val="0"/>
              <w:spacing w:lineRule="auto" w:line="360" w:before="0" w:after="200"/>
              <w:jc w:val="center"/>
              <w:rPr>
                <w:b/>
                <w:bCs/>
                <w:sz w:val="24"/>
                <w:szCs w:val="24"/>
              </w:rPr>
            </w:pPr>
            <w:r>
              <w:rPr>
                <w:rFonts w:eastAsia="Times New Roman" w:cs="Times New Roman"/>
                <w:b/>
                <w:bCs/>
                <w:sz w:val="24"/>
                <w:szCs w:val="24"/>
              </w:rPr>
              <w:t>(Operating Cash Flow / Net Sales) x 100</w:t>
            </w:r>
          </w:p>
        </w:tc>
        <w:tc>
          <w:tcPr>
            <w:tcW w:w="1947" w:type="dxa"/>
            <w:tcBorders>
              <w:top w:val="single" w:sz="4" w:space="0" w:color="000000"/>
              <w:start w:val="single" w:sz="4" w:space="0" w:color="000000"/>
              <w:bottom w:val="single" w:sz="4" w:space="0" w:color="000000"/>
              <w:end w:val="single" w:sz="4" w:space="0" w:color="000000"/>
            </w:tcBorders>
          </w:tcPr>
          <w:p>
            <w:pPr>
              <w:pStyle w:val="TableContents"/>
              <w:rPr/>
            </w:pPr>
            <w:r>
              <w:rPr/>
            </w:r>
          </w:p>
        </w:tc>
      </w:tr>
      <w:tr>
        <w:trPr/>
        <w:tc>
          <w:tcPr>
            <w:tcW w:w="159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2021</w:t>
            </w:r>
          </w:p>
        </w:tc>
        <w:tc>
          <w:tcPr>
            <w:tcW w:w="548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(32,402 / 250,200) × 100</w:t>
            </w:r>
          </w:p>
        </w:tc>
        <w:tc>
          <w:tcPr>
            <w:tcW w:w="194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12.95%</w:t>
            </w:r>
          </w:p>
        </w:tc>
      </w:tr>
      <w:tr>
        <w:trPr/>
        <w:tc>
          <w:tcPr>
            <w:tcW w:w="159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2022</w:t>
            </w:r>
          </w:p>
        </w:tc>
        <w:tc>
          <w:tcPr>
            <w:tcW w:w="548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(29,865 / 279,232) × 100</w:t>
            </w:r>
          </w:p>
        </w:tc>
        <w:tc>
          <w:tcPr>
            <w:tcW w:w="194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10.70%</w:t>
            </w:r>
          </w:p>
        </w:tc>
      </w:tr>
      <w:tr>
        <w:trPr/>
        <w:tc>
          <w:tcPr>
            <w:tcW w:w="159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2023</w:t>
            </w:r>
          </w:p>
        </w:tc>
        <w:tc>
          <w:tcPr>
            <w:tcW w:w="548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(37,851 / 322,284) × 100</w:t>
            </w:r>
          </w:p>
        </w:tc>
        <w:tc>
          <w:tcPr>
            <w:tcW w:w="194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11.74%</w:t>
            </w:r>
          </w:p>
        </w:tc>
      </w:tr>
      <w:tr>
        <w:trPr/>
        <w:tc>
          <w:tcPr>
            <w:tcW w:w="159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2024</w:t>
            </w:r>
          </w:p>
        </w:tc>
        <w:tc>
          <w:tcPr>
            <w:tcW w:w="548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(34,263 / 324,656) × 100</w:t>
            </w:r>
          </w:p>
        </w:tc>
        <w:tc>
          <w:tcPr>
            <w:tcW w:w="194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 xml:space="preserve"> </w:t>
            </w:r>
            <w:r>
              <w:rPr>
                <w:rFonts w:eastAsia="Times New Roman" w:cs="Times New Roman"/>
                <w:sz w:val="24"/>
                <w:szCs w:val="24"/>
              </w:rPr>
              <w:t>10.55%</w:t>
            </w:r>
          </w:p>
        </w:tc>
      </w:tr>
      <w:tr>
        <w:trPr/>
        <w:tc>
          <w:tcPr>
            <w:tcW w:w="159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2025</w:t>
            </w:r>
          </w:p>
        </w:tc>
        <w:tc>
          <w:tcPr>
            <w:tcW w:w="548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(31,406 / 321,913) × 100</w:t>
            </w:r>
          </w:p>
        </w:tc>
        <w:tc>
          <w:tcPr>
            <w:tcW w:w="194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 xml:space="preserve"> </w:t>
            </w:r>
            <w:r>
              <w:rPr>
                <w:rFonts w:eastAsia="Times New Roman" w:cs="Times New Roman"/>
                <w:sz w:val="24"/>
                <w:szCs w:val="24"/>
              </w:rPr>
              <w:t>9.76%</w:t>
            </w:r>
          </w:p>
        </w:tc>
      </w:tr>
    </w:tbl>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drawing>
          <wp:anchor distT="0" distB="0" distL="0" distR="0" simplePos="0" relativeHeight="46" behindDoc="0" locked="0" layoutInCell="0" allowOverlap="1">
            <wp:simplePos x="0" y="0"/>
            <wp:positionH relativeFrom="column">
              <wp:posOffset>-9525</wp:posOffset>
            </wp:positionH>
            <wp:positionV relativeFrom="paragraph">
              <wp:posOffset>3810</wp:posOffset>
            </wp:positionV>
            <wp:extent cx="4137660" cy="2583180"/>
            <wp:effectExtent l="0" t="0" r="0" b="0"/>
            <wp:wrapTopAndBottom/>
            <wp:docPr id="20" name="Object5"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anchor>
        </w:drawing>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drawing>
          <wp:anchor distT="0" distB="0" distL="0" distR="0" simplePos="0" relativeHeight="45" behindDoc="0" locked="0" layoutInCell="0" allowOverlap="1">
            <wp:simplePos x="0" y="0"/>
            <wp:positionH relativeFrom="column">
              <wp:posOffset>2190750</wp:posOffset>
            </wp:positionH>
            <wp:positionV relativeFrom="paragraph">
              <wp:posOffset>-177165</wp:posOffset>
            </wp:positionV>
            <wp:extent cx="3607435" cy="2252345"/>
            <wp:effectExtent l="0" t="0" r="0" b="0"/>
            <wp:wrapTopAndBottom/>
            <wp:docPr id="21" name="Object22"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anchor>
        </w:drawing>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b/>
          <w:bCs/>
          <w:sz w:val="24"/>
          <w:szCs w:val="24"/>
        </w:rPr>
        <w:t>Free Cash Flow Margin:</w:t>
      </w:r>
      <w:r>
        <w:rPr>
          <w:rFonts w:eastAsia="Times New Roman" w:cs="Times New Roman"/>
          <w:sz w:val="24"/>
          <w:szCs w:val="24"/>
        </w:rPr>
        <w:t xml:space="preserve"> </w:t>
      </w:r>
    </w:p>
    <w:tbl>
      <w:tblPr>
        <w:tblW w:w="5000" w:type="pct"/>
        <w:jc w:val="start"/>
        <w:tblInd w:w="-5" w:type="dxa"/>
        <w:tblLayout w:type="fixed"/>
        <w:tblCellMar>
          <w:top w:w="55" w:type="dxa"/>
          <w:start w:w="55" w:type="dxa"/>
          <w:bottom w:w="55" w:type="dxa"/>
          <w:end w:w="55" w:type="dxa"/>
        </w:tblCellMar>
      </w:tblPr>
      <w:tblGrid>
        <w:gridCol w:w="1230"/>
        <w:gridCol w:w="6659"/>
        <w:gridCol w:w="1137"/>
      </w:tblGrid>
      <w:tr>
        <w:trPr/>
        <w:tc>
          <w:tcPr>
            <w:tcW w:w="1230" w:type="dxa"/>
            <w:tcBorders>
              <w:top w:val="single" w:sz="4" w:space="0" w:color="000000"/>
              <w:start w:val="single" w:sz="4" w:space="0" w:color="000000"/>
              <w:bottom w:val="single" w:sz="4" w:space="0" w:color="000000"/>
            </w:tcBorders>
          </w:tcPr>
          <w:p>
            <w:pPr>
              <w:pStyle w:val="TableContents"/>
              <w:rPr/>
            </w:pPr>
            <w:r>
              <w:rPr/>
            </w:r>
          </w:p>
        </w:tc>
        <w:tc>
          <w:tcPr>
            <w:tcW w:w="6659" w:type="dxa"/>
            <w:tcBorders>
              <w:top w:val="single" w:sz="4" w:space="0" w:color="000000"/>
              <w:start w:val="single" w:sz="4" w:space="0" w:color="000000"/>
              <w:bottom w:val="single" w:sz="4" w:space="0" w:color="000000"/>
            </w:tcBorders>
          </w:tcPr>
          <w:p>
            <w:pPr>
              <w:pStyle w:val="Normal"/>
              <w:bidi w:val="0"/>
              <w:spacing w:lineRule="auto" w:line="360" w:before="0" w:after="200"/>
              <w:jc w:val="center"/>
              <w:rPr>
                <w:b/>
                <w:bCs/>
                <w:sz w:val="24"/>
                <w:szCs w:val="24"/>
              </w:rPr>
            </w:pPr>
            <w:r>
              <w:rPr>
                <w:rFonts w:eastAsia="Times New Roman" w:cs="Times New Roman"/>
                <w:b/>
                <w:bCs/>
                <w:sz w:val="24"/>
                <w:szCs w:val="24"/>
              </w:rPr>
              <w:t>((Operating Cash Flow - Capital Expenditure) / Net sales) x 100</w:t>
            </w:r>
          </w:p>
        </w:tc>
        <w:tc>
          <w:tcPr>
            <w:tcW w:w="1137" w:type="dxa"/>
            <w:tcBorders>
              <w:top w:val="single" w:sz="4" w:space="0" w:color="000000"/>
              <w:start w:val="single" w:sz="4" w:space="0" w:color="000000"/>
              <w:bottom w:val="single" w:sz="4" w:space="0" w:color="000000"/>
              <w:end w:val="single" w:sz="4" w:space="0" w:color="000000"/>
            </w:tcBorders>
          </w:tcPr>
          <w:p>
            <w:pPr>
              <w:pStyle w:val="TableContents"/>
              <w:rPr/>
            </w:pPr>
            <w:r>
              <w:rPr/>
            </w:r>
          </w:p>
        </w:tc>
      </w:tr>
      <w:tr>
        <w:trPr/>
        <w:tc>
          <w:tcPr>
            <w:tcW w:w="123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2021</w:t>
            </w:r>
          </w:p>
        </w:tc>
        <w:tc>
          <w:tcPr>
            <w:tcW w:w="665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((32,402 - 10,496) / 250,200) × 100</w:t>
            </w:r>
          </w:p>
        </w:tc>
        <w:tc>
          <w:tcPr>
            <w:tcW w:w="113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8.76%</w:t>
            </w:r>
          </w:p>
        </w:tc>
      </w:tr>
      <w:tr>
        <w:trPr/>
        <w:tc>
          <w:tcPr>
            <w:tcW w:w="123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2022</w:t>
            </w:r>
          </w:p>
        </w:tc>
        <w:tc>
          <w:tcPr>
            <w:tcW w:w="665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((29,865 - 12,731) / 279,232) × 100</w:t>
            </w:r>
          </w:p>
        </w:tc>
        <w:tc>
          <w:tcPr>
            <w:tcW w:w="113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6.14%</w:t>
            </w:r>
          </w:p>
        </w:tc>
      </w:tr>
      <w:tr>
        <w:trPr/>
        <w:tc>
          <w:tcPr>
            <w:tcW w:w="123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2023</w:t>
            </w:r>
          </w:p>
        </w:tc>
        <w:tc>
          <w:tcPr>
            <w:tcW w:w="665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((37,851 - 14,371) / 322,284) × 100</w:t>
            </w:r>
          </w:p>
        </w:tc>
        <w:tc>
          <w:tcPr>
            <w:tcW w:w="113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7.29%</w:t>
            </w:r>
          </w:p>
        </w:tc>
      </w:tr>
      <w:tr>
        <w:trPr/>
        <w:tc>
          <w:tcPr>
            <w:tcW w:w="123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2024</w:t>
            </w:r>
          </w:p>
        </w:tc>
        <w:tc>
          <w:tcPr>
            <w:tcW w:w="6659"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((34,263 - 21,300) / 324,656) × 100</w:t>
            </w:r>
          </w:p>
        </w:tc>
        <w:tc>
          <w:tcPr>
            <w:tcW w:w="1137" w:type="dxa"/>
            <w:tcBorders>
              <w:start w:val="single" w:sz="4" w:space="0" w:color="000000"/>
              <w:bottom w:val="single" w:sz="4" w:space="0" w:color="000000"/>
              <w:end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3.99%</w:t>
            </w:r>
          </w:p>
        </w:tc>
      </w:tr>
      <w:tr>
        <w:trPr/>
        <w:tc>
          <w:tcPr>
            <w:tcW w:w="1230" w:type="dxa"/>
            <w:tcBorders>
              <w:start w:val="single" w:sz="4" w:space="0" w:color="000000"/>
              <w:bottom w:val="single" w:sz="4" w:space="0" w:color="000000"/>
            </w:tcBorders>
          </w:tcPr>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2025</w:t>
            </w:r>
          </w:p>
        </w:tc>
        <w:tc>
          <w:tcPr>
            <w:tcW w:w="6659" w:type="dxa"/>
            <w:tcBorders>
              <w:start w:val="single" w:sz="4" w:space="0" w:color="000000"/>
              <w:bottom w:val="single" w:sz="4" w:space="0" w:color="000000"/>
            </w:tcBorders>
          </w:tcPr>
          <w:p>
            <w:pPr>
              <w:pStyle w:val="Normal"/>
              <w:bidi w:val="0"/>
              <w:spacing w:lineRule="auto" w:line="360" w:before="0" w:after="200"/>
              <w:jc w:val="both"/>
              <w:rPr>
                <w:sz w:val="24"/>
                <w:szCs w:val="24"/>
              </w:rPr>
            </w:pPr>
            <w:r>
              <w:rPr>
                <w:rFonts w:eastAsia="Times New Roman" w:cs="Times New Roman"/>
                <w:sz w:val="24"/>
                <w:szCs w:val="24"/>
              </w:rPr>
              <w:t>((31,406 - 19,500) / 321,913) × 100</w:t>
            </w:r>
          </w:p>
        </w:tc>
        <w:tc>
          <w:tcPr>
            <w:tcW w:w="1137" w:type="dxa"/>
            <w:tcBorders>
              <w:start w:val="single" w:sz="4" w:space="0" w:color="000000"/>
              <w:bottom w:val="single" w:sz="4" w:space="0" w:color="000000"/>
              <w:end w:val="single" w:sz="4" w:space="0" w:color="000000"/>
            </w:tcBorders>
          </w:tcPr>
          <w:p>
            <w:pPr>
              <w:pStyle w:val="Normal"/>
              <w:bidi w:val="0"/>
              <w:spacing w:lineRule="auto" w:line="360" w:before="0" w:after="200"/>
              <w:jc w:val="both"/>
              <w:rPr>
                <w:sz w:val="24"/>
                <w:szCs w:val="24"/>
              </w:rPr>
            </w:pPr>
            <w:r>
              <w:rPr>
                <w:rFonts w:eastAsia="Times New Roman" w:cs="Times New Roman"/>
                <w:sz w:val="24"/>
                <w:szCs w:val="24"/>
              </w:rPr>
              <w:t>3.70%</w:t>
            </w:r>
          </w:p>
        </w:tc>
      </w:tr>
    </w:tbl>
    <w:p>
      <w:pPr>
        <w:pStyle w:val="Normal"/>
        <w:bidi w:val="0"/>
        <w:spacing w:lineRule="auto" w:line="360" w:before="0" w:after="200"/>
        <w:jc w:val="both"/>
        <w:rPr/>
      </w:pPr>
      <w:r>
        <w:rPr/>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drawing>
          <wp:anchor distT="0" distB="0" distL="0" distR="0" simplePos="0" relativeHeight="44" behindDoc="0" locked="0" layoutInCell="0" allowOverlap="1">
            <wp:simplePos x="0" y="0"/>
            <wp:positionH relativeFrom="column">
              <wp:posOffset>-212725</wp:posOffset>
            </wp:positionH>
            <wp:positionV relativeFrom="paragraph">
              <wp:posOffset>-70485</wp:posOffset>
            </wp:positionV>
            <wp:extent cx="4156710" cy="2338070"/>
            <wp:effectExtent l="0" t="0" r="0" b="0"/>
            <wp:wrapTopAndBottom/>
            <wp:docPr id="22" name="Object4"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anchor>
        </w:drawing>
      </w:r>
    </w:p>
    <w:p>
      <w:pPr>
        <w:pStyle w:val="BodyText"/>
        <w:bidi w:val="0"/>
        <w:spacing w:before="0" w:after="140"/>
        <w:ind w:hanging="0" w:start="0" w:end="0"/>
        <w:jc w:val="start"/>
        <w:rPr>
          <w:rFonts w:eastAsia="Times New Roman" w:cs="Times New Roman"/>
          <w:sz w:val="24"/>
          <w:szCs w:val="24"/>
        </w:rPr>
      </w:pPr>
      <w:r>
        <w:rPr>
          <w:rFonts w:eastAsia="Times New Roman" w:cs="Times New Roman"/>
          <w:sz w:val="24"/>
          <w:szCs w:val="24"/>
        </w:rPr>
        <w:drawing>
          <wp:anchor distT="0" distB="0" distL="0" distR="0" simplePos="0" relativeHeight="43" behindDoc="0" locked="0" layoutInCell="0" allowOverlap="1">
            <wp:simplePos x="0" y="0"/>
            <wp:positionH relativeFrom="column">
              <wp:posOffset>1814195</wp:posOffset>
            </wp:positionH>
            <wp:positionV relativeFrom="paragraph">
              <wp:posOffset>381635</wp:posOffset>
            </wp:positionV>
            <wp:extent cx="3950970" cy="2222500"/>
            <wp:effectExtent l="0" t="0" r="0" b="0"/>
            <wp:wrapTopAndBottom/>
            <wp:docPr id="23" name="Object23"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anchor>
        </w:drawing>
      </w:r>
      <w:r>
        <w:br w:type="page"/>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Appendix 2: Investment analysis</w:t>
      </w:r>
    </w:p>
    <w:p>
      <w:pPr>
        <w:pStyle w:val="Normal"/>
        <w:spacing w:lineRule="auto" w:line="360"/>
        <w:rPr>
          <w:b/>
          <w:bCs/>
          <w:color w:themeColor="dark1" w:val="000000"/>
          <w:sz w:val="24"/>
          <w:szCs w:val="24"/>
        </w:rPr>
      </w:pPr>
      <w:r>
        <w:rPr>
          <w:b/>
          <w:bCs/>
          <w:color w:themeColor="dark1" w:val="000000"/>
          <w:sz w:val="24"/>
          <w:szCs w:val="24"/>
        </w:rPr>
        <w:t>1. Project A (Initial Investment: £50,000,000)</w:t>
      </w:r>
    </w:p>
    <w:p>
      <w:pPr>
        <w:pStyle w:val="Normal"/>
        <w:spacing w:lineRule="auto" w:line="360"/>
        <w:rPr>
          <w:b/>
          <w:bCs/>
          <w:color w:themeColor="dark1" w:val="000000"/>
          <w:sz w:val="24"/>
          <w:szCs w:val="24"/>
        </w:rPr>
      </w:pPr>
      <w:r>
        <w:rPr>
          <w:b/>
          <w:bCs/>
          <w:color w:themeColor="dark1" w:val="000000"/>
          <w:sz w:val="24"/>
          <w:szCs w:val="24"/>
        </w:rPr>
      </w:r>
    </w:p>
    <w:p>
      <w:pPr>
        <w:pStyle w:val="Normal"/>
        <w:bidi w:val="0"/>
        <w:spacing w:lineRule="auto" w:line="360"/>
        <w:rPr>
          <w:b/>
          <w:bCs/>
          <w:color w:themeColor="dark1" w:val="000000"/>
          <w:sz w:val="24"/>
          <w:szCs w:val="24"/>
        </w:rPr>
      </w:pPr>
      <w:r>
        <w:rPr>
          <w:b/>
          <w:bCs/>
          <w:color w:themeColor="dark1" w:val="000000"/>
          <w:sz w:val="24"/>
          <w:szCs w:val="24"/>
        </w:rPr>
        <w:t>Cash Inflows:</w:t>
      </w:r>
    </w:p>
    <w:tbl>
      <w:tblPr>
        <w:tblW w:w="4500" w:type="dxa"/>
        <w:jc w:val="start"/>
        <w:tblInd w:w="-5" w:type="dxa"/>
        <w:tblLayout w:type="fixed"/>
        <w:tblCellMar>
          <w:top w:w="55" w:type="dxa"/>
          <w:start w:w="55" w:type="dxa"/>
          <w:bottom w:w="55" w:type="dxa"/>
          <w:end w:w="55" w:type="dxa"/>
        </w:tblCellMar>
      </w:tblPr>
      <w:tblGrid>
        <w:gridCol w:w="2250"/>
        <w:gridCol w:w="2250"/>
      </w:tblGrid>
      <w:tr>
        <w:trPr/>
        <w:tc>
          <w:tcPr>
            <w:tcW w:w="2250" w:type="dxa"/>
            <w:tcBorders>
              <w:top w:val="single" w:sz="4" w:space="0" w:color="000000"/>
              <w:start w:val="single" w:sz="4" w:space="0" w:color="000000"/>
              <w:bottom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1</w:t>
            </w:r>
          </w:p>
        </w:tc>
        <w:tc>
          <w:tcPr>
            <w:tcW w:w="2250" w:type="dxa"/>
            <w:tcBorders>
              <w:top w:val="single" w:sz="4" w:space="0" w:color="000000"/>
              <w:start w:val="single" w:sz="4" w:space="0" w:color="000000"/>
              <w:bottom w:val="single" w:sz="4" w:space="0" w:color="000000"/>
              <w:end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£10m </w:t>
            </w:r>
          </w:p>
        </w:tc>
      </w:tr>
      <w:tr>
        <w:trPr/>
        <w:tc>
          <w:tcPr>
            <w:tcW w:w="2250" w:type="dxa"/>
            <w:tcBorders>
              <w:start w:val="single" w:sz="4" w:space="0" w:color="000000"/>
              <w:bottom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2</w:t>
            </w:r>
          </w:p>
        </w:tc>
        <w:tc>
          <w:tcPr>
            <w:tcW w:w="2250" w:type="dxa"/>
            <w:tcBorders>
              <w:start w:val="single" w:sz="4" w:space="0" w:color="000000"/>
              <w:bottom w:val="single" w:sz="4" w:space="0" w:color="000000"/>
              <w:end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£12m </w:t>
            </w:r>
          </w:p>
        </w:tc>
      </w:tr>
      <w:tr>
        <w:trPr/>
        <w:tc>
          <w:tcPr>
            <w:tcW w:w="2250" w:type="dxa"/>
            <w:tcBorders>
              <w:start w:val="single" w:sz="4" w:space="0" w:color="000000"/>
              <w:bottom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3</w:t>
            </w:r>
          </w:p>
        </w:tc>
        <w:tc>
          <w:tcPr>
            <w:tcW w:w="2250" w:type="dxa"/>
            <w:tcBorders>
              <w:start w:val="single" w:sz="4" w:space="0" w:color="000000"/>
              <w:bottom w:val="single" w:sz="4" w:space="0" w:color="000000"/>
              <w:end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 </w:t>
            </w:r>
            <w:r>
              <w:rPr>
                <w:b w:val="false"/>
                <w:bCs w:val="false"/>
                <w:color w:themeColor="dark1" w:val="000000"/>
                <w:sz w:val="24"/>
                <w:szCs w:val="24"/>
              </w:rPr>
              <w:t xml:space="preserve">£14m </w:t>
            </w:r>
          </w:p>
        </w:tc>
      </w:tr>
      <w:tr>
        <w:trPr/>
        <w:tc>
          <w:tcPr>
            <w:tcW w:w="2250" w:type="dxa"/>
            <w:tcBorders>
              <w:start w:val="single" w:sz="4" w:space="0" w:color="000000"/>
              <w:bottom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4</w:t>
            </w:r>
          </w:p>
        </w:tc>
        <w:tc>
          <w:tcPr>
            <w:tcW w:w="2250" w:type="dxa"/>
            <w:tcBorders>
              <w:start w:val="single" w:sz="4" w:space="0" w:color="000000"/>
              <w:bottom w:val="single" w:sz="4" w:space="0" w:color="000000"/>
              <w:end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£10m</w:t>
            </w:r>
          </w:p>
        </w:tc>
      </w:tr>
      <w:tr>
        <w:trPr/>
        <w:tc>
          <w:tcPr>
            <w:tcW w:w="2250" w:type="dxa"/>
            <w:tcBorders>
              <w:start w:val="single" w:sz="4" w:space="0" w:color="000000"/>
              <w:bottom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5</w:t>
            </w:r>
          </w:p>
        </w:tc>
        <w:tc>
          <w:tcPr>
            <w:tcW w:w="2250" w:type="dxa"/>
            <w:tcBorders>
              <w:start w:val="single" w:sz="4" w:space="0" w:color="000000"/>
              <w:bottom w:val="single" w:sz="4" w:space="0" w:color="000000"/>
              <w:end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£8m</w:t>
            </w:r>
          </w:p>
        </w:tc>
      </w:tr>
    </w:tbl>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bCs/>
          <w:color w:themeColor="dark1" w:val="000000"/>
          <w:sz w:val="24"/>
          <w:szCs w:val="24"/>
        </w:rPr>
      </w:pPr>
      <w:r>
        <w:rPr>
          <w:b/>
          <w:bCs/>
          <w:color w:themeColor="dark1" w:val="000000"/>
          <w:sz w:val="24"/>
          <w:szCs w:val="24"/>
        </w:rPr>
        <w:t>Accounting Rate of Return (ARR):</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i) </w:t>
      </w:r>
      <w:r>
        <w:rPr>
          <w:b w:val="false"/>
          <w:bCs w:val="false"/>
          <w:color w:themeColor="dark1" w:val="000000"/>
          <w:sz w:val="24"/>
          <w:szCs w:val="24"/>
        </w:rPr>
        <w:t>Total Cash Inflow:</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£10m + £12m + £14m + £10m + £8m = £54,000,000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ii) </w:t>
      </w:r>
      <w:r>
        <w:rPr>
          <w:b w:val="false"/>
          <w:bCs w:val="false"/>
          <w:color w:themeColor="dark1" w:val="000000"/>
          <w:sz w:val="24"/>
          <w:szCs w:val="24"/>
        </w:rPr>
        <w:t>Average Annual Cash Inflow:</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£54,000,000 / 5 years = £10,800,000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iii) </w:t>
      </w:r>
      <w:r>
        <w:rPr>
          <w:b w:val="false"/>
          <w:bCs w:val="false"/>
          <w:color w:themeColor="dark1" w:val="000000"/>
          <w:sz w:val="24"/>
          <w:szCs w:val="24"/>
        </w:rPr>
        <w:t>Average Annual Profit (Less £10m straight-line depreciation):</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£10,800,000 - £10,000,000 = £800,000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Final </w:t>
      </w:r>
      <w:r>
        <w:rPr>
          <w:b w:val="false"/>
          <w:bCs w:val="false"/>
          <w:color w:themeColor="dark1" w:val="000000"/>
          <w:sz w:val="24"/>
          <w:szCs w:val="24"/>
        </w:rPr>
        <w:t>Calculation: (£800,000 / £50,000,000) × 100 = 1.6%</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bCs/>
          <w:color w:themeColor="dark1" w:val="000000"/>
          <w:sz w:val="24"/>
          <w:szCs w:val="24"/>
        </w:rPr>
      </w:pPr>
      <w:r>
        <w:rPr>
          <w:b/>
          <w:bCs/>
          <w:color w:themeColor="dark1" w:val="000000"/>
          <w:sz w:val="24"/>
          <w:szCs w:val="24"/>
        </w:rPr>
        <w:t>Payback Period (PBP):</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i) </w:t>
      </w:r>
      <w:r>
        <w:rPr>
          <w:b w:val="false"/>
          <w:bCs w:val="false"/>
          <w:color w:themeColor="dark1" w:val="000000"/>
          <w:sz w:val="24"/>
          <w:szCs w:val="24"/>
        </w:rPr>
        <w:t>Cumulative Cash Flow (Year 3): £10m + £12m + £14m + £10m = £46,000,000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ii) </w:t>
      </w:r>
      <w:r>
        <w:rPr>
          <w:b w:val="false"/>
          <w:bCs w:val="false"/>
          <w:color w:themeColor="dark1" w:val="000000"/>
          <w:sz w:val="24"/>
          <w:szCs w:val="24"/>
        </w:rPr>
        <w:t>Remaining to recover at start of Year 5: £50m − £46m = £4,000,000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iii) </w:t>
      </w:r>
      <w:r>
        <w:rPr>
          <w:b w:val="false"/>
          <w:bCs w:val="false"/>
          <w:color w:themeColor="dark1" w:val="000000"/>
          <w:sz w:val="24"/>
          <w:szCs w:val="24"/>
        </w:rPr>
        <w:t>Recovery Fraction: £4,000,000 / £8,000,000 (Year 5 Inflow) = 0.5 years</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Final </w:t>
      </w:r>
      <w:r>
        <w:rPr>
          <w:b w:val="false"/>
          <w:bCs w:val="false"/>
          <w:color w:themeColor="dark1" w:val="000000"/>
          <w:sz w:val="24"/>
          <w:szCs w:val="24"/>
        </w:rPr>
        <w:t>Calculation: 4 years + 0.5 years = 4.5 years (4 years, 6 months)</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bCs/>
          <w:color w:themeColor="dark1" w:val="000000"/>
          <w:sz w:val="24"/>
          <w:szCs w:val="24"/>
        </w:rPr>
      </w:pPr>
      <w:r>
        <w:rPr>
          <w:b/>
          <w:bCs/>
          <w:color w:themeColor="dark1" w:val="000000"/>
          <w:sz w:val="24"/>
          <w:szCs w:val="24"/>
        </w:rPr>
        <w:t>Net Present Value (NPV) @ 10%:</w:t>
      </w:r>
    </w:p>
    <w:p>
      <w:pPr>
        <w:pStyle w:val="Normal"/>
        <w:bidi w:val="0"/>
        <w:spacing w:lineRule="auto" w:line="360"/>
        <w:rPr>
          <w:b w:val="false"/>
          <w:bCs w:val="false"/>
          <w:color w:themeColor="dark1" w:val="000000"/>
          <w:sz w:val="24"/>
          <w:szCs w:val="24"/>
        </w:rPr>
      </w:pPr>
      <w:r>
        <w:rPr/>
      </w:r>
    </w:p>
    <w:tbl>
      <w:tblPr>
        <w:tblW w:w="5000" w:type="pct"/>
        <w:jc w:val="start"/>
        <w:tblInd w:w="-5" w:type="dxa"/>
        <w:tblLayout w:type="fixed"/>
        <w:tblCellMar>
          <w:top w:w="55" w:type="dxa"/>
          <w:start w:w="55" w:type="dxa"/>
          <w:bottom w:w="55" w:type="dxa"/>
          <w:end w:w="55" w:type="dxa"/>
        </w:tblCellMar>
      </w:tblPr>
      <w:tblGrid>
        <w:gridCol w:w="2220"/>
        <w:gridCol w:w="6806"/>
      </w:tblGrid>
      <w:tr>
        <w:trPr/>
        <w:tc>
          <w:tcPr>
            <w:tcW w:w="2220" w:type="dxa"/>
            <w:tcBorders>
              <w:top w:val="single" w:sz="4" w:space="0" w:color="000000"/>
              <w:start w:val="single" w:sz="4" w:space="0" w:color="000000"/>
              <w:bottom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1</w:t>
            </w:r>
          </w:p>
        </w:tc>
        <w:tc>
          <w:tcPr>
            <w:tcW w:w="6806" w:type="dxa"/>
            <w:tcBorders>
              <w:top w:val="single" w:sz="4" w:space="0" w:color="000000"/>
              <w:start w:val="single" w:sz="4" w:space="0" w:color="000000"/>
              <w:bottom w:val="single" w:sz="4" w:space="0" w:color="000000"/>
              <w:end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 </w:t>
            </w:r>
            <w:r>
              <w:rPr>
                <w:b w:val="false"/>
                <w:bCs w:val="false"/>
                <w:color w:themeColor="dark1" w:val="000000"/>
                <w:sz w:val="24"/>
                <w:szCs w:val="24"/>
              </w:rPr>
              <w:t>£10,000,000 × 0.909 = £9,090,000</w:t>
            </w:r>
          </w:p>
        </w:tc>
      </w:tr>
      <w:tr>
        <w:trPr/>
        <w:tc>
          <w:tcPr>
            <w:tcW w:w="2220" w:type="dxa"/>
            <w:tcBorders>
              <w:start w:val="single" w:sz="4" w:space="0" w:color="000000"/>
              <w:bottom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2</w:t>
            </w:r>
          </w:p>
        </w:tc>
        <w:tc>
          <w:tcPr>
            <w:tcW w:w="6806" w:type="dxa"/>
            <w:tcBorders>
              <w:start w:val="single" w:sz="4" w:space="0" w:color="000000"/>
              <w:bottom w:val="single" w:sz="4" w:space="0" w:color="000000"/>
              <w:end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 </w:t>
            </w:r>
            <w:r>
              <w:rPr>
                <w:b w:val="false"/>
                <w:bCs w:val="false"/>
                <w:color w:themeColor="dark1" w:val="000000"/>
                <w:sz w:val="24"/>
                <w:szCs w:val="24"/>
              </w:rPr>
              <w:t>£12,000,000 × 0.826 = £9,912,000</w:t>
            </w:r>
          </w:p>
        </w:tc>
      </w:tr>
      <w:tr>
        <w:trPr/>
        <w:tc>
          <w:tcPr>
            <w:tcW w:w="2220" w:type="dxa"/>
            <w:tcBorders>
              <w:start w:val="single" w:sz="4" w:space="0" w:color="000000"/>
              <w:bottom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3</w:t>
            </w:r>
          </w:p>
        </w:tc>
        <w:tc>
          <w:tcPr>
            <w:tcW w:w="6806" w:type="dxa"/>
            <w:tcBorders>
              <w:start w:val="single" w:sz="4" w:space="0" w:color="000000"/>
              <w:bottom w:val="single" w:sz="4" w:space="0" w:color="000000"/>
              <w:end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£14,000,000 × 0.751 = £10,514,000</w:t>
            </w:r>
          </w:p>
        </w:tc>
      </w:tr>
      <w:tr>
        <w:trPr/>
        <w:tc>
          <w:tcPr>
            <w:tcW w:w="2220" w:type="dxa"/>
            <w:tcBorders>
              <w:start w:val="single" w:sz="4" w:space="0" w:color="000000"/>
              <w:bottom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4</w:t>
            </w:r>
          </w:p>
        </w:tc>
        <w:tc>
          <w:tcPr>
            <w:tcW w:w="6806" w:type="dxa"/>
            <w:tcBorders>
              <w:start w:val="single" w:sz="4" w:space="0" w:color="000000"/>
              <w:bottom w:val="single" w:sz="4" w:space="0" w:color="000000"/>
              <w:end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£10,000,000 × 0.683 = £6,830,000</w:t>
            </w:r>
          </w:p>
        </w:tc>
      </w:tr>
      <w:tr>
        <w:trPr/>
        <w:tc>
          <w:tcPr>
            <w:tcW w:w="2220" w:type="dxa"/>
            <w:tcBorders>
              <w:start w:val="single" w:sz="4" w:space="0" w:color="000000"/>
              <w:bottom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5</w:t>
            </w:r>
          </w:p>
        </w:tc>
        <w:tc>
          <w:tcPr>
            <w:tcW w:w="6806" w:type="dxa"/>
            <w:tcBorders>
              <w:start w:val="single" w:sz="4" w:space="0" w:color="000000"/>
              <w:bottom w:val="single" w:sz="4" w:space="0" w:color="000000"/>
              <w:end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£8,000,000 × 0.621 = £4,968,000</w:t>
            </w:r>
          </w:p>
        </w:tc>
      </w:tr>
    </w:tbl>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Total Present Value (PV): £41,314,000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Calculation: £41,314,000 − £50,000,000 = -£8,686,000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bCs/>
          <w:color w:themeColor="dark1" w:val="000000"/>
          <w:sz w:val="24"/>
          <w:szCs w:val="24"/>
        </w:rPr>
      </w:pPr>
      <w:r>
        <w:rPr>
          <w:b/>
          <w:bCs/>
          <w:color w:themeColor="dark1" w:val="000000"/>
          <w:sz w:val="24"/>
          <w:szCs w:val="24"/>
        </w:rPr>
      </w:r>
    </w:p>
    <w:p>
      <w:pPr>
        <w:pStyle w:val="Normal"/>
        <w:bidi w:val="0"/>
        <w:spacing w:lineRule="auto" w:line="360"/>
        <w:rPr>
          <w:b/>
          <w:bCs/>
          <w:color w:themeColor="dark1" w:val="000000"/>
          <w:sz w:val="24"/>
          <w:szCs w:val="24"/>
        </w:rPr>
      </w:pPr>
      <w:r>
        <w:rPr>
          <w:b/>
          <w:bCs/>
          <w:color w:themeColor="dark1" w:val="000000"/>
          <w:sz w:val="24"/>
          <w:szCs w:val="24"/>
        </w:rPr>
        <w:t>Profitability Index (PI):</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Calculation: £41,314,000 / £50,000,000 = 0.826</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bCs/>
          <w:color w:themeColor="dark1" w:val="000000"/>
          <w:sz w:val="24"/>
          <w:szCs w:val="24"/>
        </w:rPr>
      </w:pPr>
      <w:r>
        <w:rPr>
          <w:b/>
          <w:bCs/>
          <w:color w:themeColor="dark1" w:val="000000"/>
          <w:sz w:val="24"/>
          <w:szCs w:val="24"/>
        </w:rPr>
        <w:t>Internal Rate of Return (IRR):</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Since NPV is positive at 10%, IRR must be higher than the discount rate.</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Calculation: 2.72%</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bCs/>
          <w:color w:themeColor="dark1" w:val="000000"/>
          <w:sz w:val="24"/>
          <w:szCs w:val="24"/>
        </w:rPr>
      </w:pPr>
      <w:r>
        <w:rPr>
          <w:b/>
          <w:bCs/>
          <w:color w:themeColor="dark1" w:val="000000"/>
          <w:sz w:val="24"/>
          <w:szCs w:val="24"/>
        </w:rPr>
        <w:t>2. Project B (Initial Investment: £50,000,000)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val="false"/>
          <w:bCs w:val="false"/>
          <w:color w:themeColor="dark1" w:val="000000"/>
          <w:sz w:val="24"/>
          <w:szCs w:val="24"/>
        </w:rPr>
      </w:pPr>
      <w:r>
        <w:rPr>
          <w:b/>
          <w:bCs/>
          <w:color w:themeColor="dark1" w:val="000000"/>
          <w:sz w:val="24"/>
          <w:szCs w:val="24"/>
        </w:rPr>
        <w:t>Cash Inflows:</w:t>
      </w:r>
    </w:p>
    <w:tbl>
      <w:tblPr>
        <w:tblW w:w="5000" w:type="pct"/>
        <w:jc w:val="start"/>
        <w:tblInd w:w="-5" w:type="dxa"/>
        <w:tblLayout w:type="fixed"/>
        <w:tblCellMar>
          <w:top w:w="55" w:type="dxa"/>
          <w:start w:w="55" w:type="dxa"/>
          <w:bottom w:w="55" w:type="dxa"/>
          <w:end w:w="55" w:type="dxa"/>
        </w:tblCellMar>
      </w:tblPr>
      <w:tblGrid>
        <w:gridCol w:w="4512"/>
        <w:gridCol w:w="4514"/>
      </w:tblGrid>
      <w:tr>
        <w:trPr/>
        <w:tc>
          <w:tcPr>
            <w:tcW w:w="4512" w:type="dxa"/>
            <w:tcBorders>
              <w:top w:val="single" w:sz="4" w:space="0" w:color="000000"/>
              <w:start w:val="single" w:sz="4" w:space="0" w:color="000000"/>
              <w:bottom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1</w:t>
            </w:r>
          </w:p>
        </w:tc>
        <w:tc>
          <w:tcPr>
            <w:tcW w:w="4514" w:type="dxa"/>
            <w:tcBorders>
              <w:top w:val="single" w:sz="4" w:space="0" w:color="000000"/>
              <w:start w:val="single" w:sz="4" w:space="0" w:color="000000"/>
              <w:bottom w:val="single" w:sz="4" w:space="0" w:color="000000"/>
              <w:end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£11m </w:t>
            </w:r>
          </w:p>
        </w:tc>
      </w:tr>
      <w:tr>
        <w:trPr/>
        <w:tc>
          <w:tcPr>
            <w:tcW w:w="4512" w:type="dxa"/>
            <w:tcBorders>
              <w:start w:val="single" w:sz="4" w:space="0" w:color="000000"/>
              <w:bottom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2</w:t>
            </w:r>
          </w:p>
        </w:tc>
        <w:tc>
          <w:tcPr>
            <w:tcW w:w="4514" w:type="dxa"/>
            <w:tcBorders>
              <w:start w:val="single" w:sz="4" w:space="0" w:color="000000"/>
              <w:bottom w:val="single" w:sz="4" w:space="0" w:color="000000"/>
              <w:end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£11m </w:t>
            </w:r>
          </w:p>
        </w:tc>
      </w:tr>
      <w:tr>
        <w:trPr/>
        <w:tc>
          <w:tcPr>
            <w:tcW w:w="4512" w:type="dxa"/>
            <w:tcBorders>
              <w:start w:val="single" w:sz="4" w:space="0" w:color="000000"/>
              <w:bottom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3</w:t>
            </w:r>
          </w:p>
        </w:tc>
        <w:tc>
          <w:tcPr>
            <w:tcW w:w="4514" w:type="dxa"/>
            <w:tcBorders>
              <w:start w:val="single" w:sz="4" w:space="0" w:color="000000"/>
              <w:bottom w:val="single" w:sz="4" w:space="0" w:color="000000"/>
              <w:end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 </w:t>
            </w:r>
            <w:r>
              <w:rPr>
                <w:b w:val="false"/>
                <w:bCs w:val="false"/>
                <w:color w:themeColor="dark1" w:val="000000"/>
                <w:sz w:val="24"/>
                <w:szCs w:val="24"/>
              </w:rPr>
              <w:t xml:space="preserve">£11m </w:t>
            </w:r>
          </w:p>
        </w:tc>
      </w:tr>
      <w:tr>
        <w:trPr/>
        <w:tc>
          <w:tcPr>
            <w:tcW w:w="4512" w:type="dxa"/>
            <w:tcBorders>
              <w:start w:val="single" w:sz="4" w:space="0" w:color="000000"/>
              <w:bottom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4</w:t>
            </w:r>
          </w:p>
        </w:tc>
        <w:tc>
          <w:tcPr>
            <w:tcW w:w="4514" w:type="dxa"/>
            <w:tcBorders>
              <w:start w:val="single" w:sz="4" w:space="0" w:color="000000"/>
              <w:bottom w:val="single" w:sz="4" w:space="0" w:color="000000"/>
              <w:end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£11m</w:t>
            </w:r>
          </w:p>
        </w:tc>
      </w:tr>
      <w:tr>
        <w:trPr/>
        <w:tc>
          <w:tcPr>
            <w:tcW w:w="4512" w:type="dxa"/>
            <w:tcBorders>
              <w:start w:val="single" w:sz="4" w:space="0" w:color="000000"/>
              <w:bottom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5</w:t>
            </w:r>
          </w:p>
        </w:tc>
        <w:tc>
          <w:tcPr>
            <w:tcW w:w="4514" w:type="dxa"/>
            <w:tcBorders>
              <w:start w:val="single" w:sz="4" w:space="0" w:color="000000"/>
              <w:bottom w:val="single" w:sz="4" w:space="0" w:color="000000"/>
              <w:end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£11m</w:t>
            </w:r>
          </w:p>
        </w:tc>
      </w:tr>
    </w:tbl>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bCs/>
          <w:color w:themeColor="dark1" w:val="000000"/>
          <w:sz w:val="24"/>
          <w:szCs w:val="24"/>
        </w:rPr>
      </w:pPr>
      <w:r>
        <w:rPr>
          <w:b/>
          <w:bCs/>
          <w:color w:themeColor="dark1" w:val="000000"/>
          <w:sz w:val="24"/>
          <w:szCs w:val="24"/>
        </w:rPr>
        <w:t>Accounting Rate of Return (ARR):</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i) </w:t>
      </w:r>
      <w:r>
        <w:rPr>
          <w:b w:val="false"/>
          <w:bCs w:val="false"/>
          <w:color w:themeColor="dark1" w:val="000000"/>
          <w:sz w:val="24"/>
          <w:szCs w:val="24"/>
        </w:rPr>
        <w:t>Total Cash Inflow: £11m × 5 = £55,000,000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ii) </w:t>
      </w:r>
      <w:r>
        <w:rPr>
          <w:b w:val="false"/>
          <w:bCs w:val="false"/>
          <w:color w:themeColor="dark1" w:val="000000"/>
          <w:sz w:val="24"/>
          <w:szCs w:val="24"/>
        </w:rPr>
        <w:t>Average Annual Cash Inflow: £55,000,000 / 5 years = £11,000,000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iii) </w:t>
      </w:r>
      <w:r>
        <w:rPr>
          <w:b w:val="false"/>
          <w:bCs w:val="false"/>
          <w:color w:themeColor="dark1" w:val="000000"/>
          <w:sz w:val="24"/>
          <w:szCs w:val="24"/>
        </w:rPr>
        <w:t>Average Annual Profit (Less £10m straight - line depreciation): £11,000,000 - £10,000,000 = £1,000,000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Final </w:t>
      </w:r>
      <w:r>
        <w:rPr>
          <w:b w:val="false"/>
          <w:bCs w:val="false"/>
          <w:color w:themeColor="dark1" w:val="000000"/>
          <w:sz w:val="24"/>
          <w:szCs w:val="24"/>
        </w:rPr>
        <w:t>Calculation: (£1,000,000 / £50,000,000) × 100 = 2.0%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bCs/>
          <w:color w:themeColor="dark1" w:val="000000"/>
          <w:sz w:val="24"/>
          <w:szCs w:val="24"/>
        </w:rPr>
      </w:pPr>
      <w:r>
        <w:rPr>
          <w:b/>
          <w:bCs/>
          <w:color w:themeColor="dark1" w:val="000000"/>
          <w:sz w:val="24"/>
          <w:szCs w:val="24"/>
        </w:rPr>
        <w:t>Payback Period (PBP):</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Calculation: £50,000,000 / £11,000,000 = 4.545 years</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Calculation: 4.545 years = 4.55 years (4 years, 6.6 months)</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bCs/>
          <w:color w:themeColor="dark1" w:val="000000"/>
          <w:sz w:val="24"/>
          <w:szCs w:val="24"/>
        </w:rPr>
      </w:pPr>
      <w:r>
        <w:rPr>
          <w:b/>
          <w:bCs/>
          <w:color w:themeColor="dark1" w:val="000000"/>
          <w:sz w:val="24"/>
          <w:szCs w:val="24"/>
        </w:rPr>
        <w:t>Net Present Value (NPV) @ 10%: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Total PV: £41,690,000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Calculation: £41,690,000 − £50,000,000 = −£8,310,000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bCs/>
          <w:color w:themeColor="dark1" w:val="000000"/>
          <w:sz w:val="24"/>
          <w:szCs w:val="24"/>
        </w:rPr>
      </w:pPr>
      <w:r>
        <w:rPr>
          <w:b/>
          <w:bCs/>
          <w:color w:themeColor="dark1" w:val="000000"/>
          <w:sz w:val="24"/>
          <w:szCs w:val="24"/>
        </w:rPr>
        <w:t xml:space="preserve"> </w:t>
      </w:r>
      <w:r>
        <w:rPr>
          <w:b/>
          <w:bCs/>
          <w:color w:themeColor="dark1" w:val="000000"/>
          <w:sz w:val="24"/>
          <w:szCs w:val="24"/>
        </w:rPr>
        <w:t>Profitability Index (PI):</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Calculation: £41,690,000 / £50,000,000 = 0.834</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bCs/>
          <w:color w:themeColor="dark1" w:val="000000"/>
          <w:sz w:val="24"/>
          <w:szCs w:val="24"/>
        </w:rPr>
      </w:pPr>
      <w:r>
        <w:rPr>
          <w:b/>
          <w:bCs/>
          <w:color w:themeColor="dark1" w:val="000000"/>
          <w:sz w:val="24"/>
          <w:szCs w:val="24"/>
        </w:rPr>
        <w:t>Internal Rate of Return (IRR):</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Since NPV is negative at 10%, IRR must be lower than the discount rate.</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Calculation: 3.26%</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bCs/>
          <w:color w:themeColor="dark1" w:val="000000"/>
          <w:sz w:val="24"/>
          <w:szCs w:val="24"/>
        </w:rPr>
      </w:pPr>
      <w:r>
        <w:rPr>
          <w:b/>
          <w:bCs/>
          <w:color w:themeColor="dark1" w:val="000000"/>
          <w:sz w:val="24"/>
          <w:szCs w:val="24"/>
        </w:rPr>
        <w:t>3. Project C (Initial Investment: £50,000,000)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val="false"/>
          <w:bCs w:val="false"/>
          <w:color w:themeColor="dark1" w:val="000000"/>
          <w:sz w:val="24"/>
          <w:szCs w:val="24"/>
        </w:rPr>
      </w:pPr>
      <w:r>
        <w:rPr>
          <w:b/>
          <w:bCs/>
          <w:color w:themeColor="dark1" w:val="000000"/>
          <w:sz w:val="24"/>
          <w:szCs w:val="24"/>
        </w:rPr>
        <w:t>Cash Inflows:</w:t>
      </w:r>
      <w:r>
        <w:rPr>
          <w:b w:val="false"/>
          <w:bCs w:val="false"/>
          <w:color w:themeColor="dark1" w:val="000000"/>
          <w:sz w:val="24"/>
          <w:szCs w:val="24"/>
        </w:rPr>
        <w:t xml:space="preserve"> </w:t>
      </w:r>
    </w:p>
    <w:tbl>
      <w:tblPr>
        <w:tblW w:w="5000" w:type="pct"/>
        <w:jc w:val="start"/>
        <w:tblInd w:w="-5" w:type="dxa"/>
        <w:tblLayout w:type="fixed"/>
        <w:tblCellMar>
          <w:top w:w="55" w:type="dxa"/>
          <w:start w:w="55" w:type="dxa"/>
          <w:bottom w:w="55" w:type="dxa"/>
          <w:end w:w="55" w:type="dxa"/>
        </w:tblCellMar>
      </w:tblPr>
      <w:tblGrid>
        <w:gridCol w:w="4512"/>
        <w:gridCol w:w="4514"/>
      </w:tblGrid>
      <w:tr>
        <w:trPr/>
        <w:tc>
          <w:tcPr>
            <w:tcW w:w="4512" w:type="dxa"/>
            <w:tcBorders>
              <w:top w:val="single" w:sz="4" w:space="0" w:color="000000"/>
              <w:start w:val="single" w:sz="4" w:space="0" w:color="000000"/>
              <w:bottom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1</w:t>
            </w:r>
          </w:p>
        </w:tc>
        <w:tc>
          <w:tcPr>
            <w:tcW w:w="4514" w:type="dxa"/>
            <w:tcBorders>
              <w:top w:val="single" w:sz="4" w:space="0" w:color="000000"/>
              <w:start w:val="single" w:sz="4" w:space="0" w:color="000000"/>
              <w:bottom w:val="single" w:sz="4" w:space="0" w:color="000000"/>
              <w:end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£5m </w:t>
            </w:r>
          </w:p>
        </w:tc>
      </w:tr>
      <w:tr>
        <w:trPr/>
        <w:tc>
          <w:tcPr>
            <w:tcW w:w="4512" w:type="dxa"/>
            <w:tcBorders>
              <w:start w:val="single" w:sz="4" w:space="0" w:color="000000"/>
              <w:bottom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2</w:t>
            </w:r>
          </w:p>
        </w:tc>
        <w:tc>
          <w:tcPr>
            <w:tcW w:w="4514" w:type="dxa"/>
            <w:tcBorders>
              <w:start w:val="single" w:sz="4" w:space="0" w:color="000000"/>
              <w:bottom w:val="single" w:sz="4" w:space="0" w:color="000000"/>
              <w:end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£10m </w:t>
            </w:r>
          </w:p>
        </w:tc>
      </w:tr>
      <w:tr>
        <w:trPr/>
        <w:tc>
          <w:tcPr>
            <w:tcW w:w="4512" w:type="dxa"/>
            <w:tcBorders>
              <w:start w:val="single" w:sz="4" w:space="0" w:color="000000"/>
              <w:bottom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3</w:t>
            </w:r>
          </w:p>
        </w:tc>
        <w:tc>
          <w:tcPr>
            <w:tcW w:w="4514" w:type="dxa"/>
            <w:tcBorders>
              <w:start w:val="single" w:sz="4" w:space="0" w:color="000000"/>
              <w:bottom w:val="single" w:sz="4" w:space="0" w:color="000000"/>
              <w:end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 </w:t>
            </w:r>
            <w:r>
              <w:rPr>
                <w:b w:val="false"/>
                <w:bCs w:val="false"/>
                <w:color w:themeColor="dark1" w:val="000000"/>
                <w:sz w:val="24"/>
                <w:szCs w:val="24"/>
              </w:rPr>
              <w:t xml:space="preserve">£20m </w:t>
            </w:r>
          </w:p>
        </w:tc>
      </w:tr>
      <w:tr>
        <w:trPr/>
        <w:tc>
          <w:tcPr>
            <w:tcW w:w="4512" w:type="dxa"/>
            <w:tcBorders>
              <w:start w:val="single" w:sz="4" w:space="0" w:color="000000"/>
              <w:bottom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4</w:t>
            </w:r>
          </w:p>
        </w:tc>
        <w:tc>
          <w:tcPr>
            <w:tcW w:w="4514" w:type="dxa"/>
            <w:tcBorders>
              <w:start w:val="single" w:sz="4" w:space="0" w:color="000000"/>
              <w:bottom w:val="single" w:sz="4" w:space="0" w:color="000000"/>
              <w:end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£25m</w:t>
            </w:r>
          </w:p>
        </w:tc>
      </w:tr>
      <w:tr>
        <w:trPr/>
        <w:tc>
          <w:tcPr>
            <w:tcW w:w="4512" w:type="dxa"/>
            <w:tcBorders>
              <w:start w:val="single" w:sz="4" w:space="0" w:color="000000"/>
              <w:bottom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5</w:t>
            </w:r>
          </w:p>
        </w:tc>
        <w:tc>
          <w:tcPr>
            <w:tcW w:w="4514" w:type="dxa"/>
            <w:tcBorders>
              <w:start w:val="single" w:sz="4" w:space="0" w:color="000000"/>
              <w:bottom w:val="single" w:sz="4" w:space="0" w:color="000000"/>
              <w:end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£5m</w:t>
            </w:r>
          </w:p>
        </w:tc>
      </w:tr>
    </w:tbl>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bCs/>
          <w:color w:themeColor="dark1" w:val="000000"/>
          <w:sz w:val="24"/>
          <w:szCs w:val="24"/>
        </w:rPr>
      </w:pPr>
      <w:r>
        <w:rPr>
          <w:b/>
          <w:bCs/>
          <w:color w:themeColor="dark1" w:val="000000"/>
          <w:sz w:val="24"/>
          <w:szCs w:val="24"/>
        </w:rPr>
        <w:t>Accounting Rate of Return (ARR):</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i) </w:t>
      </w:r>
      <w:r>
        <w:rPr>
          <w:b w:val="false"/>
          <w:bCs w:val="false"/>
          <w:color w:themeColor="dark1" w:val="000000"/>
          <w:sz w:val="24"/>
          <w:szCs w:val="24"/>
        </w:rPr>
        <w:t>Total Cash Inflow: £5m + £10m + £20m + £25m + £5m = £65,000,000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ii) </w:t>
      </w:r>
      <w:r>
        <w:rPr>
          <w:b w:val="false"/>
          <w:bCs w:val="false"/>
          <w:color w:themeColor="dark1" w:val="000000"/>
          <w:sz w:val="24"/>
          <w:szCs w:val="24"/>
        </w:rPr>
        <w:t>Average Annual Cash Inflow: £65,000,000 / 5 years = £13,000,000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iii) </w:t>
      </w:r>
      <w:r>
        <w:rPr>
          <w:b w:val="false"/>
          <w:bCs w:val="false"/>
          <w:color w:themeColor="dark1" w:val="000000"/>
          <w:sz w:val="24"/>
          <w:szCs w:val="24"/>
        </w:rPr>
        <w:t>Average Annual Profit (Less £10m straight-line depreciation): £13,000,000 - £10,000,000 = £3,000,000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Final</w:t>
      </w:r>
      <w:r>
        <w:rPr>
          <w:b w:val="false"/>
          <w:bCs w:val="false"/>
          <w:color w:themeColor="dark1" w:val="000000"/>
          <w:sz w:val="24"/>
          <w:szCs w:val="24"/>
        </w:rPr>
        <w:t xml:space="preserve"> Calculation: (£3,000,000 / £50,000,000) × 100 = 6.0%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bCs/>
          <w:color w:themeColor="dark1" w:val="000000"/>
          <w:sz w:val="24"/>
          <w:szCs w:val="24"/>
        </w:rPr>
      </w:pPr>
      <w:r>
        <w:rPr>
          <w:b/>
          <w:bCs/>
          <w:color w:themeColor="dark1" w:val="000000"/>
          <w:sz w:val="24"/>
          <w:szCs w:val="24"/>
        </w:rPr>
        <w:t>Payback Period (PBP):</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i) </w:t>
      </w:r>
      <w:r>
        <w:rPr>
          <w:b w:val="false"/>
          <w:bCs w:val="false"/>
          <w:color w:themeColor="dark1" w:val="000000"/>
          <w:sz w:val="24"/>
          <w:szCs w:val="24"/>
        </w:rPr>
        <w:t>Cumulative Cash Flow (Year 3): £5m + £10m + £20m = £35,000,000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ii) </w:t>
      </w:r>
      <w:r>
        <w:rPr>
          <w:b w:val="false"/>
          <w:bCs w:val="false"/>
          <w:color w:themeColor="dark1" w:val="000000"/>
          <w:sz w:val="24"/>
          <w:szCs w:val="24"/>
        </w:rPr>
        <w:t>Remaining to recover at start of Year 4: £50m − £35m = £15,000,000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iii)</w:t>
      </w:r>
      <w:r>
        <w:rPr>
          <w:b w:val="false"/>
          <w:bCs w:val="false"/>
          <w:color w:themeColor="dark1" w:val="000000"/>
          <w:sz w:val="24"/>
          <w:szCs w:val="24"/>
        </w:rPr>
        <w:t xml:space="preserve"> Recovery Fraction: £15,000,000 / £25,000,000 (Year 4 Inflow) = 0.6 years</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Final </w:t>
      </w:r>
      <w:r>
        <w:rPr>
          <w:b w:val="false"/>
          <w:bCs w:val="false"/>
          <w:color w:themeColor="dark1" w:val="000000"/>
          <w:sz w:val="24"/>
          <w:szCs w:val="24"/>
        </w:rPr>
        <w:t>Calculation: 3 years + 0.6 years = 3.6 years (3 years, 7.2 months)</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bCs/>
          <w:color w:themeColor="dark1" w:val="000000"/>
          <w:sz w:val="24"/>
          <w:szCs w:val="24"/>
        </w:rPr>
      </w:pPr>
      <w:r>
        <w:rPr>
          <w:b/>
          <w:bCs/>
          <w:color w:themeColor="dark1" w:val="000000"/>
          <w:sz w:val="24"/>
          <w:szCs w:val="24"/>
        </w:rPr>
        <w:t>Net Present Value (NPV) @ 10%:</w:t>
      </w:r>
    </w:p>
    <w:p>
      <w:pPr>
        <w:pStyle w:val="Normal"/>
        <w:bidi w:val="0"/>
        <w:spacing w:lineRule="auto" w:line="360"/>
        <w:rPr>
          <w:b w:val="false"/>
          <w:bCs w:val="false"/>
          <w:color w:themeColor="dark1" w:val="000000"/>
          <w:sz w:val="24"/>
          <w:szCs w:val="24"/>
        </w:rPr>
      </w:pPr>
      <w:r>
        <w:rPr/>
      </w:r>
    </w:p>
    <w:tbl>
      <w:tblPr>
        <w:tblW w:w="5000" w:type="pct"/>
        <w:jc w:val="start"/>
        <w:tblInd w:w="-5" w:type="dxa"/>
        <w:tblLayout w:type="fixed"/>
        <w:tblCellMar>
          <w:top w:w="55" w:type="dxa"/>
          <w:start w:w="55" w:type="dxa"/>
          <w:bottom w:w="55" w:type="dxa"/>
          <w:end w:w="55" w:type="dxa"/>
        </w:tblCellMar>
      </w:tblPr>
      <w:tblGrid>
        <w:gridCol w:w="2220"/>
        <w:gridCol w:w="6806"/>
      </w:tblGrid>
      <w:tr>
        <w:trPr/>
        <w:tc>
          <w:tcPr>
            <w:tcW w:w="2220" w:type="dxa"/>
            <w:tcBorders>
              <w:top w:val="single" w:sz="4" w:space="0" w:color="000000"/>
              <w:start w:val="single" w:sz="4" w:space="0" w:color="000000"/>
              <w:bottom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1</w:t>
            </w:r>
          </w:p>
        </w:tc>
        <w:tc>
          <w:tcPr>
            <w:tcW w:w="6806" w:type="dxa"/>
            <w:tcBorders>
              <w:top w:val="single" w:sz="4" w:space="0" w:color="000000"/>
              <w:start w:val="single" w:sz="4" w:space="0" w:color="000000"/>
              <w:bottom w:val="single" w:sz="4" w:space="0" w:color="000000"/>
              <w:end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£5,000,000 × 0.909 = £4,545,000</w:t>
            </w:r>
          </w:p>
        </w:tc>
      </w:tr>
      <w:tr>
        <w:trPr/>
        <w:tc>
          <w:tcPr>
            <w:tcW w:w="2220" w:type="dxa"/>
            <w:tcBorders>
              <w:start w:val="single" w:sz="4" w:space="0" w:color="000000"/>
              <w:bottom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2</w:t>
            </w:r>
          </w:p>
        </w:tc>
        <w:tc>
          <w:tcPr>
            <w:tcW w:w="6806" w:type="dxa"/>
            <w:tcBorders>
              <w:start w:val="single" w:sz="4" w:space="0" w:color="000000"/>
              <w:bottom w:val="single" w:sz="4" w:space="0" w:color="000000"/>
              <w:end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£10,000,000 × 0.826 = £8,260,000</w:t>
            </w:r>
          </w:p>
        </w:tc>
      </w:tr>
      <w:tr>
        <w:trPr/>
        <w:tc>
          <w:tcPr>
            <w:tcW w:w="2220" w:type="dxa"/>
            <w:tcBorders>
              <w:start w:val="single" w:sz="4" w:space="0" w:color="000000"/>
              <w:bottom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3</w:t>
            </w:r>
          </w:p>
        </w:tc>
        <w:tc>
          <w:tcPr>
            <w:tcW w:w="6806" w:type="dxa"/>
            <w:tcBorders>
              <w:start w:val="single" w:sz="4" w:space="0" w:color="000000"/>
              <w:bottom w:val="single" w:sz="4" w:space="0" w:color="000000"/>
              <w:end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£20,000,000 × 0.751 = £15,020,000</w:t>
            </w:r>
          </w:p>
        </w:tc>
      </w:tr>
      <w:tr>
        <w:trPr/>
        <w:tc>
          <w:tcPr>
            <w:tcW w:w="2220" w:type="dxa"/>
            <w:tcBorders>
              <w:start w:val="single" w:sz="4" w:space="0" w:color="000000"/>
              <w:bottom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4</w:t>
            </w:r>
          </w:p>
        </w:tc>
        <w:tc>
          <w:tcPr>
            <w:tcW w:w="6806" w:type="dxa"/>
            <w:tcBorders>
              <w:start w:val="single" w:sz="4" w:space="0" w:color="000000"/>
              <w:bottom w:val="single" w:sz="4" w:space="0" w:color="000000"/>
              <w:end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£25,000,000 × 0.683 = £17,075,000</w:t>
            </w:r>
          </w:p>
        </w:tc>
      </w:tr>
      <w:tr>
        <w:trPr/>
        <w:tc>
          <w:tcPr>
            <w:tcW w:w="2220" w:type="dxa"/>
            <w:tcBorders>
              <w:start w:val="single" w:sz="4" w:space="0" w:color="000000"/>
              <w:bottom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5</w:t>
            </w:r>
          </w:p>
        </w:tc>
        <w:tc>
          <w:tcPr>
            <w:tcW w:w="6806" w:type="dxa"/>
            <w:tcBorders>
              <w:start w:val="single" w:sz="4" w:space="0" w:color="000000"/>
              <w:bottom w:val="single" w:sz="4" w:space="0" w:color="000000"/>
              <w:end w:val="single" w:sz="4" w:space="0" w:color="000000"/>
            </w:tcBorders>
          </w:tcPr>
          <w:p>
            <w:pPr>
              <w:pStyle w:val="Normal"/>
              <w:bidi w:val="0"/>
              <w:spacing w:lineRule="auto" w:line="360"/>
              <w:rPr>
                <w:b w:val="false"/>
                <w:bCs w:val="false"/>
                <w:color w:themeColor="dark1" w:val="000000"/>
                <w:sz w:val="24"/>
                <w:szCs w:val="24"/>
              </w:rPr>
            </w:pPr>
            <w:r>
              <w:rPr>
                <w:b w:val="false"/>
                <w:bCs w:val="false"/>
                <w:color w:themeColor="dark1" w:val="000000"/>
                <w:sz w:val="24"/>
                <w:szCs w:val="24"/>
              </w:rPr>
              <w:t>£5,000,000 × 0.621 = £3,105,000</w:t>
            </w:r>
          </w:p>
        </w:tc>
      </w:tr>
    </w:tbl>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Total PV: £48,005,000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Final </w:t>
      </w:r>
      <w:r>
        <w:rPr>
          <w:b w:val="false"/>
          <w:bCs w:val="false"/>
          <w:color w:themeColor="dark1" w:val="000000"/>
          <w:sz w:val="24"/>
          <w:szCs w:val="24"/>
        </w:rPr>
        <w:t>Calculation: £48,005,000 − £50,000,000 = -£1,995,000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bCs/>
          <w:color w:themeColor="dark1" w:val="000000"/>
          <w:sz w:val="24"/>
          <w:szCs w:val="24"/>
        </w:rPr>
      </w:pPr>
      <w:r>
        <w:rPr>
          <w:b/>
          <w:bCs/>
          <w:color w:themeColor="dark1" w:val="000000"/>
          <w:sz w:val="24"/>
          <w:szCs w:val="24"/>
        </w:rPr>
        <w:t>Profitability Index (PI):</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Calculation: £48,005,000 / £50,000,000 = 0.960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bCs/>
          <w:color w:themeColor="dark1" w:val="000000"/>
          <w:sz w:val="24"/>
          <w:szCs w:val="24"/>
        </w:rPr>
      </w:pPr>
      <w:r>
        <w:rPr>
          <w:b/>
          <w:bCs/>
          <w:color w:themeColor="dark1" w:val="000000"/>
          <w:sz w:val="24"/>
          <w:szCs w:val="24"/>
        </w:rPr>
        <w:t>Internal Rate of Return (IRR):</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Since NPV is negative at 10%, IRR must be lower than the discount rate.</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Calculation: 8.59%</w:t>
      </w:r>
    </w:p>
    <w:sectPr>
      <w:headerReference w:type="even" r:id="rId40"/>
      <w:headerReference w:type="default" r:id="rId41"/>
      <w:headerReference w:type="first" r:id="rId42"/>
      <w:footerReference w:type="even" r:id="rId43"/>
      <w:footerReference w:type="default" r:id="rId44"/>
      <w:footerReference w:type="first" r:id="rId45"/>
      <w:type w:val="nextPage"/>
      <w:pgSz w:w="11906" w:h="16838"/>
      <w:pgMar w:left="1440" w:right="1440" w:gutter="0" w:header="720" w:top="1440" w:footer="720" w:bottom="1440"/>
      <w:pgNumType w:start="1"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1" w:characterSet="utf-8"/>
    <w:family w:val="roman"/>
    <w:pitch w:val="variable"/>
  </w:font>
  <w:font w:name="Times New Roman">
    <w:charset w:val="01" w:characterSet="utf-8"/>
    <w:family w:val="roman"/>
    <w:pitch w:val="variable"/>
  </w:font>
  <w:font w:name="Arial">
    <w:charset w:val="01" w:characterSet="utf-8"/>
    <w:family w:val="swiss"/>
    <w:pitch w:val="variable"/>
  </w:font>
  <w:font w:name="OpenSymbol">
    <w:altName w:val="Arial Unicode MS"/>
    <w:charset w:val="01" w:characterSet="utf-8"/>
    <w:family w:val="roman"/>
    <w:pitch w:val="variable"/>
  </w:font>
  <w:font w:name="Liberation Sans">
    <w:altName w:val="Arial"/>
    <w:charset w:val="01" w:characterSet="utf-8"/>
    <w:family w:val="swiss"/>
    <w:pitch w:val="variable"/>
  </w:font>
  <w:font w:name="Cambria">
    <w:charset w:val="01" w:characterSet="utf-8"/>
    <w:family w:val="swiss"/>
    <w:pitch w:val="variable"/>
  </w:font>
  <w:font w:name="Symbol">
    <w:charset w:val="02"/>
    <w:family w:val="auto"/>
    <w:pitch w:val="default"/>
  </w:font>
  <w:font w:name="OpenSymbol">
    <w:altName w:val="Arial Unicode MS"/>
    <w:charset w:val="01"/>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rFonts w:ascii="Times New Roman" w:hAnsi="Times New Roman" w:eastAsia="Times New Roman" w:cs="Times New Roman"/>
        <w:sz w:val="24"/>
        <w:szCs w:val="24"/>
      </w:rPr>
    </w:pPr>
    <w:r>
      <w:rPr/>
      <w:fldChar w:fldCharType="begin"/>
    </w:r>
    <w:r>
      <w:rPr/>
      <w:instrText xml:space="preserve"> PAGE </w:instrText>
    </w:r>
    <w:r>
      <w:rPr/>
      <w:fldChar w:fldCharType="separate"/>
    </w:r>
    <w:r>
      <w:rPr/>
      <w:t>41</w:t>
    </w:r>
    <w:r>
      <w:rPr/>
      <w:fldChar w:fldCharType="end"/>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rFonts w:ascii="Times New Roman" w:hAnsi="Times New Roman" w:eastAsia="Times New Roman" w:cs="Times New Roman"/>
        <w:sz w:val="24"/>
        <w:szCs w:val="24"/>
      </w:rPr>
    </w:pPr>
    <w:r>
      <w:rPr/>
      <w:fldChar w:fldCharType="begin"/>
    </w:r>
    <w:r>
      <w:rPr/>
      <w:instrText xml:space="preserve"> PAGE </w:instrText>
    </w:r>
    <w:r>
      <w:rPr/>
      <w:fldChar w:fldCharType="separate"/>
    </w:r>
    <w:r>
      <w:rPr/>
      <w:t>41</w:t>
    </w:r>
    <w:r>
      <w:rPr/>
      <w:fldChar w:fldCharType="end"/>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pPr>
    <w:bookmarkStart w:id="1" w:name="_GoBack"/>
    <w:bookmarkEnd w:id="1"/>
    <w:r>
      <w:rPr/>
      <w:drawing>
        <wp:inline distT="0" distB="0" distL="0" distR="0">
          <wp:extent cx="1783715" cy="951865"/>
          <wp:effectExtent l="0" t="0" r="0" b="0"/>
          <wp:docPr id="24"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1" descr="IMG_256"/>
                  <pic:cNvPicPr>
                    <a:picLocks noChangeAspect="1" noChangeArrowheads="1"/>
                  </pic:cNvPicPr>
                </pic:nvPicPr>
                <pic:blipFill>
                  <a:blip r:embed="rId1"/>
                  <a:stretch>
                    <a:fillRect/>
                  </a:stretch>
                </pic:blipFill>
                <pic:spPr bwMode="auto">
                  <a:xfrm>
                    <a:off x="0" y="0"/>
                    <a:ext cx="1783715" cy="951865"/>
                  </a:xfrm>
                  <a:prstGeom prst="rect">
                    <a:avLst/>
                  </a:prstGeom>
                  <a:noFill/>
                </pic:spPr>
              </pic:pic>
            </a:graphicData>
          </a:graphic>
        </wp:inline>
      </w:drawing>
    </w:r>
  </w:p>
</w:hdr>
</file>

<file path=word/header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pPr>
    <w:bookmarkStart w:id="2" w:name="_GoBack"/>
    <w:bookmarkEnd w:id="2"/>
    <w:r>
      <w:rPr/>
      <w:drawing>
        <wp:inline distT="0" distB="0" distL="0" distR="0">
          <wp:extent cx="1783715" cy="951865"/>
          <wp:effectExtent l="0" t="0" r="0" b="0"/>
          <wp:docPr id="25"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1" descr="IMG_256"/>
                  <pic:cNvPicPr>
                    <a:picLocks noChangeAspect="1" noChangeArrowheads="1"/>
                  </pic:cNvPicPr>
                </pic:nvPicPr>
                <pic:blipFill>
                  <a:blip r:embed="rId1"/>
                  <a:stretch>
                    <a:fillRect/>
                  </a:stretch>
                </pic:blipFill>
                <pic:spPr bwMode="auto">
                  <a:xfrm>
                    <a:off x="0" y="0"/>
                    <a:ext cx="1783715" cy="951865"/>
                  </a:xfrm>
                  <a:prstGeom prst="rect">
                    <a:avLst/>
                  </a:prstGeom>
                  <a:noFill/>
                </pic:spPr>
              </pic:pic>
            </a:graphicData>
          </a:graphic>
        </wp:inline>
      </w:drawing>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start"/>
      <w:pPr>
        <w:tabs>
          <w:tab w:val="num" w:pos="720"/>
        </w:tabs>
        <w:ind w:start="720" w:hanging="360"/>
      </w:pPr>
      <w:rPr>
        <w:rFonts w:ascii="Symbol" w:hAnsi="Symbol" w:cs="Symbol" w:hint="default"/>
        <w:sz w:val="24"/>
        <w:szCs w:val="24"/>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2">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3">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4">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5">
    <w:lvl w:ilvl="0">
      <w:start w:val="1"/>
      <w:numFmt w:val="bullet"/>
      <w:lvlText w:val=""/>
      <w:lvlJc w:val="start"/>
      <w:pPr>
        <w:tabs>
          <w:tab w:val="num" w:pos="720"/>
        </w:tabs>
        <w:ind w:start="720" w:hanging="360"/>
      </w:pPr>
      <w:rPr>
        <w:rFonts w:ascii="Symbol" w:hAnsi="Symbol" w:cs="Symbol" w:hint="default"/>
        <w:sz w:val="24"/>
        <w:szCs w:val="24"/>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6">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7">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8">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9">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10">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11">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12">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13">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14">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15">
    <w:lvl w:ilvl="0">
      <w:start w:val="1"/>
      <w:numFmt w:val="none"/>
      <w:suff w:val="nothing"/>
      <w:lvlText w:val=""/>
      <w:lvlJc w:val="start"/>
      <w:pPr>
        <w:tabs>
          <w:tab w:val="num" w:pos="0"/>
        </w:tabs>
        <w:ind w:start="0" w:hanging="0"/>
      </w:pPr>
    </w:lvl>
    <w:lvl w:ilvl="1">
      <w:start w:val="1"/>
      <w:numFmt w:val="none"/>
      <w:suff w:val="nothing"/>
      <w:lvlText w:val=""/>
      <w:lvlJc w:val="start"/>
      <w:pPr>
        <w:tabs>
          <w:tab w:val="num" w:pos="0"/>
        </w:tabs>
        <w:ind w:start="0" w:hanging="0"/>
      </w:pPr>
    </w:lvl>
    <w:lvl w:ilvl="2">
      <w:start w:val="1"/>
      <w:numFmt w:val="none"/>
      <w:suff w:val="nothing"/>
      <w:lvlText w:val=""/>
      <w:lvlJc w:val="start"/>
      <w:pPr>
        <w:tabs>
          <w:tab w:val="num" w:pos="0"/>
        </w:tabs>
        <w:ind w:start="0" w:hanging="0"/>
      </w:pPr>
    </w:lvl>
    <w:lvl w:ilvl="3">
      <w:start w:val="1"/>
      <w:numFmt w:val="none"/>
      <w:suff w:val="nothing"/>
      <w:lvlText w:val=""/>
      <w:lvlJc w:val="start"/>
      <w:pPr>
        <w:tabs>
          <w:tab w:val="num" w:pos="0"/>
        </w:tabs>
        <w:ind w:start="0" w:hanging="0"/>
      </w:pPr>
    </w:lvl>
    <w:lvl w:ilvl="4">
      <w:start w:val="1"/>
      <w:numFmt w:val="none"/>
      <w:suff w:val="nothing"/>
      <w:lvlText w:val=""/>
      <w:lvlJc w:val="start"/>
      <w:pPr>
        <w:tabs>
          <w:tab w:val="num" w:pos="0"/>
        </w:tabs>
        <w:ind w:start="0" w:hanging="0"/>
      </w:pPr>
    </w:lvl>
    <w:lvl w:ilvl="5">
      <w:start w:val="1"/>
      <w:numFmt w:val="none"/>
      <w:suff w:val="nothing"/>
      <w:lvlText w:val=""/>
      <w:lvlJc w:val="start"/>
      <w:pPr>
        <w:tabs>
          <w:tab w:val="num" w:pos="0"/>
        </w:tabs>
        <w:ind w:start="0" w:hanging="0"/>
      </w:pPr>
    </w:lvl>
    <w:lvl w:ilvl="6">
      <w:start w:val="1"/>
      <w:numFmt w:val="none"/>
      <w:suff w:val="nothing"/>
      <w:lvlText w:val=""/>
      <w:lvlJc w:val="start"/>
      <w:pPr>
        <w:tabs>
          <w:tab w:val="num" w:pos="0"/>
        </w:tabs>
        <w:ind w:start="0" w:hanging="0"/>
      </w:pPr>
    </w:lvl>
    <w:lvl w:ilvl="7">
      <w:start w:val="1"/>
      <w:numFmt w:val="none"/>
      <w:suff w:val="nothing"/>
      <w:lvlText w:val=""/>
      <w:lvlJc w:val="start"/>
      <w:pPr>
        <w:tabs>
          <w:tab w:val="num" w:pos="0"/>
        </w:tabs>
        <w:ind w:start="0" w:hanging="0"/>
      </w:pPr>
    </w:lvl>
    <w:lvl w:ilvl="8">
      <w:start w:val="1"/>
      <w:numFmt w:val="none"/>
      <w:suff w:val="nothing"/>
      <w:lvlText w:val=""/>
      <w:lvlJc w:val="start"/>
      <w:pPr>
        <w:tabs>
          <w:tab w:val="num" w:pos="0"/>
        </w:tabs>
        <w:ind w:star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bering>
</file>

<file path=word/settings.xml><?xml version="1.0" encoding="utf-8"?>
<w:settings xmlns:w="http://schemas.openxmlformats.org/wordprocessingml/2006/main">
  <w:zoom w:percent="100"/>
  <w:defaultTabStop w:val="720"/>
  <w:autoHyphenation w:val="true"/>
  <w:hyphenationZone w:val="0"/>
  <w:compat>
    <w:doNotExpandShiftReturn/>
    <w:compatSetting w:name="compatibilityMode" w:uri="http://schemas.microsoft.com/office/word" w:val="15"/>
  </w:compat>
  <w:themeFontLang w:val="en-US"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SimSun" w:cs="Times New Roman"/>
        <w:lang w:val="en-US" w:eastAsia="zh-CN" w:bidi="hi-IN"/>
      </w:rPr>
    </w:rPrDefault>
    <w:pPrDefault>
      <w:pPr>
        <w:suppressAutoHyphens w:val="true"/>
      </w:pPr>
    </w:pPrDefault>
  </w:docDefaults>
  <w:latentStyles w:defLockedState="0" w:defUIPriority="99" w:defSemiHidden="1" w:defUnhideWhenUsed="1" w:defQFormat="0" w:count="260">
    <w:lsdException w:name="Normal" w:uiPriority="0" w:semiHidden="0" w:unhideWhenUsed="0"/>
    <w:lsdException w:name="heading 1" w:uiPriority="0" w:semiHidden="0" w:unhideWhenUsed="0" w:qFormat="1"/>
    <w:lsdException w:name="heading 2" w:uiPriority="0" w:semiHidden="0" w:unhideWhenUsed="0" w:qFormat="1"/>
    <w:lsdException w:name="heading 3" w:uiPriority="0" w:semiHidden="0" w:unhideWhenUsed="0"/>
    <w:lsdException w:name="heading 4" w:uiPriority="0" w:semiHidden="0" w:unhideWhenUsed="0"/>
    <w:lsdException w:name="heading 5" w:uiPriority="0" w:semiHidden="0" w:unhideWhenUsed="0" w:qFormat="1"/>
    <w:lsdException w:name="heading 6" w:uiPriority="0" w:semiHidden="0" w:unhideWhenUsed="0" w:qFormat="1"/>
    <w:lsdException w:name="heading 7" w:uiPriority="0" w:qFormat="1"/>
    <w:lsdException w:name="heading 8" w:uiPriority="0" w:qFormat="1"/>
    <w:lsdException w:name="heading 9" w:uiPriority="0" w:qFormat="1"/>
    <w:lsdException w:name="index 1" w:uiPriority="0" w:semiHidden="0" w:unhideWhenUsed="0"/>
    <w:lsdException w:name="index 2" w:uiPriority="0" w:semiHidden="0" w:unhideWhenUsed="0"/>
    <w:lsdException w:name="index 3" w:uiPriority="0" w:semiHidden="0" w:unhideWhenUsed="0"/>
    <w:lsdException w:name="index 4" w:uiPriority="0" w:semiHidden="0" w:unhideWhenUsed="0"/>
    <w:lsdException w:name="index 5" w:uiPriority="0" w:semiHidden="0" w:unhideWhenUsed="0"/>
    <w:lsdException w:name="index 6" w:uiPriority="0" w:semiHidden="0" w:unhideWhenUsed="0"/>
    <w:lsdException w:name="index 7" w:uiPriority="0" w:semiHidden="0" w:unhideWhenUsed="0"/>
    <w:lsdException w:name="index 8" w:uiPriority="0" w:semiHidden="0" w:unhideWhenUsed="0"/>
    <w:lsdException w:name="index 9" w:uiPriority="0" w:semiHidden="0" w:unhideWhenUsed="0"/>
    <w:lsdException w:name="toc 1" w:uiPriority="0" w:semiHidden="0" w:unhideWhenUsed="0"/>
    <w:lsdException w:name="toc 2" w:uiPriority="0" w:semiHidden="0" w:unhideWhenUsed="0"/>
    <w:lsdException w:name="toc 3" w:uiPriority="0" w:semiHidden="0" w:unhideWhenUsed="0"/>
    <w:lsdException w:name="toc 4" w:uiPriority="0" w:semiHidden="0" w:unhideWhenUsed="0"/>
    <w:lsdException w:name="toc 5" w:uiPriority="0" w:semiHidden="0" w:unhideWhenUsed="0"/>
    <w:lsdException w:name="toc 6" w:uiPriority="0" w:semiHidden="0" w:unhideWhenUsed="0"/>
    <w:lsdException w:name="toc 7" w:uiPriority="0" w:semiHidden="0" w:unhideWhenUsed="0"/>
    <w:lsdException w:name="toc 8" w:uiPriority="0" w:semiHidden="0" w:unhideWhenUsed="0"/>
    <w:lsdException w:name="toc 9" w:uiPriority="0" w:semiHidden="0" w:unhideWhenUsed="0"/>
    <w:lsdException w:name="Normal Indent" w:uiPriority="0" w:semiHidden="0" w:unhideWhenUsed="0"/>
    <w:lsdException w:name="footnote text" w:uiPriority="0" w:semiHidden="0" w:unhideWhenUsed="0"/>
    <w:lsdException w:name="annotation text" w:uiPriority="0" w:semiHidden="0" w:unhideWhenUsed="0"/>
    <w:lsdException w:name="header" w:uiPriority="0" w:semiHidden="0" w:unhideWhenUsed="0"/>
    <w:lsdException w:name="footer" w:uiPriority="0" w:semiHidden="0" w:unhideWhenUsed="0"/>
    <w:lsdException w:name="index heading" w:uiPriority="0" w:semiHidden="0" w:unhideWhenUsed="0"/>
    <w:lsdException w:name="caption" w:uiPriority="0" w:qFormat="1"/>
    <w:lsdException w:name="table of figures" w:uiPriority="0" w:semiHidden="0" w:unhideWhenUsed="0"/>
    <w:lsdException w:name="envelope address" w:uiPriority="0" w:semiHidden="0" w:unhideWhenUsed="0"/>
    <w:lsdException w:name="envelope return" w:uiPriority="0" w:semiHidden="0" w:unhideWhenUsed="0"/>
    <w:lsdException w:name="footnote reference" w:uiPriority="0" w:semiHidden="0" w:unhideWhenUsed="0"/>
    <w:lsdException w:name="annotation reference" w:uiPriority="0" w:semiHidden="0" w:unhideWhenUsed="0"/>
    <w:lsdException w:name="line number" w:uiPriority="0" w:semiHidden="0" w:unhideWhenUsed="0"/>
    <w:lsdException w:name="page number" w:uiPriority="0" w:semiHidden="0" w:unhideWhenUsed="0"/>
    <w:lsdException w:name="endnote reference" w:uiPriority="0" w:semiHidden="0" w:unhideWhenUsed="0"/>
    <w:lsdException w:name="endnote text" w:uiPriority="0" w:semiHidden="0" w:unhideWhenUsed="0"/>
    <w:lsdException w:name="table of authorities" w:uiPriority="0" w:semiHidden="0" w:unhideWhenUsed="0"/>
    <w:lsdException w:name="macro" w:uiPriority="0" w:semiHidden="0" w:unhideWhenUsed="0"/>
    <w:lsdException w:name="toa heading" w:uiPriority="0" w:semiHidden="0" w:unhideWhenUsed="0"/>
    <w:lsdException w:name="List" w:uiPriority="0" w:semiHidden="0" w:unhideWhenUsed="0"/>
    <w:lsdException w:name="List Bullet" w:uiPriority="0" w:semiHidden="0" w:unhideWhenUsed="0"/>
    <w:lsdException w:name="List Number" w:uiPriority="0" w:semiHidden="0" w:unhideWhenUsed="0"/>
    <w:lsdException w:name="List 2" w:uiPriority="0" w:semiHidden="0" w:unhideWhenUsed="0"/>
    <w:lsdException w:name="List 3" w:uiPriority="0" w:semiHidden="0" w:unhideWhenUsed="0"/>
    <w:lsdException w:name="List 4" w:uiPriority="0" w:semiHidden="0" w:unhideWhenUsed="0"/>
    <w:lsdException w:name="List 5" w:uiPriority="0" w:semiHidden="0" w:unhideWhenUsed="0"/>
    <w:lsdException w:name="List Bullet 2" w:uiPriority="0" w:semiHidden="0" w:unhideWhenUsed="0"/>
    <w:lsdException w:name="List Bullet 3" w:uiPriority="0" w:semiHidden="0" w:unhideWhenUsed="0"/>
    <w:lsdException w:name="List Bullet 4" w:uiPriority="0" w:semiHidden="0" w:unhideWhenUsed="0"/>
    <w:lsdException w:name="List Bullet 5" w:uiPriority="0" w:semiHidden="0" w:unhideWhenUsed="0"/>
    <w:lsdException w:name="List Number 2" w:uiPriority="0" w:semiHidden="0" w:unhideWhenUsed="0"/>
    <w:lsdException w:name="List Number 3" w:uiPriority="0" w:semiHidden="0" w:unhideWhenUsed="0"/>
    <w:lsdException w:name="List Number 4" w:uiPriority="0" w:semiHidden="0" w:unhideWhenUsed="0"/>
    <w:lsdException w:name="List Number 5" w:uiPriority="0" w:semiHidden="0" w:unhideWhenUsed="0"/>
    <w:lsdException w:name="Title" w:uiPriority="0" w:semiHidden="0" w:unhideWhenUsed="0"/>
    <w:lsdException w:name="Closing" w:uiPriority="0" w:semiHidden="0" w:unhideWhenUsed="0"/>
    <w:lsdException w:name="Signature" w:uiPriority="0" w:semiHidden="0" w:unhideWhenUsed="0"/>
    <w:lsdException w:name="Default Paragraph Font" w:uiPriority="0" w:unhideWhenUsed="0"/>
    <w:lsdException w:name="Body Text" w:uiPriority="0" w:semiHidden="0" w:unhideWhenUsed="0"/>
    <w:lsdException w:name="Body Text Indent" w:uiPriority="0" w:semiHidden="0" w:unhideWhenUsed="0"/>
    <w:lsdException w:name="List Continue" w:uiPriority="0" w:semiHidden="0" w:unhideWhenUsed="0"/>
    <w:lsdException w:name="List Continue 2" w:uiPriority="0" w:semiHidden="0" w:unhideWhenUsed="0"/>
    <w:lsdException w:name="List Continue 3" w:uiPriority="0" w:semiHidden="0" w:unhideWhenUsed="0"/>
    <w:lsdException w:name="List Continue 4" w:uiPriority="0" w:semiHidden="0" w:unhideWhenUsed="0"/>
    <w:lsdException w:name="List Continue 5" w:uiPriority="0" w:semiHidden="0" w:unhideWhenUsed="0"/>
    <w:lsdException w:name="Message Header" w:uiPriority="0" w:semiHidden="0" w:unhideWhenUsed="0"/>
    <w:lsdException w:name="Subtitle" w:uiPriority="0" w:semiHidden="0" w:unhideWhenUsed="0" w:qFormat="1"/>
    <w:lsdException w:name="Salutation" w:uiPriority="0" w:semiHidden="0" w:unhideWhenUsed="0"/>
    <w:lsdException w:name="Date" w:uiPriority="0" w:semiHidden="0" w:unhideWhenUsed="0"/>
    <w:lsdException w:name="Body Text First Indent" w:uiPriority="0" w:semiHidden="0" w:unhideWhenUsed="0"/>
    <w:lsdException w:name="Body Text First Indent 2" w:uiPriority="0" w:semiHidden="0" w:unhideWhenUsed="0"/>
    <w:lsdException w:name="Note Heading" w:uiPriority="0" w:semiHidden="0" w:unhideWhenUsed="0"/>
    <w:lsdException w:name="Body Text 2" w:uiPriority="0" w:semiHidden="0" w:unhideWhenUsed="0"/>
    <w:lsdException w:name="Body Text 3" w:uiPriority="0" w:semiHidden="0" w:unhideWhenUsed="0"/>
    <w:lsdException w:name="Body Text Indent 2" w:uiPriority="0" w:semiHidden="0" w:unhideWhenUsed="0"/>
    <w:lsdException w:name="Body Text Indent 3" w:uiPriority="0" w:semiHidden="0" w:unhideWhenUsed="0"/>
    <w:lsdException w:name="Block Text" w:uiPriority="0" w:semiHidden="0" w:unhideWhenUsed="0"/>
    <w:lsdException w:name="Hyperlink" w:uiPriority="0" w:semiHidden="0" w:unhideWhenUsed="0"/>
    <w:lsdException w:name="FollowedHyperlink" w:uiPriority="0" w:semiHidden="0" w:unhideWhenUsed="0"/>
    <w:lsdException w:name="Strong" w:uiPriority="0" w:semiHidden="0" w:unhideWhenUsed="0" w:qFormat="1"/>
    <w:lsdException w:name="Emphasis" w:uiPriority="0" w:semiHidden="0" w:unhideWhenUsed="0" w:qFormat="1"/>
    <w:lsdException w:name="Document Map" w:uiPriority="0" w:semiHidden="0" w:unhideWhenUsed="0"/>
    <w:lsdException w:name="Plain Text" w:uiPriority="0" w:semiHidden="0" w:unhideWhenUsed="0"/>
    <w:lsdException w:name="E-mail Signature" w:uiPriority="0" w:semiHidden="0" w:unhideWhenUsed="0"/>
    <w:lsdException w:name="Normal (Web)" w:uiPriority="0" w:semiHidden="0" w:unhideWhenUsed="0"/>
    <w:lsdException w:name="HTML Acronym" w:uiPriority="0" w:semiHidden="0" w:unhideWhenUsed="0"/>
    <w:lsdException w:name="HTML Address" w:uiPriority="0" w:semiHidden="0" w:unhideWhenUsed="0"/>
    <w:lsdException w:name="HTML Cite" w:uiPriority="0" w:semiHidden="0" w:unhideWhenUsed="0"/>
    <w:lsdException w:name="HTML Code" w:uiPriority="0" w:semiHidden="0" w:unhideWhenUsed="0"/>
    <w:lsdException w:name="HTML Definition" w:uiPriority="0" w:semiHidden="0" w:unhideWhenUsed="0"/>
    <w:lsdException w:name="HTML Keyboard" w:uiPriority="0" w:semiHidden="0" w:unhideWhenUsed="0"/>
    <w:lsdException w:name="HTML Preformatted" w:uiPriority="0" w:semiHidden="0" w:unhideWhenUsed="0"/>
    <w:lsdException w:name="HTML Sample" w:uiPriority="0" w:semiHidden="0" w:unhideWhenUsed="0"/>
    <w:lsdException w:name="HTML Typewriter" w:uiPriority="0" w:semiHidden="0" w:unhideWhenUsed="0"/>
    <w:lsdException w:name="HTML Variable" w:uiPriority="0" w:semiHidden="0" w:unhideWhenUsed="0"/>
    <w:lsdException w:name="Normal Table" w:uiPriority="0" w:unhideWhenUsed="0"/>
    <w:lsdException w:name="annotation subject" w:uiPriority="0" w:semiHidden="0" w:unhideWhenUsed="0"/>
    <w:lsdException w:name="Table Simple 1" w:uiPriority="0" w:semiHidden="0" w:unhideWhenUsed="0"/>
    <w:lsdException w:name="Table Simple 2" w:uiPriority="0" w:semiHidden="0" w:unhideWhenUsed="0"/>
    <w:lsdException w:name="Table Simple 3" w:uiPriority="0" w:semiHidden="0" w:unhideWhenUsed="0"/>
    <w:lsdException w:name="Table Classic 1" w:uiPriority="0" w:semiHidden="0" w:unhideWhenUsed="0"/>
    <w:lsdException w:name="Table Classic 2" w:uiPriority="0" w:semiHidden="0" w:unhideWhenUsed="0"/>
    <w:lsdException w:name="Table Classic 3" w:uiPriority="0" w:semiHidden="0" w:unhideWhenUsed="0"/>
    <w:lsdException w:name="Table Classic 4" w:uiPriority="0" w:semiHidden="0" w:unhideWhenUsed="0"/>
    <w:lsdException w:name="Table Colorful 1" w:uiPriority="0" w:semiHidden="0" w:unhideWhenUsed="0"/>
    <w:lsdException w:name="Table Colorful 2" w:uiPriority="0" w:semiHidden="0" w:unhideWhenUsed="0"/>
    <w:lsdException w:name="Table Colorful 3" w:uiPriority="0" w:semiHidden="0" w:unhideWhenUsed="0"/>
    <w:lsdException w:name="Table Columns 1" w:uiPriority="0" w:semiHidden="0" w:unhideWhenUsed="0"/>
    <w:lsdException w:name="Table Columns 2" w:uiPriority="0" w:semiHidden="0" w:unhideWhenUsed="0"/>
    <w:lsdException w:name="Table Columns 3" w:uiPriority="0" w:semiHidden="0" w:unhideWhenUsed="0"/>
    <w:lsdException w:name="Table Columns 4" w:uiPriority="0" w:semiHidden="0" w:unhideWhenUsed="0"/>
    <w:lsdException w:name="Table Columns 5" w:uiPriority="0" w:semiHidden="0" w:unhideWhenUsed="0"/>
    <w:lsdException w:name="Table Grid 1" w:uiPriority="0" w:semiHidden="0" w:unhideWhenUsed="0"/>
    <w:lsdException w:name="Table Grid 2" w:uiPriority="0" w:semiHidden="0" w:unhideWhenUsed="0"/>
    <w:lsdException w:name="Table Grid 3" w:uiPriority="0" w:semiHidden="0" w:unhideWhenUsed="0"/>
    <w:lsdException w:name="Table Grid 4" w:uiPriority="0" w:semiHidden="0" w:unhideWhenUsed="0"/>
    <w:lsdException w:name="Table Grid 5" w:uiPriority="0" w:semiHidden="0" w:unhideWhenUsed="0"/>
    <w:lsdException w:name="Table Grid 6" w:uiPriority="0" w:semiHidden="0" w:unhideWhenUsed="0"/>
    <w:lsdException w:name="Table Grid 7" w:uiPriority="0" w:semiHidden="0" w:unhideWhenUsed="0"/>
    <w:lsdException w:name="Table Grid 8" w:uiPriority="0" w:semiHidden="0" w:unhideWhenUsed="0"/>
    <w:lsdException w:name="Table List 1" w:uiPriority="0" w:semiHidden="0" w:unhideWhenUsed="0"/>
    <w:lsdException w:name="Table List 2" w:uiPriority="0" w:semiHidden="0" w:unhideWhenUsed="0"/>
    <w:lsdException w:name="Table List 3" w:uiPriority="0" w:semiHidden="0" w:unhideWhenUsed="0"/>
    <w:lsdException w:name="Table List 4" w:uiPriority="0" w:semiHidden="0" w:unhideWhenUsed="0"/>
    <w:lsdException w:name="Table List 5" w:uiPriority="0" w:semiHidden="0" w:unhideWhenUsed="0"/>
    <w:lsdException w:name="Table List 6" w:uiPriority="0" w:semiHidden="0" w:unhideWhenUsed="0"/>
    <w:lsdException w:name="Table List 7" w:uiPriority="0" w:semiHidden="0" w:unhideWhenUsed="0"/>
    <w:lsdException w:name="Table List 8" w:uiPriority="0" w:semiHidden="0" w:unhideWhenUsed="0"/>
    <w:lsdException w:name="Table 3D effects 1" w:uiPriority="0" w:semiHidden="0" w:unhideWhenUsed="0"/>
    <w:lsdException w:name="Table 3D effects 2" w:uiPriority="0" w:semiHidden="0" w:unhideWhenUsed="0"/>
    <w:lsdException w:name="Table 3D effects 3" w:uiPriority="0" w:semiHidden="0" w:unhideWhenUsed="0"/>
    <w:lsdException w:name="Table Contemporary" w:uiPriority="0" w:semiHidden="0" w:unhideWhenUsed="0"/>
    <w:lsdException w:name="Table Elegant" w:uiPriority="0" w:semiHidden="0" w:unhideWhenUsed="0"/>
    <w:lsdException w:name="Table Professional" w:uiPriority="0" w:semiHidden="0" w:unhideWhenUsed="0"/>
    <w:lsdException w:name="Table Subtle 1" w:uiPriority="0" w:semiHidden="0" w:unhideWhenUsed="0"/>
    <w:lsdException w:name="Table Subtle 2" w:uiPriority="0" w:semiHidden="0" w:unhideWhenUsed="0"/>
    <w:lsdException w:name="Table Web 1" w:uiPriority="0" w:semiHidden="0" w:unhideWhenUsed="0"/>
    <w:lsdException w:name="Table Web 2" w:uiPriority="0" w:semiHidden="0" w:unhideWhenUsed="0"/>
    <w:lsdException w:name="Table Web 3" w:uiPriority="0" w:semiHidden="0" w:unhideWhenUsed="0"/>
    <w:lsdException w:name="Balloon Text" w:uiPriority="0" w:semiHidden="0" w:unhideWhenUsed="0"/>
    <w:lsdException w:name="Table Grid" w:uiPriority="0" w:semiHidden="0" w:unhideWhenUsed="0"/>
    <w:lsdException w:name="Table Theme" w:uiPriority="0" w:semiHidden="0" w:unhideWhenUsed="0"/>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atentStyles>
  <w:style w:type="paragraph" w:styleId="Normal" w:default="1">
    <w:name w:val="Normal"/>
    <w:uiPriority w:val="0"/>
    <w:qFormat/>
    <w:pPr>
      <w:widowControl/>
      <w:suppressAutoHyphens w:val="true"/>
      <w:bidi w:val="0"/>
      <w:spacing w:lineRule="auto" w:line="276" w:before="0" w:after="0"/>
      <w:jc w:val="start"/>
    </w:pPr>
    <w:rPr>
      <w:rFonts w:ascii="Arial" w:hAnsi="Arial" w:eastAsia="Arial" w:cs="Arial"/>
      <w:color w:val="auto"/>
      <w:kern w:val="0"/>
      <w:sz w:val="22"/>
      <w:szCs w:val="22"/>
      <w:lang w:val="zh-CN" w:eastAsia="zh-CN" w:bidi="hi-IN"/>
    </w:rPr>
  </w:style>
  <w:style w:type="paragraph" w:styleId="Heading1">
    <w:name w:val="heading 1"/>
    <w:basedOn w:val="Normal"/>
    <w:next w:val="Normal"/>
    <w:uiPriority w:val="0"/>
    <w:qFormat/>
    <w:pPr>
      <w:keepNext w:val="true"/>
      <w:keepLines/>
      <w:spacing w:lineRule="auto" w:line="360" w:before="0" w:after="200"/>
      <w:jc w:val="both"/>
    </w:pPr>
    <w:rPr>
      <w:rFonts w:ascii="Times New Roman" w:hAnsi="Times New Roman" w:eastAsia="Times New Roman" w:cs="Times New Roman"/>
      <w:b/>
      <w:sz w:val="24"/>
      <w:szCs w:val="24"/>
    </w:rPr>
  </w:style>
  <w:style w:type="paragraph" w:styleId="Heading2">
    <w:name w:val="heading 2"/>
    <w:basedOn w:val="Normal"/>
    <w:next w:val="Normal"/>
    <w:uiPriority w:val="0"/>
    <w:qFormat/>
    <w:pPr>
      <w:keepNext w:val="true"/>
      <w:keepLines/>
      <w:spacing w:lineRule="auto" w:line="360" w:before="0" w:after="200"/>
      <w:jc w:val="both"/>
    </w:pPr>
    <w:rPr>
      <w:rFonts w:ascii="Times New Roman" w:hAnsi="Times New Roman" w:eastAsia="Times New Roman" w:cs="Times New Roman"/>
      <w:b/>
      <w:sz w:val="24"/>
      <w:szCs w:val="24"/>
    </w:rPr>
  </w:style>
  <w:style w:type="paragraph" w:styleId="Heading3">
    <w:name w:val="heading 3"/>
    <w:basedOn w:val="Normal"/>
    <w:next w:val="Normal"/>
    <w:uiPriority w:val="0"/>
    <w:qFormat/>
    <w:pPr>
      <w:keepNext w:val="true"/>
      <w:keepLines/>
      <w:pageBreakBefore w:val="false"/>
      <w:spacing w:before="320" w:after="80"/>
    </w:pPr>
    <w:rPr>
      <w:color w:val="434343"/>
      <w:sz w:val="28"/>
      <w:szCs w:val="28"/>
    </w:rPr>
  </w:style>
  <w:style w:type="paragraph" w:styleId="Heading4">
    <w:name w:val="heading 4"/>
    <w:basedOn w:val="Normal"/>
    <w:next w:val="Normal"/>
    <w:uiPriority w:val="0"/>
    <w:qFormat/>
    <w:pPr>
      <w:keepNext w:val="true"/>
      <w:keepLines/>
      <w:pageBreakBefore w:val="false"/>
      <w:spacing w:before="280" w:after="80"/>
    </w:pPr>
    <w:rPr>
      <w:color w:val="666666"/>
      <w:sz w:val="24"/>
      <w:szCs w:val="24"/>
    </w:rPr>
  </w:style>
  <w:style w:type="paragraph" w:styleId="Heading5">
    <w:name w:val="heading 5"/>
    <w:basedOn w:val="Normal"/>
    <w:next w:val="Normal"/>
    <w:uiPriority w:val="0"/>
    <w:qFormat/>
    <w:pPr>
      <w:keepNext w:val="true"/>
      <w:keepLines/>
      <w:pageBreakBefore w:val="false"/>
      <w:spacing w:before="240" w:after="80"/>
    </w:pPr>
    <w:rPr>
      <w:color w:val="666666"/>
      <w:sz w:val="22"/>
      <w:szCs w:val="22"/>
    </w:rPr>
  </w:style>
  <w:style w:type="paragraph" w:styleId="Heading6">
    <w:name w:val="heading 6"/>
    <w:basedOn w:val="Normal"/>
    <w:next w:val="Normal"/>
    <w:uiPriority w:val="0"/>
    <w:qFormat/>
    <w:pPr>
      <w:keepNext w:val="true"/>
      <w:keepLines/>
      <w:pageBreakBefore w:val="false"/>
      <w:spacing w:before="240" w:after="80"/>
    </w:pPr>
    <w:rPr>
      <w:i/>
      <w:color w:val="666666"/>
      <w:sz w:val="22"/>
      <w:szCs w:val="22"/>
    </w:rPr>
  </w:style>
  <w:style w:type="character" w:styleId="DefaultParagraphFont" w:default="1">
    <w:name w:val="Default Paragraph Font"/>
    <w:uiPriority w:val="0"/>
    <w:semiHidden/>
    <w:qFormat/>
    <w:rPr/>
  </w:style>
  <w:style w:type="character" w:styleId="Hyperlink">
    <w:name w:val="Hyperlink"/>
    <w:rPr>
      <w:color w:val="000080"/>
      <w:u w:val="single"/>
    </w:rPr>
  </w:style>
  <w:style w:type="character" w:styleId="IndexLink">
    <w:name w:val="Index Link"/>
    <w:qFormat/>
    <w:rPr/>
  </w:style>
  <w:style w:type="character" w:styleId="FootnoteCharactersuser">
    <w:name w:val="Footnote Characters (user)"/>
    <w:qFormat/>
    <w:rPr/>
  </w:style>
  <w:style w:type="character" w:styleId="EndnoteCharactersuser">
    <w:name w:val="Endnote Characters (user)"/>
    <w:qFormat/>
    <w:rPr/>
  </w:style>
  <w:style w:type="character" w:styleId="FollowedHyperlink">
    <w:name w:val="FollowedHyperlink"/>
    <w:rPr>
      <w:color w:val="800000"/>
      <w:u w:val="single"/>
    </w:rPr>
  </w:style>
  <w:style w:type="character" w:styleId="Bulletsuser">
    <w:name w:val="Bullets (user)"/>
    <w:qFormat/>
    <w:rPr>
      <w:rFonts w:ascii="OpenSymbol" w:hAnsi="OpenSymbol" w:eastAsia="OpenSymbol" w:cs="OpenSymbol"/>
    </w:rPr>
  </w:style>
  <w:style w:type="character" w:styleId="Bullets">
    <w:name w:val="Bullets"/>
    <w:qFormat/>
    <w:rPr>
      <w:rFonts w:ascii="OpenSymbol" w:hAnsi="OpenSymbol" w:eastAsia="OpenSymbol" w:cs="OpenSymbol"/>
    </w:rPr>
  </w:style>
  <w:style w:type="paragraph" w:styleId="Heading">
    <w:name w:val="Heading"/>
    <w:basedOn w:val="Normal"/>
    <w:next w:val="BodyText"/>
    <w:qFormat/>
    <w:pPr>
      <w:keepNext w:val="true"/>
      <w:spacing w:before="240" w:after="120"/>
    </w:pPr>
    <w:rPr>
      <w:rFonts w:ascii="Liberation Sans" w:hAnsi="Liberation Sans" w:eastAsia="Microsoft YaHei" w:cs="Arial"/>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Subtitle">
    <w:name w:val="Subtitle"/>
    <w:basedOn w:val="Normal"/>
    <w:next w:val="Normal"/>
    <w:uiPriority w:val="0"/>
    <w:qFormat/>
    <w:pPr>
      <w:keepNext w:val="true"/>
      <w:keepLines/>
      <w:pageBreakBefore w:val="false"/>
      <w:spacing w:before="0" w:after="320"/>
    </w:pPr>
    <w:rPr>
      <w:rFonts w:ascii="Arial" w:hAnsi="Arial" w:eastAsia="Arial" w:cs="Arial"/>
      <w:color w:val="666666"/>
      <w:sz w:val="30"/>
      <w:szCs w:val="30"/>
    </w:rPr>
  </w:style>
  <w:style w:type="paragraph" w:styleId="Title">
    <w:name w:val="Title"/>
    <w:basedOn w:val="Normal"/>
    <w:next w:val="Normal"/>
    <w:uiPriority w:val="0"/>
    <w:qFormat/>
    <w:pPr>
      <w:keepNext w:val="true"/>
      <w:keepLines/>
      <w:pageBreakBefore w:val="false"/>
      <w:spacing w:before="0" w:after="60"/>
    </w:pPr>
    <w:rPr>
      <w:sz w:val="52"/>
      <w:szCs w:val="52"/>
    </w:rPr>
  </w:style>
  <w:style w:type="paragraph" w:styleId="HeaderandFooter">
    <w:name w:val="Header and Footer"/>
    <w:basedOn w:val="Normal"/>
    <w:qFormat/>
    <w:pPr/>
    <w:rPr/>
  </w:style>
  <w:style w:type="paragraph" w:styleId="Header">
    <w:name w:val="header"/>
    <w:basedOn w:val="HeaderandFooter"/>
    <w:pPr/>
    <w:rPr/>
  </w:style>
  <w:style w:type="paragraph" w:styleId="Footer">
    <w:name w:val="footer"/>
    <w:basedOn w:val="HeaderandFooter"/>
    <w:pPr/>
    <w:rPr/>
  </w:style>
  <w:style w:type="paragraph" w:styleId="ListContents">
    <w:name w:val="List Contents"/>
    <w:basedOn w:val="Normal"/>
    <w:qFormat/>
    <w:pPr>
      <w:ind w:start="567"/>
    </w:pPr>
    <w:rPr/>
  </w:style>
  <w:style w:type="paragraph" w:styleId="normal1">
    <w:name w:val="normal1"/>
    <w:qFormat/>
    <w:pPr>
      <w:widowControl/>
      <w:suppressAutoHyphens w:val="true"/>
      <w:bidi w:val="0"/>
      <w:spacing w:lineRule="auto" w:line="259" w:before="0" w:after="160"/>
      <w:jc w:val="start"/>
    </w:pPr>
    <w:rPr>
      <w:rFonts w:ascii="Times New Roman" w:hAnsi="Times New Roman" w:eastAsia="SimSun" w:cs="Times New Roman"/>
      <w:color w:val="auto"/>
      <w:kern w:val="0"/>
      <w:sz w:val="20"/>
      <w:szCs w:val="20"/>
      <w:lang w:val="en-US" w:eastAsia="zh-CN" w:bidi="hi-IN"/>
    </w:rPr>
  </w:style>
  <w:style w:type="paragraph" w:styleId="normal2">
    <w:name w:val="normal2"/>
    <w:qFormat/>
    <w:pPr>
      <w:widowControl/>
      <w:suppressAutoHyphens w:val="true"/>
      <w:bidi w:val="0"/>
      <w:spacing w:lineRule="auto" w:line="276" w:before="0" w:after="0"/>
      <w:jc w:val="start"/>
    </w:pPr>
    <w:rPr>
      <w:rFonts w:ascii="Times New Roman" w:hAnsi="Times New Roman" w:eastAsia="SimSun" w:cs="Times New Roman"/>
      <w:color w:val="auto"/>
      <w:kern w:val="0"/>
      <w:sz w:val="20"/>
      <w:szCs w:val="20"/>
      <w:lang w:val="en-US" w:eastAsia="zh-CN" w:bidi="hi-IN"/>
    </w:rPr>
  </w:style>
  <w:style w:type="paragraph" w:styleId="TableContents">
    <w:name w:val="Table Contents"/>
    <w:basedOn w:val="Normal"/>
    <w:qFormat/>
    <w:pPr>
      <w:widowControl w:val="false"/>
      <w:suppressLineNumbers/>
    </w:pPr>
    <w:rPr/>
  </w:style>
  <w:style w:type="paragraph" w:styleId="TOC2">
    <w:name w:val="toc 2"/>
    <w:basedOn w:val="Normal"/>
    <w:next w:val="Normal"/>
    <w:pPr>
      <w:spacing w:before="0" w:after="100"/>
      <w:ind w:start="220"/>
    </w:pPr>
    <w:rPr/>
  </w:style>
  <w:style w:type="paragraph" w:styleId="TOC1">
    <w:name w:val="toc 1"/>
    <w:basedOn w:val="Normal"/>
    <w:next w:val="Normal"/>
    <w:pPr>
      <w:spacing w:before="0" w:after="100"/>
    </w:pPr>
    <w:rPr/>
  </w:style>
  <w:style w:type="paragraph" w:styleId="TableHeading">
    <w:name w:val="Table Heading"/>
    <w:basedOn w:val="TableContents"/>
    <w:qFormat/>
    <w:pPr>
      <w:suppressLineNumbers/>
      <w:jc w:val="center"/>
    </w:pPr>
    <w:rPr>
      <w:b/>
      <w:bCs/>
    </w:rPr>
  </w:style>
  <w:style w:type="table" w:default="1" w:styleId="9">
    <w:name w:val="Normal Table"/>
    <w:uiPriority w:val="0"/>
    <w:semiHidden/>
    <w:tblPr>
      <w:tblCellMar>
        <w:top w:w="0" w:type="dxa"/>
        <w:left w:w="108" w:type="dxa"/>
        <w:bottom w:w="0" w:type="dxa"/>
        <w:right w:w="108" w:type="dxa"/>
      </w:tblCellMar>
    </w:tblPr>
  </w:style>
  <w:style w:type="table" w:customStyle="1" w:styleId="12">
    <w:name w:val="TableNormal"/>
    <w:uiPriority w:val="0"/>
    <w:qFormat/>
  </w:style>
  <w:style w:type="table" w:customStyle="1" w:styleId="13">
    <w:name w:val="_Style 10"/>
    <w:basedOn w:val="12"/>
    <w:uiPriority w:val="0"/>
    <w:qFormat/>
    <w:pPr>
      <w:spacing w:after="0" w:line="240" w:lineRule="auto"/>
    </w:pPr>
    <w:tblPr>
      <w:tblCellMar>
        <w:top w:w="0" w:type="dxa"/>
        <w:left w:w="108" w:type="dxa"/>
        <w:bottom w:w="0" w:type="dxa"/>
        <w:right w:w="108" w:type="dxa"/>
      </w:tblCellMar>
    </w:tblPr>
  </w:style>
  <w:style w:type="table" w:customStyle="1" w:styleId="14">
    <w:name w:val="_Style 11"/>
    <w:basedOn w:val="12"/>
    <w:uiPriority w:val="0"/>
    <w:qFormat/>
    <w:tblPr>
      <w:tblCellMar>
        <w:top w:w="100" w:type="dxa"/>
        <w:left w:w="100" w:type="dxa"/>
        <w:bottom w:w="100" w:type="dxa"/>
        <w:right w:w="100" w:type="dxa"/>
      </w:tblCellMar>
    </w:tblPr>
  </w:style>
  <w:style w:type="table" w:customStyle="1" w:styleId="15">
    <w:name w:val="_Style 12"/>
    <w:basedOn w:val="12"/>
    <w:uiPriority w:val="0"/>
    <w:qFormat/>
    <w:tblPr>
      <w:tblCellMar>
        <w:top w:w="100" w:type="dxa"/>
        <w:left w:w="100" w:type="dxa"/>
        <w:bottom w:w="100" w:type="dxa"/>
        <w:right w:w="100" w:type="dxa"/>
      </w:tblCellMar>
    </w:tblPr>
  </w:style>
  <w:style w:type="table" w:customStyle="1" w:styleId="16">
    <w:name w:val="_Style 13"/>
    <w:basedOn w:val="12"/>
    <w:uiPriority w:val="0"/>
    <w:qFormat/>
    <w:tblPr>
      <w:tblCellMar>
        <w:top w:w="100" w:type="dxa"/>
        <w:left w:w="100" w:type="dxa"/>
        <w:bottom w:w="100" w:type="dxa"/>
        <w:right w:w="100"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volkswagen-group.com/en/publications/more/annual-report-2023-2671" TargetMode="External"/><Relationship Id="rId3" Type="http://schemas.openxmlformats.org/officeDocument/2006/relationships/hyperlink" Target="https://www.volkswagen-group.com/en/annual-report-and-full-year-results-2022-16098" TargetMode="External"/><Relationship Id="rId4" Type="http://schemas.openxmlformats.org/officeDocument/2006/relationships/hyperlink" Target="https://www.volkswagen-group.com/en/publications/more/annual-report-2021-1791" TargetMode="External"/><Relationship Id="rId5" Type="http://schemas.openxmlformats.org/officeDocument/2006/relationships/hyperlink" Target="https://www.mheducation.com/content/dam/mhe/blog/higher-ed/2025/pdfs/brealey-principles-of-corporate-finance-evergreen-2025.pdf" TargetMode="External"/><Relationship Id="rId6" Type="http://schemas.openxmlformats.org/officeDocument/2006/relationships/hyperlink" Target="https://www.pearson.com/se/Nordics-Higher-Education/subject-catalogue/finance/corporate-finance-5e-berk-and-demarzo.html" TargetMode="External"/><Relationship Id="rId7" Type="http://schemas.openxmlformats.org/officeDocument/2006/relationships/hyperlink" Target="https://doi.org/10.1111/1468-5957.00008" TargetMode="External"/><Relationship Id="rId8" Type="http://schemas.openxmlformats.org/officeDocument/2006/relationships/hyperlink" Target="https://doi.org/10.1108/IJPDLM-08-2014-0173" TargetMode="External"/><Relationship Id="rId9" Type="http://schemas.openxmlformats.org/officeDocument/2006/relationships/hyperlink" Target="https://doi.org/10.1093/rfs/10.3.661" TargetMode="External"/><Relationship Id="rId10" Type="http://schemas.openxmlformats.org/officeDocument/2006/relationships/hyperlink" Target="https://www.jstor.org/stable/3665310" TargetMode="External"/><Relationship Id="rId11" Type="http://schemas.openxmlformats.org/officeDocument/2006/relationships/hyperlink" Target="https://archive.org/details/machinethatchang0000woma" TargetMode="External"/><Relationship Id="rId12" Type="http://schemas.openxmlformats.org/officeDocument/2006/relationships/hyperlink" Target="https://hbr.org/2004/07/when-to-ally-and-when-to-acquire" TargetMode="External"/><Relationship Id="rId13" Type="http://schemas.openxmlformats.org/officeDocument/2006/relationships/hyperlink" Target="https://www.jstor.org/stable/256379" TargetMode="External"/><Relationship Id="rId14" Type="http://schemas.openxmlformats.org/officeDocument/2006/relationships/hyperlink" Target="https://www.sciencedirect.com/science/article/abs/pii/0304405X8690053X" TargetMode="External"/><Relationship Id="rId15" Type="http://schemas.openxmlformats.org/officeDocument/2006/relationships/hyperlink" Target="https://www.sciencedirect.com/science/article/abs/pii/000768139190005G" TargetMode="External"/><Relationship Id="rId16" Type="http://schemas.openxmlformats.org/officeDocument/2006/relationships/hyperlink" Target="https://www.cengage.com/c/international-financial-management-14e-madura/9780357130544/" TargetMode="External"/><Relationship Id="rId17" Type="http://schemas.openxmlformats.org/officeDocument/2006/relationships/chart" Target="charts/chart1.xml"/><Relationship Id="rId18" Type="http://schemas.openxmlformats.org/officeDocument/2006/relationships/chart" Target="charts/chart2.xml"/><Relationship Id="rId19" Type="http://schemas.openxmlformats.org/officeDocument/2006/relationships/chart" Target="charts/chart3.xml"/><Relationship Id="rId20" Type="http://schemas.openxmlformats.org/officeDocument/2006/relationships/chart" Target="charts/chart4.xml"/><Relationship Id="rId21" Type="http://schemas.openxmlformats.org/officeDocument/2006/relationships/chart" Target="charts/chart5.xml"/><Relationship Id="rId22" Type="http://schemas.openxmlformats.org/officeDocument/2006/relationships/chart" Target="charts/chart6.xml"/><Relationship Id="rId23" Type="http://schemas.openxmlformats.org/officeDocument/2006/relationships/chart" Target="charts/chart7.xml"/><Relationship Id="rId24" Type="http://schemas.openxmlformats.org/officeDocument/2006/relationships/chart" Target="charts/chart8.xml"/><Relationship Id="rId25" Type="http://schemas.openxmlformats.org/officeDocument/2006/relationships/chart" Target="charts/chart9.xml"/><Relationship Id="rId26" Type="http://schemas.openxmlformats.org/officeDocument/2006/relationships/chart" Target="charts/chart10.xml"/><Relationship Id="rId27" Type="http://schemas.openxmlformats.org/officeDocument/2006/relationships/chart" Target="charts/chart11.xml"/><Relationship Id="rId28" Type="http://schemas.openxmlformats.org/officeDocument/2006/relationships/chart" Target="charts/chart12.xml"/><Relationship Id="rId29" Type="http://schemas.openxmlformats.org/officeDocument/2006/relationships/chart" Target="charts/chart13.xml"/><Relationship Id="rId30" Type="http://schemas.openxmlformats.org/officeDocument/2006/relationships/chart" Target="charts/chart14.xml"/><Relationship Id="rId31" Type="http://schemas.openxmlformats.org/officeDocument/2006/relationships/chart" Target="charts/chart15.xml"/><Relationship Id="rId32" Type="http://schemas.openxmlformats.org/officeDocument/2006/relationships/chart" Target="charts/chart16.xml"/><Relationship Id="rId33" Type="http://schemas.openxmlformats.org/officeDocument/2006/relationships/chart" Target="charts/chart17.xml"/><Relationship Id="rId34" Type="http://schemas.openxmlformats.org/officeDocument/2006/relationships/chart" Target="charts/chart18.xml"/><Relationship Id="rId35" Type="http://schemas.openxmlformats.org/officeDocument/2006/relationships/chart" Target="charts/chart19.xml"/><Relationship Id="rId36" Type="http://schemas.openxmlformats.org/officeDocument/2006/relationships/chart" Target="charts/chart20.xml"/><Relationship Id="rId37" Type="http://schemas.openxmlformats.org/officeDocument/2006/relationships/chart" Target="charts/chart21.xml"/><Relationship Id="rId38" Type="http://schemas.openxmlformats.org/officeDocument/2006/relationships/chart" Target="charts/chart22.xml"/><Relationship Id="rId39" Type="http://schemas.openxmlformats.org/officeDocument/2006/relationships/chart" Target="charts/chart23.xml"/><Relationship Id="rId40" Type="http://schemas.openxmlformats.org/officeDocument/2006/relationships/header" Target="header1.xml"/><Relationship Id="rId41" Type="http://schemas.openxmlformats.org/officeDocument/2006/relationships/header" Target="header2.xml"/><Relationship Id="rId42" Type="http://schemas.openxmlformats.org/officeDocument/2006/relationships/header" Target="header3.xml"/><Relationship Id="rId43" Type="http://schemas.openxmlformats.org/officeDocument/2006/relationships/footer" Target="footer1.xml"/><Relationship Id="rId44" Type="http://schemas.openxmlformats.org/officeDocument/2006/relationships/footer" Target="footer2.xml"/><Relationship Id="rId45" Type="http://schemas.openxmlformats.org/officeDocument/2006/relationships/footer" Target="footer3.xml"/><Relationship Id="rId46" Type="http://schemas.openxmlformats.org/officeDocument/2006/relationships/numbering" Target="numbering.xml"/><Relationship Id="rId47" Type="http://schemas.openxmlformats.org/officeDocument/2006/relationships/fontTable" Target="fontTable.xml"/><Relationship Id="rId48" Type="http://schemas.openxmlformats.org/officeDocument/2006/relationships/settings" Target="settings.xml"/><Relationship Id="rId49" Type="http://schemas.openxmlformats.org/officeDocument/2006/relationships/theme" Target="theme/theme1.xml"/>
</Relationships>
</file>

<file path=word/_rels/header2.xml.rels><?xml version="1.0" encoding="UTF-8"?>
<Relationships xmlns="http://schemas.openxmlformats.org/package/2006/relationships"><Relationship Id="rId1" Type="http://schemas.openxmlformats.org/officeDocument/2006/relationships/image" Target="media/image1.jpeg"/>
</Relationships>
</file>

<file path=word/_rels/header3.xml.rels><?xml version="1.0" encoding="UTF-8"?>
<Relationships xmlns="http://schemas.openxmlformats.org/package/2006/relationships"><Relationship Id="rId1" Type="http://schemas.openxmlformats.org/officeDocument/2006/relationships/image" Target="media/image1.jpeg"/>
</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Net income</c:v>
                </c:pt>
              </c:strCache>
            </c:strRef>
          </c:tx>
          <c:spPr>
            <a:solidFill>
              <a:srgbClr val="004586"/>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15428</c:v>
                </c:pt>
                <c:pt idx="1">
                  <c:v>15836</c:v>
                </c:pt>
                <c:pt idx="2">
                  <c:v>17938</c:v>
                </c:pt>
                <c:pt idx="3">
                  <c:v>12394</c:v>
                </c:pt>
                <c:pt idx="4">
                  <c:v>6904</c:v>
                </c:pt>
              </c:numCache>
            </c:numRef>
          </c:val>
        </c:ser>
        <c:ser>
          <c:idx val="1"/>
          <c:order val="1"/>
          <c:tx>
            <c:strRef>
              <c:f>label 1</c:f>
              <c:strCache>
                <c:ptCount val="1"/>
                <c:pt idx="0">
                  <c:v>Net sales</c:v>
                </c:pt>
              </c:strCache>
            </c:strRef>
          </c:tx>
          <c:spPr>
            <a:solidFill>
              <a:srgbClr val="ff420e"/>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1</c:f>
              <c:numCache>
                <c:formatCode>General</c:formatCode>
                <c:ptCount val="5"/>
                <c:pt idx="0">
                  <c:v>250200</c:v>
                </c:pt>
                <c:pt idx="1">
                  <c:v>279232</c:v>
                </c:pt>
                <c:pt idx="2">
                  <c:v>322284</c:v>
                </c:pt>
                <c:pt idx="3">
                  <c:v>324656</c:v>
                </c:pt>
                <c:pt idx="4">
                  <c:v>321913</c:v>
                </c:pt>
              </c:numCache>
            </c:numRef>
          </c:val>
        </c:ser>
        <c:gapWidth val="100"/>
        <c:overlap val="0"/>
        <c:axId val="28361282"/>
        <c:axId val="36529916"/>
      </c:barChart>
      <c:catAx>
        <c:axId val="28361282"/>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36529916"/>
        <c:crosses val="autoZero"/>
        <c:auto val="1"/>
        <c:lblAlgn val="ctr"/>
        <c:lblOffset val="100"/>
        <c:noMultiLvlLbl val="0"/>
      </c:catAx>
      <c:valAx>
        <c:axId val="36529916"/>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28361282"/>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Net profit margin</c:v>
                </c:pt>
              </c:strCache>
            </c:strRef>
          </c:tx>
          <c:spPr>
            <a:solidFill>
              <a:srgbClr val="ffd320"/>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6.17</c:v>
                </c:pt>
                <c:pt idx="1">
                  <c:v>5.67</c:v>
                </c:pt>
                <c:pt idx="2">
                  <c:v>5.56</c:v>
                </c:pt>
                <c:pt idx="3">
                  <c:v>3.82</c:v>
                </c:pt>
                <c:pt idx="4">
                  <c:v>2.14</c:v>
                </c:pt>
              </c:numCache>
            </c:numRef>
          </c:val>
        </c:ser>
        <c:gapWidth val="100"/>
        <c:overlap val="0"/>
        <c:axId val="83830475"/>
        <c:axId val="15288086"/>
      </c:barChart>
      <c:catAx>
        <c:axId val="83830475"/>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15288086"/>
        <c:crosses val="autoZero"/>
        <c:auto val="1"/>
        <c:lblAlgn val="ctr"/>
        <c:lblOffset val="100"/>
        <c:noMultiLvlLbl val="0"/>
      </c:catAx>
      <c:valAx>
        <c:axId val="15288086"/>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83830475"/>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lineChart>
        <c:grouping val="standard"/>
        <c:varyColors val="0"/>
        <c:ser>
          <c:idx val="0"/>
          <c:order val="0"/>
          <c:tx>
            <c:strRef>
              <c:f>label 0</c:f>
              <c:strCache>
                <c:ptCount val="1"/>
                <c:pt idx="0">
                  <c:v>Operating progit</c:v>
                </c:pt>
              </c:strCache>
            </c:strRef>
          </c:tx>
          <c:spPr>
            <a:solidFill>
              <a:srgbClr val="004586"/>
            </a:solidFill>
            <a:ln w="28800">
              <a:solidFill>
                <a:srgbClr val="004586"/>
              </a:solidFill>
              <a:round/>
            </a:ln>
          </c:spPr>
          <c:marker>
            <c:symbol val="square"/>
            <c:size val="8"/>
            <c:spPr>
              <a:solidFill>
                <a:srgbClr val="004586"/>
              </a:solidFill>
            </c:spPr>
          </c:marker>
          <c:dLbls>
            <c:txPr>
              <a:bodyPr wrap="none"/>
              <a:lstStyle/>
              <a:p>
                <a:pPr>
                  <a:defRPr sz="1000" b="0" u="none" strike="noStrike">
                    <a:solidFill>
                      <a:srgbClr val="000000"/>
                    </a:solidFill>
                    <a:uFillTx/>
                    <a:latin typeface="Arial"/>
                  </a:defRPr>
                </a:pPr>
              </a:p>
            </c:txPr>
            <c:dLblPos val="r"/>
            <c:showLegendKey val="0"/>
            <c:showVal val="0"/>
            <c:showCatName val="0"/>
            <c:showSerName val="0"/>
            <c:showPercent val="0"/>
            <c:separator> </c:separator>
            <c:showLeaderLines val="1"/>
            <c:leaderLines>
              <c:spPr>
                <a:ln w="2880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19275</c:v>
                </c:pt>
                <c:pt idx="1">
                  <c:v>22124</c:v>
                </c:pt>
                <c:pt idx="2">
                  <c:v>22576</c:v>
                </c:pt>
                <c:pt idx="3">
                  <c:v>19060</c:v>
                </c:pt>
                <c:pt idx="4">
                  <c:v>8868</c:v>
                </c:pt>
              </c:numCache>
            </c:numRef>
          </c:val>
          <c:smooth val="0"/>
        </c:ser>
        <c:ser>
          <c:idx val="1"/>
          <c:order val="1"/>
          <c:tx>
            <c:strRef>
              <c:f>label 1</c:f>
              <c:strCache>
                <c:ptCount val="1"/>
                <c:pt idx="0">
                  <c:v>Net sales</c:v>
                </c:pt>
              </c:strCache>
            </c:strRef>
          </c:tx>
          <c:spPr>
            <a:solidFill>
              <a:srgbClr val="ff420e"/>
            </a:solidFill>
            <a:ln w="28800">
              <a:solidFill>
                <a:srgbClr val="ff420e"/>
              </a:solidFill>
              <a:round/>
            </a:ln>
          </c:spPr>
          <c:marker>
            <c:symbol val="diamond"/>
            <c:size val="8"/>
            <c:spPr>
              <a:solidFill>
                <a:srgbClr val="ff420e"/>
              </a:solidFill>
            </c:spPr>
          </c:marker>
          <c:dLbls>
            <c:txPr>
              <a:bodyPr wrap="none"/>
              <a:lstStyle/>
              <a:p>
                <a:pPr>
                  <a:defRPr sz="1000" b="0" u="none" strike="noStrike">
                    <a:solidFill>
                      <a:srgbClr val="000000"/>
                    </a:solidFill>
                    <a:uFillTx/>
                    <a:latin typeface="Arial"/>
                  </a:defRPr>
                </a:pPr>
              </a:p>
            </c:txPr>
            <c:dLblPos val="r"/>
            <c:showLegendKey val="0"/>
            <c:showVal val="0"/>
            <c:showCatName val="0"/>
            <c:showSerName val="0"/>
            <c:showPercent val="0"/>
            <c:separator> </c:separator>
            <c:showLeaderLines val="1"/>
            <c:leaderLines>
              <c:spPr>
                <a:ln w="2880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1</c:f>
              <c:numCache>
                <c:formatCode>General</c:formatCode>
                <c:ptCount val="5"/>
                <c:pt idx="0">
                  <c:v>250200</c:v>
                </c:pt>
                <c:pt idx="1">
                  <c:v>279232</c:v>
                </c:pt>
                <c:pt idx="2">
                  <c:v>322284</c:v>
                </c:pt>
                <c:pt idx="3">
                  <c:v>324656</c:v>
                </c:pt>
                <c:pt idx="4">
                  <c:v>321913</c:v>
                </c:pt>
              </c:numCache>
            </c:numRef>
          </c:val>
          <c:smooth val="0"/>
        </c:ser>
        <c:hiLowLines>
          <c:spPr>
            <a:ln w="0">
              <a:noFill/>
            </a:ln>
          </c:spPr>
        </c:hiLowLines>
        <c:marker val="1"/>
        <c:axId val="21192981"/>
        <c:axId val="82906601"/>
      </c:lineChart>
      <c:catAx>
        <c:axId val="21192981"/>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82906601"/>
        <c:crosses val="autoZero"/>
        <c:auto val="1"/>
        <c:lblAlgn val="ctr"/>
        <c:lblOffset val="100"/>
        <c:noMultiLvlLbl val="0"/>
      </c:catAx>
      <c:valAx>
        <c:axId val="82906601"/>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21192981"/>
        <c:crosses val="autoZero"/>
        <c:crossBetween val="midCat"/>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Operating profit margin</c:v>
                </c:pt>
              </c:strCache>
            </c:strRef>
          </c:tx>
          <c:spPr>
            <a:solidFill>
              <a:srgbClr val="ffd320"/>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7.7</c:v>
                </c:pt>
                <c:pt idx="1">
                  <c:v>7.92</c:v>
                </c:pt>
                <c:pt idx="2">
                  <c:v>7</c:v>
                </c:pt>
                <c:pt idx="3">
                  <c:v>5.87</c:v>
                </c:pt>
                <c:pt idx="4">
                  <c:v>2.75</c:v>
                </c:pt>
              </c:numCache>
            </c:numRef>
          </c:val>
        </c:ser>
        <c:gapWidth val="100"/>
        <c:overlap val="0"/>
        <c:axId val="41663251"/>
        <c:axId val="27614831"/>
      </c:barChart>
      <c:catAx>
        <c:axId val="41663251"/>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27614831"/>
        <c:crosses val="autoZero"/>
        <c:auto val="1"/>
        <c:lblAlgn val="ctr"/>
        <c:lblOffset val="100"/>
        <c:noMultiLvlLbl val="0"/>
      </c:catAx>
      <c:valAx>
        <c:axId val="27614831"/>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41663251"/>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lineChart>
        <c:grouping val="standard"/>
        <c:varyColors val="0"/>
        <c:ser>
          <c:idx val="0"/>
          <c:order val="0"/>
          <c:tx>
            <c:strRef>
              <c:f>label 0</c:f>
              <c:strCache>
                <c:ptCount val="1"/>
                <c:pt idx="0">
                  <c:v>Net income</c:v>
                </c:pt>
              </c:strCache>
            </c:strRef>
          </c:tx>
          <c:spPr>
            <a:solidFill>
              <a:srgbClr val="004586"/>
            </a:solidFill>
            <a:ln w="28800">
              <a:solidFill>
                <a:srgbClr val="004586"/>
              </a:solidFill>
              <a:round/>
            </a:ln>
          </c:spPr>
          <c:marker>
            <c:symbol val="square"/>
            <c:size val="8"/>
            <c:spPr>
              <a:solidFill>
                <a:srgbClr val="004586"/>
              </a:solidFill>
            </c:spPr>
          </c:marker>
          <c:dLbls>
            <c:txPr>
              <a:bodyPr wrap="none"/>
              <a:lstStyle/>
              <a:p>
                <a:pPr>
                  <a:defRPr sz="1000" b="0" u="none" strike="noStrike">
                    <a:solidFill>
                      <a:srgbClr val="000000"/>
                    </a:solidFill>
                    <a:uFillTx/>
                    <a:latin typeface="Arial"/>
                  </a:defRPr>
                </a:pPr>
              </a:p>
            </c:txPr>
            <c:dLblPos val="r"/>
            <c:showLegendKey val="0"/>
            <c:showVal val="0"/>
            <c:showCatName val="0"/>
            <c:showSerName val="0"/>
            <c:showPercent val="0"/>
            <c:separator> </c:separator>
            <c:showLeaderLines val="1"/>
            <c:leaderLines>
              <c:spPr>
                <a:ln w="2880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15428</c:v>
                </c:pt>
                <c:pt idx="1">
                  <c:v>15836</c:v>
                </c:pt>
                <c:pt idx="2">
                  <c:v>17928</c:v>
                </c:pt>
                <c:pt idx="3">
                  <c:v>12394</c:v>
                </c:pt>
                <c:pt idx="4">
                  <c:v>6904</c:v>
                </c:pt>
              </c:numCache>
            </c:numRef>
          </c:val>
          <c:smooth val="0"/>
        </c:ser>
        <c:ser>
          <c:idx val="1"/>
          <c:order val="1"/>
          <c:tx>
            <c:strRef>
              <c:f>label 1</c:f>
              <c:strCache>
                <c:ptCount val="1"/>
                <c:pt idx="0">
                  <c:v>Shareholder`s Equity</c:v>
                </c:pt>
              </c:strCache>
            </c:strRef>
          </c:tx>
          <c:spPr>
            <a:solidFill>
              <a:srgbClr val="ff420e"/>
            </a:solidFill>
            <a:ln w="28800">
              <a:solidFill>
                <a:srgbClr val="ff420e"/>
              </a:solidFill>
              <a:round/>
            </a:ln>
          </c:spPr>
          <c:marker>
            <c:symbol val="diamond"/>
            <c:size val="8"/>
            <c:spPr>
              <a:solidFill>
                <a:srgbClr val="ff420e"/>
              </a:solidFill>
            </c:spPr>
          </c:marker>
          <c:dLbls>
            <c:txPr>
              <a:bodyPr wrap="none"/>
              <a:lstStyle/>
              <a:p>
                <a:pPr>
                  <a:defRPr sz="1000" b="0" u="none" strike="noStrike">
                    <a:solidFill>
                      <a:srgbClr val="000000"/>
                    </a:solidFill>
                    <a:uFillTx/>
                    <a:latin typeface="Arial"/>
                  </a:defRPr>
                </a:pPr>
              </a:p>
            </c:txPr>
            <c:dLblPos val="r"/>
            <c:showLegendKey val="0"/>
            <c:showVal val="0"/>
            <c:showCatName val="0"/>
            <c:showSerName val="0"/>
            <c:showPercent val="0"/>
            <c:separator> </c:separator>
            <c:showLeaderLines val="1"/>
            <c:leaderLines>
              <c:spPr>
                <a:ln w="2880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1</c:f>
              <c:numCache>
                <c:formatCode>General</c:formatCode>
                <c:ptCount val="5"/>
                <c:pt idx="0">
                  <c:v>146154</c:v>
                </c:pt>
                <c:pt idx="1">
                  <c:v>178328</c:v>
                </c:pt>
                <c:pt idx="2">
                  <c:v>189186</c:v>
                </c:pt>
                <c:pt idx="3">
                  <c:v>196731</c:v>
                </c:pt>
                <c:pt idx="4">
                  <c:v>202400</c:v>
                </c:pt>
              </c:numCache>
            </c:numRef>
          </c:val>
          <c:smooth val="0"/>
        </c:ser>
        <c:hiLowLines>
          <c:spPr>
            <a:ln w="0">
              <a:noFill/>
            </a:ln>
          </c:spPr>
        </c:hiLowLines>
        <c:marker val="1"/>
        <c:axId val="46797723"/>
        <c:axId val="51952387"/>
      </c:lineChart>
      <c:catAx>
        <c:axId val="46797723"/>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51952387"/>
        <c:crosses val="autoZero"/>
        <c:auto val="1"/>
        <c:lblAlgn val="ctr"/>
        <c:lblOffset val="100"/>
        <c:noMultiLvlLbl val="0"/>
      </c:catAx>
      <c:valAx>
        <c:axId val="51952387"/>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46797723"/>
        <c:crosses val="autoZero"/>
        <c:crossBetween val="midCat"/>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lineChart>
        <c:grouping val="standard"/>
        <c:varyColors val="0"/>
        <c:ser>
          <c:idx val="0"/>
          <c:order val="0"/>
          <c:tx>
            <c:strRef>
              <c:f>label 0</c:f>
              <c:strCache>
                <c:ptCount val="1"/>
                <c:pt idx="0">
                  <c:v>Net income</c:v>
                </c:pt>
              </c:strCache>
            </c:strRef>
          </c:tx>
          <c:spPr>
            <a:solidFill>
              <a:srgbClr val="004586"/>
            </a:solidFill>
            <a:ln w="28800">
              <a:solidFill>
                <a:srgbClr val="004586"/>
              </a:solidFill>
              <a:round/>
            </a:ln>
          </c:spPr>
          <c:marker>
            <c:symbol val="square"/>
            <c:size val="8"/>
            <c:spPr>
              <a:solidFill>
                <a:srgbClr val="004586"/>
              </a:solidFill>
            </c:spPr>
          </c:marker>
          <c:dLbls>
            <c:txPr>
              <a:bodyPr wrap="none"/>
              <a:lstStyle/>
              <a:p>
                <a:pPr>
                  <a:defRPr sz="1000" b="0" u="none" strike="noStrike">
                    <a:solidFill>
                      <a:srgbClr val="000000"/>
                    </a:solidFill>
                    <a:uFillTx/>
                    <a:latin typeface="Arial"/>
                  </a:defRPr>
                </a:pPr>
              </a:p>
            </c:txPr>
            <c:dLblPos val="r"/>
            <c:showLegendKey val="0"/>
            <c:showVal val="0"/>
            <c:showCatName val="0"/>
            <c:showSerName val="0"/>
            <c:showPercent val="0"/>
            <c:separator> </c:separator>
            <c:showLeaderLines val="1"/>
            <c:leaderLines>
              <c:spPr>
                <a:ln w="2880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10.56</c:v>
                </c:pt>
                <c:pt idx="1">
                  <c:v>8.88</c:v>
                </c:pt>
                <c:pt idx="2">
                  <c:v>9.48</c:v>
                </c:pt>
                <c:pt idx="3">
                  <c:v>6.3</c:v>
                </c:pt>
                <c:pt idx="4">
                  <c:v>3.41</c:v>
                </c:pt>
              </c:numCache>
            </c:numRef>
          </c:val>
          <c:smooth val="0"/>
        </c:ser>
        <c:hiLowLines>
          <c:spPr>
            <a:ln w="0">
              <a:noFill/>
            </a:ln>
          </c:spPr>
        </c:hiLowLines>
        <c:marker val="1"/>
        <c:axId val="84573405"/>
        <c:axId val="56935525"/>
      </c:lineChart>
      <c:catAx>
        <c:axId val="84573405"/>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56935525"/>
        <c:crosses val="autoZero"/>
        <c:auto val="1"/>
        <c:lblAlgn val="ctr"/>
        <c:lblOffset val="100"/>
        <c:noMultiLvlLbl val="0"/>
      </c:catAx>
      <c:valAx>
        <c:axId val="56935525"/>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84573405"/>
        <c:crosses val="autoZero"/>
        <c:crossBetween val="midCat"/>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Cost of sales</c:v>
                </c:pt>
              </c:strCache>
            </c:strRef>
          </c:tx>
          <c:spPr>
            <a:solidFill>
              <a:srgbClr val="004586"/>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438424</c:v>
                </c:pt>
                <c:pt idx="1">
                  <c:v>428586</c:v>
                </c:pt>
                <c:pt idx="2">
                  <c:v>390459</c:v>
                </c:pt>
                <c:pt idx="3">
                  <c:v>322897</c:v>
                </c:pt>
                <c:pt idx="4">
                  <c:v>280885</c:v>
                </c:pt>
              </c:numCache>
            </c:numRef>
          </c:val>
        </c:ser>
        <c:ser>
          <c:idx val="1"/>
          <c:order val="1"/>
          <c:tx>
            <c:strRef>
              <c:f>label 1</c:f>
              <c:strCache>
                <c:ptCount val="1"/>
                <c:pt idx="0">
                  <c:v>Inventory</c:v>
                </c:pt>
              </c:strCache>
            </c:strRef>
          </c:tx>
          <c:spPr>
            <a:solidFill>
              <a:srgbClr val="ff420e"/>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1</c:f>
              <c:numCache>
                <c:formatCode>General</c:formatCode>
                <c:ptCount val="5"/>
                <c:pt idx="0">
                  <c:v>120430</c:v>
                </c:pt>
                <c:pt idx="1">
                  <c:v>134469</c:v>
                </c:pt>
                <c:pt idx="2">
                  <c:v>140181</c:v>
                </c:pt>
                <c:pt idx="3">
                  <c:v>88273</c:v>
                </c:pt>
                <c:pt idx="4">
                  <c:v>79355</c:v>
                </c:pt>
              </c:numCache>
            </c:numRef>
          </c:val>
        </c:ser>
        <c:gapWidth val="100"/>
        <c:overlap val="0"/>
        <c:axId val="26073374"/>
        <c:axId val="22479705"/>
      </c:barChart>
      <c:catAx>
        <c:axId val="26073374"/>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22479705"/>
        <c:crosses val="autoZero"/>
        <c:auto val="1"/>
        <c:lblAlgn val="ctr"/>
        <c:lblOffset val="100"/>
        <c:noMultiLvlLbl val="0"/>
      </c:catAx>
      <c:valAx>
        <c:axId val="22479705"/>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26073374"/>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lineChart>
        <c:grouping val="standard"/>
        <c:varyColors val="0"/>
        <c:ser>
          <c:idx val="0"/>
          <c:order val="0"/>
          <c:tx>
            <c:strRef>
              <c:f>label 0</c:f>
              <c:strCache>
                <c:ptCount val="1"/>
                <c:pt idx="0">
                  <c:v>Current ratio</c:v>
                </c:pt>
              </c:strCache>
            </c:strRef>
          </c:tx>
          <c:spPr>
            <a:solidFill>
              <a:srgbClr val="ff420e"/>
            </a:solidFill>
            <a:ln w="28800">
              <a:solidFill>
                <a:srgbClr val="ff420e"/>
              </a:solidFill>
              <a:round/>
            </a:ln>
          </c:spPr>
          <c:marker>
            <c:symbol val="square"/>
            <c:size val="8"/>
            <c:spPr>
              <a:solidFill>
                <a:srgbClr val="ff420e"/>
              </a:solidFill>
            </c:spPr>
          </c:marker>
          <c:dLbls>
            <c:txPr>
              <a:bodyPr wrap="none"/>
              <a:lstStyle/>
              <a:p>
                <a:pPr>
                  <a:defRPr sz="1000" b="0" u="none" strike="noStrike">
                    <a:solidFill>
                      <a:srgbClr val="000000"/>
                    </a:solidFill>
                    <a:uFillTx/>
                    <a:latin typeface="Arial"/>
                  </a:defRPr>
                </a:pPr>
              </a:p>
            </c:txPr>
            <c:dLblPos val="r"/>
            <c:showLegendKey val="0"/>
            <c:showVal val="0"/>
            <c:showCatName val="0"/>
            <c:showSerName val="0"/>
            <c:showPercent val="0"/>
            <c:separator> </c:separator>
            <c:showLeaderLines val="1"/>
            <c:leaderLines>
              <c:spPr>
                <a:ln w="2880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1.17</c:v>
                </c:pt>
                <c:pt idx="1">
                  <c:v>1.15</c:v>
                </c:pt>
                <c:pt idx="2">
                  <c:v>1.15</c:v>
                </c:pt>
                <c:pt idx="3">
                  <c:v>1.15</c:v>
                </c:pt>
                <c:pt idx="4">
                  <c:v>1.15</c:v>
                </c:pt>
              </c:numCache>
            </c:numRef>
          </c:val>
          <c:smooth val="0"/>
        </c:ser>
        <c:hiLowLines>
          <c:spPr>
            <a:ln w="0">
              <a:noFill/>
            </a:ln>
          </c:spPr>
        </c:hiLowLines>
        <c:marker val="1"/>
        <c:axId val="95078516"/>
        <c:axId val="86503200"/>
      </c:lineChart>
      <c:catAx>
        <c:axId val="95078516"/>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86503200"/>
        <c:crosses val="autoZero"/>
        <c:auto val="1"/>
        <c:lblAlgn val="ctr"/>
        <c:lblOffset val="100"/>
        <c:noMultiLvlLbl val="0"/>
      </c:catAx>
      <c:valAx>
        <c:axId val="86503200"/>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95078516"/>
        <c:crosses val="autoZero"/>
        <c:crossBetween val="midCat"/>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Current asset</c:v>
                </c:pt>
              </c:strCache>
            </c:strRef>
          </c:tx>
          <c:spPr>
            <a:solidFill>
              <a:srgbClr val="004586"/>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326843</c:v>
                </c:pt>
                <c:pt idx="1">
                  <c:v>337146</c:v>
                </c:pt>
                <c:pt idx="2">
                  <c:v>338040</c:v>
                </c:pt>
                <c:pt idx="3">
                  <c:v>258851</c:v>
                </c:pt>
                <c:pt idx="4">
                  <c:v>242100</c:v>
                </c:pt>
              </c:numCache>
            </c:numRef>
          </c:val>
        </c:ser>
        <c:ser>
          <c:idx val="1"/>
          <c:order val="1"/>
          <c:tx>
            <c:strRef>
              <c:f>label 1</c:f>
              <c:strCache>
                <c:ptCount val="1"/>
                <c:pt idx="0">
                  <c:v>Current liability</c:v>
                </c:pt>
              </c:strCache>
            </c:strRef>
          </c:tx>
          <c:spPr>
            <a:solidFill>
              <a:srgbClr val="ff420e"/>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1</c:f>
              <c:numCache>
                <c:formatCode>General</c:formatCode>
                <c:ptCount val="5"/>
                <c:pt idx="0">
                  <c:v>179510</c:v>
                </c:pt>
                <c:pt idx="1">
                  <c:v>216787</c:v>
                </c:pt>
                <c:pt idx="2">
                  <c:v>216473</c:v>
                </c:pt>
                <c:pt idx="3">
                  <c:v>161148</c:v>
                </c:pt>
                <c:pt idx="4">
                  <c:v>210500</c:v>
                </c:pt>
              </c:numCache>
            </c:numRef>
          </c:val>
        </c:ser>
        <c:ser>
          <c:idx val="2"/>
          <c:order val="2"/>
          <c:tx>
            <c:strRef>
              <c:f>label 2</c:f>
              <c:strCache>
                <c:ptCount val="1"/>
                <c:pt idx="0">
                  <c:v>Inventory</c:v>
                </c:pt>
              </c:strCache>
            </c:strRef>
          </c:tx>
          <c:spPr>
            <a:solidFill>
              <a:srgbClr val="ffd320"/>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2</c:f>
              <c:numCache>
                <c:formatCode>General</c:formatCode>
                <c:ptCount val="5"/>
                <c:pt idx="0">
                  <c:v>120430</c:v>
                </c:pt>
                <c:pt idx="1">
                  <c:v>134469</c:v>
                </c:pt>
                <c:pt idx="2">
                  <c:v>140181</c:v>
                </c:pt>
                <c:pt idx="3">
                  <c:v>88273</c:v>
                </c:pt>
                <c:pt idx="4">
                  <c:v>61000</c:v>
                </c:pt>
              </c:numCache>
            </c:numRef>
          </c:val>
        </c:ser>
        <c:gapWidth val="100"/>
        <c:overlap val="0"/>
        <c:axId val="64411871"/>
        <c:axId val="59898346"/>
      </c:barChart>
      <c:catAx>
        <c:axId val="64411871"/>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59898346"/>
        <c:crosses val="autoZero"/>
        <c:auto val="1"/>
        <c:lblAlgn val="ctr"/>
        <c:lblOffset val="100"/>
        <c:noMultiLvlLbl val="0"/>
      </c:catAx>
      <c:valAx>
        <c:axId val="59898346"/>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64411871"/>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Quick ratio</c:v>
                </c:pt>
              </c:strCache>
            </c:strRef>
          </c:tx>
          <c:spPr>
            <a:solidFill>
              <a:srgbClr val="579d1c"/>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1.15</c:v>
                </c:pt>
                <c:pt idx="1">
                  <c:v>0.93</c:v>
                </c:pt>
                <c:pt idx="2">
                  <c:v>0.91</c:v>
                </c:pt>
                <c:pt idx="3">
                  <c:v>1.06</c:v>
                </c:pt>
                <c:pt idx="4">
                  <c:v>0.86</c:v>
                </c:pt>
              </c:numCache>
            </c:numRef>
          </c:val>
        </c:ser>
        <c:gapWidth val="100"/>
        <c:overlap val="0"/>
        <c:axId val="3871366"/>
        <c:axId val="29064199"/>
      </c:barChart>
      <c:catAx>
        <c:axId val="3871366"/>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29064199"/>
        <c:crosses val="autoZero"/>
        <c:auto val="1"/>
        <c:lblAlgn val="ctr"/>
        <c:lblOffset val="100"/>
        <c:noMultiLvlLbl val="0"/>
      </c:catAx>
      <c:valAx>
        <c:axId val="29064199"/>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3871366"/>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11.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Cost of sales</c:v>
                </c:pt>
              </c:strCache>
            </c:strRef>
          </c:tx>
          <c:spPr>
            <a:solidFill>
              <a:srgbClr val="004586"/>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2024</c:v>
                </c:pt>
              </c:strCache>
            </c:strRef>
          </c:cat>
          <c:val>
            <c:numRef>
              <c:f>0</c:f>
              <c:numCache>
                <c:formatCode>General</c:formatCode>
                <c:ptCount val="5"/>
                <c:pt idx="0">
                  <c:v>202959</c:v>
                </c:pt>
                <c:pt idx="1">
                  <c:v>226866</c:v>
                </c:pt>
                <c:pt idx="2">
                  <c:v>261299</c:v>
                </c:pt>
                <c:pt idx="3">
                  <c:v>265184</c:v>
                </c:pt>
                <c:pt idx="4">
                  <c:v>280885</c:v>
                </c:pt>
              </c:numCache>
            </c:numRef>
          </c:val>
        </c:ser>
        <c:ser>
          <c:idx val="1"/>
          <c:order val="1"/>
          <c:tx>
            <c:strRef>
              <c:f>label 1</c:f>
              <c:strCache>
                <c:ptCount val="1"/>
                <c:pt idx="0">
                  <c:v>Inventory</c:v>
                </c:pt>
              </c:strCache>
            </c:strRef>
          </c:tx>
          <c:spPr>
            <a:solidFill>
              <a:srgbClr val="ff420e"/>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2024</c:v>
                </c:pt>
              </c:strCache>
            </c:strRef>
          </c:cat>
          <c:val>
            <c:numRef>
              <c:f>1</c:f>
              <c:numCache>
                <c:formatCode>General</c:formatCode>
                <c:ptCount val="5"/>
                <c:pt idx="0">
                  <c:v>44200</c:v>
                </c:pt>
                <c:pt idx="1">
                  <c:v>51300</c:v>
                </c:pt>
                <c:pt idx="2">
                  <c:v>55400</c:v>
                </c:pt>
                <c:pt idx="3">
                  <c:v>58100</c:v>
                </c:pt>
                <c:pt idx="4">
                  <c:v>61000</c:v>
                </c:pt>
              </c:numCache>
            </c:numRef>
          </c:val>
        </c:ser>
        <c:gapWidth val="100"/>
        <c:overlap val="0"/>
        <c:axId val="70523767"/>
        <c:axId val="87377632"/>
      </c:barChart>
      <c:catAx>
        <c:axId val="70523767"/>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87377632"/>
        <c:crosses val="autoZero"/>
        <c:auto val="1"/>
        <c:lblAlgn val="ctr"/>
        <c:lblOffset val="100"/>
        <c:noMultiLvlLbl val="0"/>
      </c:catAx>
      <c:valAx>
        <c:axId val="87377632"/>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70523767"/>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12.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Inventory turnover ratio</c:v>
                </c:pt>
              </c:strCache>
            </c:strRef>
          </c:tx>
          <c:spPr>
            <a:solidFill>
              <a:srgbClr val="ffd320"/>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2024</c:v>
                </c:pt>
              </c:strCache>
            </c:strRef>
          </c:cat>
          <c:val>
            <c:numRef>
              <c:f>0</c:f>
              <c:numCache>
                <c:formatCode>General</c:formatCode>
                <c:ptCount val="5"/>
                <c:pt idx="0">
                  <c:v>4.59</c:v>
                </c:pt>
                <c:pt idx="1">
                  <c:v>4.42</c:v>
                </c:pt>
                <c:pt idx="2">
                  <c:v>4.72</c:v>
                </c:pt>
                <c:pt idx="3">
                  <c:v>4.56</c:v>
                </c:pt>
                <c:pt idx="4">
                  <c:v>4.44</c:v>
                </c:pt>
              </c:numCache>
            </c:numRef>
          </c:val>
        </c:ser>
        <c:gapWidth val="100"/>
        <c:overlap val="0"/>
        <c:axId val="2551864"/>
        <c:axId val="43901142"/>
      </c:barChart>
      <c:catAx>
        <c:axId val="2551864"/>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43901142"/>
        <c:crosses val="autoZero"/>
        <c:auto val="1"/>
        <c:lblAlgn val="ctr"/>
        <c:lblOffset val="100"/>
        <c:noMultiLvlLbl val="0"/>
      </c:catAx>
      <c:valAx>
        <c:axId val="43901142"/>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2551864"/>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13.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Total Liabilities</c:v>
                </c:pt>
              </c:strCache>
            </c:strRef>
          </c:tx>
          <c:spPr>
            <a:solidFill>
              <a:srgbClr val="004586"/>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382455</c:v>
                </c:pt>
                <c:pt idx="1">
                  <c:v>385685</c:v>
                </c:pt>
                <c:pt idx="2">
                  <c:v>411463</c:v>
                </c:pt>
                <c:pt idx="3">
                  <c:v>436174</c:v>
                </c:pt>
                <c:pt idx="4">
                  <c:v>448500</c:v>
                </c:pt>
              </c:numCache>
            </c:numRef>
          </c:val>
        </c:ser>
        <c:ser>
          <c:idx val="1"/>
          <c:order val="1"/>
          <c:tx>
            <c:strRef>
              <c:f>label 1</c:f>
              <c:strCache>
                <c:ptCount val="1"/>
                <c:pt idx="0">
                  <c:v>Shareholders Equity</c:v>
                </c:pt>
              </c:strCache>
            </c:strRef>
          </c:tx>
          <c:spPr>
            <a:solidFill>
              <a:srgbClr val="ff420e"/>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1</c:f>
              <c:numCache>
                <c:formatCode>General</c:formatCode>
                <c:ptCount val="5"/>
                <c:pt idx="0">
                  <c:v>146154</c:v>
                </c:pt>
                <c:pt idx="1">
                  <c:v>178328</c:v>
                </c:pt>
                <c:pt idx="2">
                  <c:v>189186</c:v>
                </c:pt>
                <c:pt idx="3">
                  <c:v>196731</c:v>
                </c:pt>
                <c:pt idx="4">
                  <c:v>202400</c:v>
                </c:pt>
              </c:numCache>
            </c:numRef>
          </c:val>
        </c:ser>
        <c:gapWidth val="100"/>
        <c:overlap val="0"/>
        <c:axId val="81975377"/>
        <c:axId val="72670139"/>
      </c:barChart>
      <c:catAx>
        <c:axId val="81975377"/>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72670139"/>
        <c:crosses val="autoZero"/>
        <c:auto val="1"/>
        <c:lblAlgn val="ctr"/>
        <c:lblOffset val="100"/>
        <c:noMultiLvlLbl val="0"/>
      </c:catAx>
      <c:valAx>
        <c:axId val="72670139"/>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81975377"/>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14.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Debt to equity ratio</c:v>
                </c:pt>
              </c:strCache>
            </c:strRef>
          </c:tx>
          <c:spPr>
            <a:solidFill>
              <a:srgbClr val="ffd320"/>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2.62</c:v>
                </c:pt>
                <c:pt idx="1">
                  <c:v>2.16</c:v>
                </c:pt>
                <c:pt idx="2">
                  <c:v>2.17</c:v>
                </c:pt>
                <c:pt idx="3">
                  <c:v>2.22</c:v>
                </c:pt>
                <c:pt idx="4">
                  <c:v>2.22</c:v>
                </c:pt>
              </c:numCache>
            </c:numRef>
          </c:val>
        </c:ser>
        <c:gapWidth val="100"/>
        <c:overlap val="0"/>
        <c:axId val="20081520"/>
        <c:axId val="97027191"/>
      </c:barChart>
      <c:catAx>
        <c:axId val="20081520"/>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97027191"/>
        <c:crosses val="autoZero"/>
        <c:auto val="1"/>
        <c:lblAlgn val="ctr"/>
        <c:lblOffset val="100"/>
        <c:noMultiLvlLbl val="0"/>
      </c:catAx>
      <c:valAx>
        <c:axId val="97027191"/>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20081520"/>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15.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Total Liabilities</c:v>
                </c:pt>
              </c:strCache>
            </c:strRef>
          </c:tx>
          <c:spPr>
            <a:solidFill>
              <a:srgbClr val="004586"/>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382455</c:v>
                </c:pt>
                <c:pt idx="1">
                  <c:v>385685</c:v>
                </c:pt>
                <c:pt idx="2">
                  <c:v>411463</c:v>
                </c:pt>
                <c:pt idx="3">
                  <c:v>436174</c:v>
                </c:pt>
                <c:pt idx="4">
                  <c:v>448500</c:v>
                </c:pt>
              </c:numCache>
            </c:numRef>
          </c:val>
        </c:ser>
        <c:ser>
          <c:idx val="1"/>
          <c:order val="1"/>
          <c:tx>
            <c:strRef>
              <c:f>label 1</c:f>
              <c:strCache>
                <c:ptCount val="1"/>
                <c:pt idx="0">
                  <c:v>Shareholders Equity</c:v>
                </c:pt>
              </c:strCache>
            </c:strRef>
          </c:tx>
          <c:spPr>
            <a:solidFill>
              <a:srgbClr val="ff420e"/>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1</c:f>
              <c:numCache>
                <c:formatCode>General</c:formatCode>
                <c:ptCount val="5"/>
                <c:pt idx="0">
                  <c:v>146154</c:v>
                </c:pt>
                <c:pt idx="1">
                  <c:v>178328</c:v>
                </c:pt>
                <c:pt idx="2">
                  <c:v>189186</c:v>
                </c:pt>
                <c:pt idx="3">
                  <c:v>196731</c:v>
                </c:pt>
                <c:pt idx="4">
                  <c:v>202400</c:v>
                </c:pt>
              </c:numCache>
            </c:numRef>
          </c:val>
        </c:ser>
        <c:gapWidth val="100"/>
        <c:overlap val="0"/>
        <c:axId val="43912839"/>
        <c:axId val="96521180"/>
      </c:barChart>
      <c:catAx>
        <c:axId val="43912839"/>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96521180"/>
        <c:crosses val="autoZero"/>
        <c:auto val="1"/>
        <c:lblAlgn val="ctr"/>
        <c:lblOffset val="100"/>
        <c:noMultiLvlLbl val="0"/>
      </c:catAx>
      <c:valAx>
        <c:axId val="96521180"/>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43912839"/>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16.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Debt to equity ratio</c:v>
                </c:pt>
              </c:strCache>
            </c:strRef>
          </c:tx>
          <c:spPr>
            <a:solidFill>
              <a:srgbClr val="ffd320"/>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2.62</c:v>
                </c:pt>
                <c:pt idx="1">
                  <c:v>2.16</c:v>
                </c:pt>
                <c:pt idx="2">
                  <c:v>2.17</c:v>
                </c:pt>
                <c:pt idx="3">
                  <c:v>2.22</c:v>
                </c:pt>
                <c:pt idx="4">
                  <c:v>2.22</c:v>
                </c:pt>
              </c:numCache>
            </c:numRef>
          </c:val>
        </c:ser>
        <c:gapWidth val="100"/>
        <c:overlap val="0"/>
        <c:axId val="15283406"/>
        <c:axId val="53935984"/>
      </c:barChart>
      <c:catAx>
        <c:axId val="15283406"/>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53935984"/>
        <c:crosses val="autoZero"/>
        <c:auto val="1"/>
        <c:lblAlgn val="ctr"/>
        <c:lblOffset val="100"/>
        <c:noMultiLvlLbl val="0"/>
      </c:catAx>
      <c:valAx>
        <c:axId val="53935984"/>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15283406"/>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17.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Operating income</c:v>
                </c:pt>
              </c:strCache>
            </c:strRef>
          </c:tx>
          <c:spPr>
            <a:solidFill>
              <a:srgbClr val="004586"/>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19275</c:v>
                </c:pt>
                <c:pt idx="1">
                  <c:v>22124</c:v>
                </c:pt>
                <c:pt idx="2">
                  <c:v>22576</c:v>
                </c:pt>
                <c:pt idx="3">
                  <c:v>19060</c:v>
                </c:pt>
                <c:pt idx="4">
                  <c:v>8869</c:v>
                </c:pt>
              </c:numCache>
            </c:numRef>
          </c:val>
        </c:ser>
        <c:ser>
          <c:idx val="1"/>
          <c:order val="1"/>
          <c:tx>
            <c:strRef>
              <c:f>label 1</c:f>
              <c:strCache>
                <c:ptCount val="1"/>
                <c:pt idx="0">
                  <c:v>Interest expense</c:v>
                </c:pt>
              </c:strCache>
            </c:strRef>
          </c:tx>
          <c:spPr>
            <a:solidFill>
              <a:srgbClr val="ff420e"/>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1</c:f>
              <c:numCache>
                <c:formatCode>General</c:formatCode>
                <c:ptCount val="5"/>
                <c:pt idx="0">
                  <c:v>1304</c:v>
                </c:pt>
                <c:pt idx="1">
                  <c:v>1842</c:v>
                </c:pt>
                <c:pt idx="2">
                  <c:v>3640</c:v>
                </c:pt>
                <c:pt idx="3">
                  <c:v>3446</c:v>
                </c:pt>
                <c:pt idx="4">
                  <c:v>3245</c:v>
                </c:pt>
              </c:numCache>
            </c:numRef>
          </c:val>
        </c:ser>
        <c:gapWidth val="100"/>
        <c:overlap val="0"/>
        <c:axId val="97913496"/>
        <c:axId val="87320327"/>
      </c:barChart>
      <c:catAx>
        <c:axId val="97913496"/>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87320327"/>
        <c:crosses val="autoZero"/>
        <c:auto val="1"/>
        <c:lblAlgn val="ctr"/>
        <c:lblOffset val="100"/>
        <c:noMultiLvlLbl val="0"/>
      </c:catAx>
      <c:valAx>
        <c:axId val="87320327"/>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97913496"/>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18.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Interest coverage ratio</c:v>
                </c:pt>
              </c:strCache>
            </c:strRef>
          </c:tx>
          <c:spPr>
            <a:solidFill>
              <a:srgbClr val="ffd320"/>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14.78</c:v>
                </c:pt>
                <c:pt idx="1">
                  <c:v>12.01</c:v>
                </c:pt>
                <c:pt idx="2">
                  <c:v>6.2</c:v>
                </c:pt>
                <c:pt idx="3">
                  <c:v>5.53</c:v>
                </c:pt>
                <c:pt idx="4">
                  <c:v>2.73</c:v>
                </c:pt>
              </c:numCache>
            </c:numRef>
          </c:val>
        </c:ser>
        <c:gapWidth val="100"/>
        <c:overlap val="0"/>
        <c:axId val="27351620"/>
        <c:axId val="2982752"/>
      </c:barChart>
      <c:catAx>
        <c:axId val="27351620"/>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2982752"/>
        <c:crosses val="autoZero"/>
        <c:auto val="1"/>
        <c:lblAlgn val="ctr"/>
        <c:lblOffset val="100"/>
        <c:noMultiLvlLbl val="0"/>
      </c:catAx>
      <c:valAx>
        <c:axId val="2982752"/>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27351620"/>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19.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Earnings Per Share</c:v>
                </c:pt>
              </c:strCache>
            </c:strRef>
          </c:tx>
          <c:spPr>
            <a:solidFill>
              <a:srgbClr val="004586"/>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29.59</c:v>
                </c:pt>
                <c:pt idx="1">
                  <c:v>30.01</c:v>
                </c:pt>
                <c:pt idx="2">
                  <c:v>31.79</c:v>
                </c:pt>
                <c:pt idx="3">
                  <c:v>21.36</c:v>
                </c:pt>
                <c:pt idx="4">
                  <c:v>11.5</c:v>
                </c:pt>
              </c:numCache>
            </c:numRef>
          </c:val>
        </c:ser>
        <c:gapWidth val="100"/>
        <c:overlap val="0"/>
        <c:axId val="15856470"/>
        <c:axId val="9934659"/>
      </c:barChart>
      <c:catAx>
        <c:axId val="15856470"/>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9934659"/>
        <c:crosses val="autoZero"/>
        <c:auto val="1"/>
        <c:lblAlgn val="ctr"/>
        <c:lblOffset val="100"/>
        <c:noMultiLvlLbl val="0"/>
      </c:catAx>
      <c:valAx>
        <c:axId val="9934659"/>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15856470"/>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20.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Operating Cash flow</c:v>
                </c:pt>
              </c:strCache>
            </c:strRef>
          </c:tx>
          <c:spPr>
            <a:solidFill>
              <a:srgbClr val="004586"/>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32402</c:v>
                </c:pt>
                <c:pt idx="1">
                  <c:v>29865</c:v>
                </c:pt>
                <c:pt idx="2">
                  <c:v>37851</c:v>
                </c:pt>
                <c:pt idx="3">
                  <c:v>34263</c:v>
                </c:pt>
                <c:pt idx="4">
                  <c:v>31406</c:v>
                </c:pt>
              </c:numCache>
            </c:numRef>
          </c:val>
        </c:ser>
        <c:ser>
          <c:idx val="1"/>
          <c:order val="1"/>
          <c:tx>
            <c:strRef>
              <c:f>label 1</c:f>
              <c:strCache>
                <c:ptCount val="1"/>
                <c:pt idx="0">
                  <c:v>Net sales</c:v>
                </c:pt>
              </c:strCache>
            </c:strRef>
          </c:tx>
          <c:spPr>
            <a:solidFill>
              <a:srgbClr val="ff420e"/>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1</c:f>
              <c:numCache>
                <c:formatCode>General</c:formatCode>
                <c:ptCount val="5"/>
                <c:pt idx="0">
                  <c:v>250200</c:v>
                </c:pt>
                <c:pt idx="1">
                  <c:v>279232</c:v>
                </c:pt>
                <c:pt idx="2">
                  <c:v>322284</c:v>
                </c:pt>
                <c:pt idx="3">
                  <c:v>324656</c:v>
                </c:pt>
                <c:pt idx="4">
                  <c:v>321913</c:v>
                </c:pt>
              </c:numCache>
            </c:numRef>
          </c:val>
        </c:ser>
        <c:gapWidth val="100"/>
        <c:overlap val="0"/>
        <c:axId val="26614979"/>
        <c:axId val="24015092"/>
      </c:barChart>
      <c:catAx>
        <c:axId val="26614979"/>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24015092"/>
        <c:crosses val="autoZero"/>
        <c:auto val="1"/>
        <c:lblAlgn val="ctr"/>
        <c:lblOffset val="100"/>
        <c:noMultiLvlLbl val="0"/>
      </c:catAx>
      <c:valAx>
        <c:axId val="24015092"/>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26614979"/>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21.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Operating cash Flow Margin</c:v>
                </c:pt>
              </c:strCache>
            </c:strRef>
          </c:tx>
          <c:spPr>
            <a:solidFill>
              <a:srgbClr val="ffd320"/>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12.95</c:v>
                </c:pt>
                <c:pt idx="1">
                  <c:v>10.7</c:v>
                </c:pt>
                <c:pt idx="2">
                  <c:v>11.74</c:v>
                </c:pt>
                <c:pt idx="3">
                  <c:v>10.55</c:v>
                </c:pt>
                <c:pt idx="4">
                  <c:v>9.76</c:v>
                </c:pt>
              </c:numCache>
            </c:numRef>
          </c:val>
        </c:ser>
        <c:gapWidth val="100"/>
        <c:overlap val="0"/>
        <c:axId val="75623170"/>
        <c:axId val="85738725"/>
      </c:barChart>
      <c:catAx>
        <c:axId val="75623170"/>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85738725"/>
        <c:crosses val="autoZero"/>
        <c:auto val="1"/>
        <c:lblAlgn val="ctr"/>
        <c:lblOffset val="100"/>
        <c:noMultiLvlLbl val="0"/>
      </c:catAx>
      <c:valAx>
        <c:axId val="85738725"/>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75623170"/>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22.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Operating Cash Flow</c:v>
                </c:pt>
              </c:strCache>
            </c:strRef>
          </c:tx>
          <c:spPr>
            <a:solidFill>
              <a:srgbClr val="004586"/>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32402</c:v>
                </c:pt>
                <c:pt idx="1">
                  <c:v>29865</c:v>
                </c:pt>
                <c:pt idx="2">
                  <c:v>37851</c:v>
                </c:pt>
                <c:pt idx="3">
                  <c:v>34263</c:v>
                </c:pt>
                <c:pt idx="4">
                  <c:v>31406</c:v>
                </c:pt>
              </c:numCache>
            </c:numRef>
          </c:val>
        </c:ser>
        <c:ser>
          <c:idx val="1"/>
          <c:order val="1"/>
          <c:tx>
            <c:strRef>
              <c:f>label 1</c:f>
              <c:strCache>
                <c:ptCount val="1"/>
                <c:pt idx="0">
                  <c:v>Capital expenditure</c:v>
                </c:pt>
              </c:strCache>
            </c:strRef>
          </c:tx>
          <c:spPr>
            <a:solidFill>
              <a:srgbClr val="ff420e"/>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1</c:f>
              <c:numCache>
                <c:formatCode>General</c:formatCode>
                <c:ptCount val="5"/>
                <c:pt idx="0">
                  <c:v>10496</c:v>
                </c:pt>
                <c:pt idx="1">
                  <c:v>12731</c:v>
                </c:pt>
                <c:pt idx="2">
                  <c:v>14371</c:v>
                </c:pt>
                <c:pt idx="3">
                  <c:v>21300</c:v>
                </c:pt>
                <c:pt idx="4">
                  <c:v>19500</c:v>
                </c:pt>
              </c:numCache>
            </c:numRef>
          </c:val>
        </c:ser>
        <c:ser>
          <c:idx val="2"/>
          <c:order val="2"/>
          <c:tx>
            <c:strRef>
              <c:f>label 2</c:f>
              <c:strCache>
                <c:ptCount val="1"/>
                <c:pt idx="0">
                  <c:v>Net sales</c:v>
                </c:pt>
              </c:strCache>
            </c:strRef>
          </c:tx>
          <c:spPr>
            <a:solidFill>
              <a:srgbClr val="ffd320"/>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2</c:f>
              <c:numCache>
                <c:formatCode>General</c:formatCode>
                <c:ptCount val="5"/>
                <c:pt idx="0">
                  <c:v>250200</c:v>
                </c:pt>
                <c:pt idx="1">
                  <c:v>279232</c:v>
                </c:pt>
                <c:pt idx="2">
                  <c:v>322284</c:v>
                </c:pt>
                <c:pt idx="3">
                  <c:v>324656</c:v>
                </c:pt>
                <c:pt idx="4">
                  <c:v>321913</c:v>
                </c:pt>
              </c:numCache>
            </c:numRef>
          </c:val>
        </c:ser>
        <c:gapWidth val="100"/>
        <c:overlap val="0"/>
        <c:axId val="73775332"/>
        <c:axId val="10621057"/>
      </c:barChart>
      <c:catAx>
        <c:axId val="73775332"/>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10621057"/>
        <c:crosses val="autoZero"/>
        <c:auto val="1"/>
        <c:lblAlgn val="ctr"/>
        <c:lblOffset val="100"/>
        <c:noMultiLvlLbl val="0"/>
      </c:catAx>
      <c:valAx>
        <c:axId val="10621057"/>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73775332"/>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23.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Free Cash Flow Margin</c:v>
                </c:pt>
              </c:strCache>
            </c:strRef>
          </c:tx>
          <c:spPr>
            <a:solidFill>
              <a:srgbClr val="579d1c"/>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8.76</c:v>
                </c:pt>
                <c:pt idx="1">
                  <c:v>6.14</c:v>
                </c:pt>
                <c:pt idx="2">
                  <c:v>7.29</c:v>
                </c:pt>
                <c:pt idx="3">
                  <c:v>3.99</c:v>
                </c:pt>
                <c:pt idx="4">
                  <c:v>3.7</c:v>
                </c:pt>
              </c:numCache>
            </c:numRef>
          </c:val>
        </c:ser>
        <c:gapWidth val="100"/>
        <c:overlap val="0"/>
        <c:axId val="99168390"/>
        <c:axId val="80125398"/>
      </c:barChart>
      <c:catAx>
        <c:axId val="99168390"/>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80125398"/>
        <c:crosses val="autoZero"/>
        <c:auto val="1"/>
        <c:lblAlgn val="ctr"/>
        <c:lblOffset val="100"/>
        <c:noMultiLvlLbl val="0"/>
      </c:catAx>
      <c:valAx>
        <c:axId val="80125398"/>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99168390"/>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pitchFamily="0" charset="1"/>
        <a:ea typeface=""/>
        <a:cs typeface=""/>
      </a:majorFont>
      <a:minorFont>
        <a:latin typeface="Cambria"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tint val="100000"/>
                <a:shade val="100000"/>
              </a:schemeClr>
            </a:gs>
            <a:gs pos="100000">
              <a:schemeClr val="phClr">
                <a:tint val="50000"/>
                <a:shade val="100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
  <TotalTime>3962</TotalTime>
  <Application>LibreOffice/25.8.6.2$Linux_X86_64 LibreOffice_project/a46b460d1686bb49c718d2ef5f88b83ff2dc4981</Application>
  <AppVersion>15.0000</AppVersion>
  <Pages>41</Pages>
  <Words>6001</Words>
  <Characters>35388</Characters>
  <CharactersWithSpaces>41068</CharactersWithSpaces>
  <Paragraphs>577</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2025-11-04T08:13:42Z</dcterms:created>
  <dc:creator>dasdi</dc:creator>
  <dc:description/>
  <dc:language>en-US</dc:language>
  <cp:lastModifiedBy/>
  <dcterms:modified xsi:type="dcterms:W3CDTF">2026-04-24T16:16:34Z</dcterms:modified>
  <cp:revision>747</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C9116E688BD948F5861709C88BB315E9_13</vt:lpwstr>
  </property>
  <property fmtid="{D5CDD505-2E9C-101B-9397-08002B2CF9AE}" pid="3" name="KSOProductBuildVer">
    <vt:lpwstr>1033-12.2.0.23155</vt:lpwstr>
  </property>
</Properties>
</file>