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91C65" w:rsidRPr="006E031C" w:rsidRDefault="00391C65" w:rsidP="00391C65">
      <w:pPr>
        <w:jc w:val="both"/>
        <w:rPr>
          <w:rFonts w:ascii="Arial" w:hAnsi="Arial" w:cs="Arial"/>
          <w:color w:val="000000" w:themeColor="text1"/>
        </w:rPr>
      </w:pPr>
      <w:r w:rsidRPr="006E031C">
        <w:rPr>
          <w:rFonts w:ascii="Arial" w:hAnsi="Arial" w:cs="Arial"/>
          <w:color w:val="000000" w:themeColor="text1"/>
        </w:rPr>
        <w:t xml:space="preserve">This essay seeks to critically evaluate the relative extent to which the principles of direct effect, indirect effect and state liability allow a natural and legal person to enforce the rights as intended and confer under EU law. To succinctly introduce such principles: direct effect is a binding doctrine developed by the European Court of Justice (henceforth known as ECJ) which allows for direct enforcement of EU law upon an individual via their own Member State domestic Courts. The counterpart of direct effect, indirect effect, or incidental effect, places a duty upon Member State domestic Court judges to judicially interpret domestic law in line with EU Directives. Both are instances of the private enforcement of EU law. State liability is a general principle of EU which holds a Member State accountable for breaching EU law. This enforcement of rights under Article 258 Treaty on the Functioning of the European Union (henceforth known as TFEU), formerly Article 169 EEC, allows for Member State individuals to bring their respective Member State before the ECJ for breach (Craig and De </w:t>
      </w:r>
      <w:proofErr w:type="spellStart"/>
      <w:r w:rsidRPr="006E031C">
        <w:rPr>
          <w:rFonts w:ascii="Arial" w:hAnsi="Arial" w:cs="Arial"/>
          <w:color w:val="000000" w:themeColor="text1"/>
        </w:rPr>
        <w:t>Burca</w:t>
      </w:r>
      <w:proofErr w:type="spellEnd"/>
      <w:r w:rsidRPr="006E031C">
        <w:rPr>
          <w:rFonts w:ascii="Arial" w:hAnsi="Arial" w:cs="Arial"/>
          <w:color w:val="000000" w:themeColor="text1"/>
        </w:rPr>
        <w:t>, 2020).</w:t>
      </w:r>
    </w:p>
    <w:p w:rsidR="00391C65" w:rsidRPr="006E031C" w:rsidRDefault="00391C65" w:rsidP="00391C65">
      <w:pPr>
        <w:jc w:val="both"/>
        <w:rPr>
          <w:rFonts w:ascii="Arial" w:hAnsi="Arial" w:cs="Arial"/>
          <w:color w:val="000000" w:themeColor="text1"/>
          <w:u w:val="single"/>
        </w:rPr>
      </w:pPr>
    </w:p>
    <w:p w:rsidR="00391C65" w:rsidRPr="006E031C" w:rsidRDefault="00391C65" w:rsidP="00391C65">
      <w:pPr>
        <w:jc w:val="both"/>
        <w:rPr>
          <w:rFonts w:ascii="Arial" w:hAnsi="Arial" w:cs="Arial"/>
          <w:u w:val="single"/>
        </w:rPr>
      </w:pPr>
      <w:r w:rsidRPr="006E031C">
        <w:rPr>
          <w:rFonts w:ascii="Arial" w:hAnsi="Arial" w:cs="Arial"/>
          <w:u w:val="single"/>
        </w:rPr>
        <w:t>Direct Effect</w:t>
      </w:r>
    </w:p>
    <w:p w:rsidR="00391C65" w:rsidRPr="006E031C" w:rsidRDefault="00391C65" w:rsidP="00391C65">
      <w:pPr>
        <w:shd w:val="clear" w:color="auto" w:fill="FFFFFF"/>
        <w:spacing w:after="0" w:line="240" w:lineRule="auto"/>
        <w:jc w:val="both"/>
        <w:rPr>
          <w:rFonts w:ascii="Arial" w:eastAsia="Times New Roman" w:hAnsi="Arial" w:cs="Arial"/>
          <w:color w:val="000000" w:themeColor="text1"/>
          <w:lang w:eastAsia="en-GB"/>
        </w:rPr>
      </w:pPr>
    </w:p>
    <w:p w:rsidR="00391C65" w:rsidRPr="006E031C" w:rsidRDefault="00391C65" w:rsidP="00391C65">
      <w:pPr>
        <w:shd w:val="clear" w:color="auto" w:fill="FFFFFF"/>
        <w:spacing w:after="0" w:line="240" w:lineRule="auto"/>
        <w:jc w:val="both"/>
        <w:rPr>
          <w:rFonts w:ascii="Arial" w:eastAsia="Times New Roman" w:hAnsi="Arial" w:cs="Arial"/>
          <w:color w:val="000000" w:themeColor="text1"/>
          <w:lang w:eastAsia="en-GB"/>
        </w:rPr>
      </w:pPr>
      <w:r w:rsidRPr="006E031C">
        <w:rPr>
          <w:rFonts w:ascii="Arial" w:eastAsia="Times New Roman" w:hAnsi="Arial" w:cs="Arial"/>
          <w:color w:val="000000" w:themeColor="text1"/>
          <w:lang w:eastAsia="en-GB"/>
        </w:rPr>
        <w:t xml:space="preserve">When examining the doctrine of direct effect, it is important to firstly define direct applicability of EU law. This is essentially the fact that EU applies to the individuals of a Member State without said Member State having anything further to implement. The scope of the applicability of direct effect applies to the main source of EU law, those being treaty articles (namely, </w:t>
      </w:r>
      <w:r w:rsidRPr="006E031C">
        <w:rPr>
          <w:rFonts w:ascii="Arial" w:hAnsi="Arial" w:cs="Arial"/>
          <w:iCs/>
          <w:lang w:val="en-US"/>
        </w:rPr>
        <w:t>Treaty on the European Union (TEU) and Treaty on the Functioning of the European Union (TFEU) under the Treaty of Lisbon), and other sources of EU law, such as secondary legislation under Article 288 TFEU which includes regulations, directives, decisions, recommendations and opinions.</w:t>
      </w:r>
      <w:r w:rsidRPr="006E031C">
        <w:rPr>
          <w:rFonts w:ascii="Arial" w:eastAsia="Times New Roman" w:hAnsi="Arial" w:cs="Arial"/>
          <w:color w:val="000000" w:themeColor="text1"/>
          <w:lang w:eastAsia="en-GB"/>
        </w:rPr>
        <w:t xml:space="preserve"> Therefore, the differentiation between a dualist system and monist system of law should be made. The former system necessitates that inclusion and subsequent binding adherence of international law is only binding when incorporated into the Member State’s domestic systems. An example of a dualist system would be the UK. The latter, a monist system, allows for automatic binding ratification of international law without any domestic incorporation withstanding the need to further implement any national legislation, e.g. the monist system in the Netherlands.</w:t>
      </w:r>
    </w:p>
    <w:p w:rsidR="00391C65" w:rsidRPr="006E031C" w:rsidRDefault="00391C65" w:rsidP="00391C65">
      <w:pPr>
        <w:shd w:val="clear" w:color="auto" w:fill="FFFFFF"/>
        <w:spacing w:after="0" w:line="240" w:lineRule="auto"/>
        <w:jc w:val="both"/>
        <w:rPr>
          <w:rFonts w:ascii="Arial" w:eastAsia="Times New Roman" w:hAnsi="Arial" w:cs="Arial"/>
          <w:color w:val="000000" w:themeColor="text1"/>
          <w:lang w:eastAsia="en-GB"/>
        </w:rPr>
      </w:pPr>
    </w:p>
    <w:p w:rsidR="00391C65" w:rsidRPr="00E177E4" w:rsidRDefault="00391C65" w:rsidP="00391C65">
      <w:pPr>
        <w:shd w:val="clear" w:color="auto" w:fill="FFFFFF"/>
        <w:spacing w:after="0" w:line="240" w:lineRule="auto"/>
        <w:jc w:val="both"/>
        <w:rPr>
          <w:rFonts w:ascii="Arial" w:eastAsia="Times New Roman" w:hAnsi="Arial" w:cs="Arial"/>
          <w:color w:val="000000" w:themeColor="text1"/>
          <w:lang w:eastAsia="en-GB"/>
        </w:rPr>
      </w:pPr>
      <w:r w:rsidRPr="006E031C">
        <w:rPr>
          <w:rFonts w:ascii="Arial" w:eastAsia="Times New Roman" w:hAnsi="Arial" w:cs="Arial"/>
          <w:color w:val="000000" w:themeColor="text1"/>
          <w:lang w:eastAsia="en-GB"/>
        </w:rPr>
        <w:t xml:space="preserve">Building upon this, direct effect creates certain rights and obligations where a Member State individual can rely upon before their own domestic Courts. </w:t>
      </w:r>
      <w:proofErr w:type="spellStart"/>
      <w:r w:rsidRPr="006E031C">
        <w:rPr>
          <w:rFonts w:ascii="Arial" w:eastAsia="Times New Roman" w:hAnsi="Arial" w:cs="Arial"/>
          <w:color w:val="000000" w:themeColor="text1"/>
          <w:lang w:eastAsia="en-GB"/>
        </w:rPr>
        <w:t>Prechal</w:t>
      </w:r>
      <w:proofErr w:type="spellEnd"/>
      <w:r w:rsidRPr="006E031C">
        <w:rPr>
          <w:rFonts w:ascii="Arial" w:eastAsia="Times New Roman" w:hAnsi="Arial" w:cs="Arial"/>
          <w:color w:val="000000" w:themeColor="text1"/>
          <w:lang w:eastAsia="en-GB"/>
        </w:rPr>
        <w:t xml:space="preserve"> (2000), Lenz et al., (2000) and </w:t>
      </w:r>
      <w:proofErr w:type="spellStart"/>
      <w:r w:rsidRPr="006E031C">
        <w:rPr>
          <w:rFonts w:ascii="Arial" w:eastAsia="Times New Roman" w:hAnsi="Arial" w:cs="Arial"/>
          <w:color w:val="000000" w:themeColor="text1"/>
          <w:lang w:eastAsia="en-GB"/>
        </w:rPr>
        <w:t>Hilson</w:t>
      </w:r>
      <w:proofErr w:type="spellEnd"/>
      <w:r w:rsidRPr="006E031C">
        <w:rPr>
          <w:rFonts w:ascii="Arial" w:eastAsia="Times New Roman" w:hAnsi="Arial" w:cs="Arial"/>
          <w:color w:val="000000" w:themeColor="text1"/>
          <w:lang w:eastAsia="en-GB"/>
        </w:rPr>
        <w:t xml:space="preserve"> and Downes (2000) suggest that there has been a broad and narrow conceptualisation of direct effect. The broader definition of direct effect was introduced in Van </w:t>
      </w:r>
      <w:proofErr w:type="spellStart"/>
      <w:r w:rsidRPr="006E031C">
        <w:rPr>
          <w:rFonts w:ascii="Arial" w:eastAsia="Times New Roman" w:hAnsi="Arial" w:cs="Arial"/>
          <w:color w:val="000000" w:themeColor="text1"/>
          <w:lang w:eastAsia="en-GB"/>
        </w:rPr>
        <w:t>Gend</w:t>
      </w:r>
      <w:proofErr w:type="spellEnd"/>
      <w:r w:rsidRPr="006E031C">
        <w:rPr>
          <w:rFonts w:ascii="Arial" w:eastAsia="Times New Roman" w:hAnsi="Arial" w:cs="Arial"/>
          <w:color w:val="000000" w:themeColor="text1"/>
          <w:lang w:eastAsia="en-GB"/>
        </w:rPr>
        <w:t xml:space="preserve"> 1963, whereby the Claimant was charged with an import duty which infringed the free movement of goods, the then Article 12 TEC (current Article 38 TFEU). The question that was posed to the ECJ asked whether Article 12 TEC at the time created direct application of EU in the Netherlands. The ECJ in Van </w:t>
      </w:r>
      <w:proofErr w:type="spellStart"/>
      <w:r w:rsidRPr="006E031C">
        <w:rPr>
          <w:rFonts w:ascii="Arial" w:eastAsia="Times New Roman" w:hAnsi="Arial" w:cs="Arial"/>
          <w:color w:val="000000" w:themeColor="text1"/>
          <w:lang w:eastAsia="en-GB"/>
        </w:rPr>
        <w:t>Gend</w:t>
      </w:r>
      <w:proofErr w:type="spellEnd"/>
      <w:r w:rsidRPr="006E031C">
        <w:rPr>
          <w:rFonts w:ascii="Arial" w:eastAsia="Times New Roman" w:hAnsi="Arial" w:cs="Arial"/>
          <w:color w:val="000000" w:themeColor="text1"/>
          <w:lang w:eastAsia="en-GB"/>
        </w:rPr>
        <w:t xml:space="preserve"> affirmed this by stating that, ‘the Community constitutes a new legal order, in which Member States have limited their sovereign rights, albeit within limited fields.’ In doing so, the Court outlined the old test of direct effect which had three tenants, the provision must be clear and unconditional, the provision must create a negative obligation, as opposed to a positive obligation and is the provision qualified by any reservation? The now modern test of justiciability is two-fold and asks: firstly, is the provision sufficiently clear, precise and unambiguous? And secondly, is the provision unconditional? i.e. Is it dependent on further implementing measures?</w:t>
      </w:r>
    </w:p>
    <w:p w:rsidR="00391C65" w:rsidRPr="006E031C" w:rsidRDefault="00391C65" w:rsidP="00391C65">
      <w:pPr>
        <w:jc w:val="both"/>
        <w:rPr>
          <w:rFonts w:ascii="Arial" w:hAnsi="Arial" w:cs="Arial"/>
        </w:rPr>
      </w:pPr>
    </w:p>
    <w:p w:rsidR="00391C65" w:rsidRPr="006E031C" w:rsidRDefault="00391C65" w:rsidP="00391C65">
      <w:pPr>
        <w:jc w:val="both"/>
        <w:rPr>
          <w:rFonts w:ascii="Arial" w:hAnsi="Arial" w:cs="Arial"/>
          <w:u w:val="single"/>
        </w:rPr>
      </w:pPr>
      <w:r w:rsidRPr="006E031C">
        <w:rPr>
          <w:rFonts w:ascii="Arial" w:hAnsi="Arial" w:cs="Arial"/>
          <w:u w:val="single"/>
        </w:rPr>
        <w:t>Regulations</w:t>
      </w:r>
    </w:p>
    <w:p w:rsidR="00391C65" w:rsidRPr="006E031C" w:rsidRDefault="00391C65" w:rsidP="00391C65">
      <w:pPr>
        <w:jc w:val="both"/>
        <w:rPr>
          <w:rFonts w:ascii="Arial" w:hAnsi="Arial" w:cs="Arial"/>
        </w:rPr>
      </w:pPr>
    </w:p>
    <w:p w:rsidR="00391C65" w:rsidRPr="006E031C" w:rsidRDefault="00391C65" w:rsidP="00391C65">
      <w:pPr>
        <w:jc w:val="both"/>
        <w:rPr>
          <w:rFonts w:ascii="Arial" w:hAnsi="Arial" w:cs="Arial"/>
        </w:rPr>
      </w:pPr>
      <w:r w:rsidRPr="006E031C">
        <w:rPr>
          <w:rFonts w:ascii="Arial" w:hAnsi="Arial" w:cs="Arial"/>
        </w:rPr>
        <w:lastRenderedPageBreak/>
        <w:t xml:space="preserve">The Court in </w:t>
      </w:r>
      <w:proofErr w:type="spellStart"/>
      <w:r w:rsidRPr="006E031C">
        <w:rPr>
          <w:rFonts w:ascii="Arial" w:hAnsi="Arial" w:cs="Arial"/>
        </w:rPr>
        <w:t>Leonesio</w:t>
      </w:r>
      <w:proofErr w:type="spellEnd"/>
      <w:r w:rsidRPr="006E031C">
        <w:rPr>
          <w:rFonts w:ascii="Arial" w:hAnsi="Arial" w:cs="Arial"/>
        </w:rPr>
        <w:t xml:space="preserve"> v Italian Finance Ministry [1972] ruled that regulations are ‘</w:t>
      </w:r>
      <w:r w:rsidRPr="006E031C">
        <w:rPr>
          <w:rFonts w:ascii="Arial" w:hAnsi="Arial" w:cs="Arial"/>
          <w:iCs/>
          <w:lang w:val="en-US"/>
        </w:rPr>
        <w:t>binding in its entirety and directly applicable in all Member States,’ and thus</w:t>
      </w:r>
      <w:r w:rsidRPr="006E031C">
        <w:rPr>
          <w:rFonts w:ascii="Arial" w:hAnsi="Arial" w:cs="Arial"/>
        </w:rPr>
        <w:t xml:space="preserve"> directly effective and applicable in their entirety and can therefore be vertically enforced against the Member State and horizontally against individuals. </w:t>
      </w:r>
    </w:p>
    <w:p w:rsidR="00391C65" w:rsidRPr="006E031C" w:rsidRDefault="00391C65" w:rsidP="00391C65">
      <w:pPr>
        <w:jc w:val="both"/>
        <w:rPr>
          <w:rFonts w:ascii="Arial" w:hAnsi="Arial" w:cs="Arial"/>
        </w:rPr>
      </w:pPr>
    </w:p>
    <w:p w:rsidR="00391C65" w:rsidRPr="006E031C" w:rsidRDefault="00391C65" w:rsidP="00391C65">
      <w:pPr>
        <w:jc w:val="both"/>
        <w:rPr>
          <w:rFonts w:ascii="Arial" w:hAnsi="Arial" w:cs="Arial"/>
          <w:u w:val="single"/>
        </w:rPr>
      </w:pPr>
      <w:r w:rsidRPr="006E031C">
        <w:rPr>
          <w:rFonts w:ascii="Arial" w:hAnsi="Arial" w:cs="Arial"/>
          <w:u w:val="single"/>
        </w:rPr>
        <w:t>Treaties</w:t>
      </w:r>
    </w:p>
    <w:p w:rsidR="00391C65" w:rsidRPr="006E031C" w:rsidRDefault="00391C65" w:rsidP="00391C65">
      <w:pPr>
        <w:jc w:val="both"/>
        <w:rPr>
          <w:rFonts w:ascii="Arial" w:hAnsi="Arial" w:cs="Arial"/>
        </w:rPr>
      </w:pPr>
    </w:p>
    <w:p w:rsidR="00391C65" w:rsidRPr="006E031C" w:rsidRDefault="00391C65" w:rsidP="00391C65">
      <w:pPr>
        <w:jc w:val="both"/>
        <w:rPr>
          <w:rFonts w:ascii="Arial" w:hAnsi="Arial" w:cs="Arial"/>
        </w:rPr>
      </w:pPr>
      <w:r w:rsidRPr="006E031C">
        <w:rPr>
          <w:rFonts w:ascii="Arial" w:hAnsi="Arial" w:cs="Arial"/>
        </w:rPr>
        <w:t xml:space="preserve">Though caveated, most treaties are both vertically and horizontally effective, thus, individuals may enforce their rights against both the Member State itself and an individual. Further, the Court in </w:t>
      </w:r>
      <w:proofErr w:type="spellStart"/>
      <w:r w:rsidRPr="006E031C">
        <w:rPr>
          <w:rFonts w:ascii="Arial" w:hAnsi="Arial" w:cs="Arial"/>
        </w:rPr>
        <w:t>Defrenne</w:t>
      </w:r>
      <w:proofErr w:type="spellEnd"/>
      <w:r w:rsidRPr="006E031C">
        <w:rPr>
          <w:rFonts w:ascii="Arial" w:hAnsi="Arial" w:cs="Arial"/>
        </w:rPr>
        <w:t xml:space="preserve"> v Sabena (No 2) 1976 established the notion of horizontal direct effect. Here, the case concerned unequal pay based on sex discrimination, such ‘equality’ in pay was regarded to be a general principle of EU law and therefore obligated direct enforcement. The Court ruled that EU treaties are directly effective where regulations may be raised against the Member State and individual. Decisions of the ECJ are directly applicable to the Member State it addresses, following Article 288 which states that: ‘a decision shall be binding in its entirety. a decision which specifies those to whom it is addressed shall be binding only to them.’ The decision only binds those party to the case, be that individual companies or the Member State, thus establishing direct effect on those parties specified. Other general principles of EU law which may be vertically and horizontally directly effective are discrimination on the grounds of nationality (Union Royale </w:t>
      </w:r>
      <w:proofErr w:type="spellStart"/>
      <w:r w:rsidRPr="006E031C">
        <w:rPr>
          <w:rFonts w:ascii="Arial" w:hAnsi="Arial" w:cs="Arial"/>
        </w:rPr>
        <w:t>Belge</w:t>
      </w:r>
      <w:proofErr w:type="spellEnd"/>
      <w:r w:rsidRPr="006E031C">
        <w:rPr>
          <w:rFonts w:ascii="Arial" w:hAnsi="Arial" w:cs="Arial"/>
        </w:rPr>
        <w:t xml:space="preserve"> des </w:t>
      </w:r>
      <w:proofErr w:type="spellStart"/>
      <w:r w:rsidRPr="006E031C">
        <w:rPr>
          <w:rFonts w:ascii="Arial" w:hAnsi="Arial" w:cs="Arial"/>
        </w:rPr>
        <w:t>Sociétés</w:t>
      </w:r>
      <w:proofErr w:type="spellEnd"/>
      <w:r w:rsidRPr="006E031C">
        <w:rPr>
          <w:rFonts w:ascii="Arial" w:hAnsi="Arial" w:cs="Arial"/>
        </w:rPr>
        <w:t xml:space="preserve"> de Football Association ASBL v Jean-Marc Bosman (1995)) and collective action of trade unions (International Transport Workers’ Federation and </w:t>
      </w:r>
      <w:proofErr w:type="spellStart"/>
      <w:r w:rsidRPr="006E031C">
        <w:rPr>
          <w:rFonts w:ascii="Arial" w:hAnsi="Arial" w:cs="Arial"/>
        </w:rPr>
        <w:t>anor</w:t>
      </w:r>
      <w:proofErr w:type="spellEnd"/>
      <w:r w:rsidRPr="006E031C">
        <w:rPr>
          <w:rFonts w:ascii="Arial" w:hAnsi="Arial" w:cs="Arial"/>
        </w:rPr>
        <w:t xml:space="preserve"> v Viking Line APB (2008)). </w:t>
      </w:r>
    </w:p>
    <w:p w:rsidR="00391C65" w:rsidRPr="006E031C" w:rsidRDefault="00391C65" w:rsidP="00391C65">
      <w:pPr>
        <w:jc w:val="both"/>
        <w:rPr>
          <w:rFonts w:ascii="Arial" w:hAnsi="Arial" w:cs="Arial"/>
        </w:rPr>
      </w:pPr>
    </w:p>
    <w:p w:rsidR="00391C65" w:rsidRPr="006E031C" w:rsidRDefault="00391C65" w:rsidP="00391C65">
      <w:pPr>
        <w:jc w:val="both"/>
        <w:rPr>
          <w:rFonts w:ascii="Arial" w:hAnsi="Arial" w:cs="Arial"/>
          <w:u w:val="single"/>
        </w:rPr>
      </w:pPr>
      <w:r w:rsidRPr="006E031C">
        <w:rPr>
          <w:rFonts w:ascii="Arial" w:hAnsi="Arial" w:cs="Arial"/>
          <w:u w:val="single"/>
        </w:rPr>
        <w:t xml:space="preserve">Directives </w:t>
      </w:r>
    </w:p>
    <w:p w:rsidR="00391C65" w:rsidRPr="006E031C" w:rsidRDefault="00391C65" w:rsidP="00391C65">
      <w:pPr>
        <w:jc w:val="both"/>
        <w:rPr>
          <w:rFonts w:ascii="Arial" w:hAnsi="Arial" w:cs="Arial"/>
        </w:rPr>
      </w:pPr>
    </w:p>
    <w:p w:rsidR="00391C65" w:rsidRPr="006E031C" w:rsidRDefault="00391C65" w:rsidP="00391C65">
      <w:pPr>
        <w:jc w:val="both"/>
        <w:rPr>
          <w:rFonts w:ascii="Arial" w:hAnsi="Arial" w:cs="Arial"/>
        </w:rPr>
      </w:pPr>
      <w:r w:rsidRPr="006E031C">
        <w:rPr>
          <w:rFonts w:ascii="Arial" w:hAnsi="Arial" w:cs="Arial"/>
        </w:rPr>
        <w:t xml:space="preserve">Directives, unlike those aforementioned sources of EU law, allow for some arguable scope of Member State freedom. Following Article 288, ‘A directive shall be binding, upon member states to which it is addressed, but shall leave to national authorities the choice of form and methods of implementation.’ The Court in </w:t>
      </w:r>
      <w:proofErr w:type="spellStart"/>
      <w:r w:rsidRPr="006E031C">
        <w:rPr>
          <w:rFonts w:ascii="Arial" w:hAnsi="Arial" w:cs="Arial"/>
        </w:rPr>
        <w:t>Pubblico</w:t>
      </w:r>
      <w:proofErr w:type="spellEnd"/>
      <w:r w:rsidRPr="006E031C">
        <w:rPr>
          <w:rFonts w:ascii="Arial" w:hAnsi="Arial" w:cs="Arial"/>
        </w:rPr>
        <w:t xml:space="preserve"> </w:t>
      </w:r>
      <w:proofErr w:type="spellStart"/>
      <w:r w:rsidRPr="006E031C">
        <w:rPr>
          <w:rFonts w:ascii="Arial" w:hAnsi="Arial" w:cs="Arial"/>
        </w:rPr>
        <w:t>Ministero</w:t>
      </w:r>
      <w:proofErr w:type="spellEnd"/>
      <w:r w:rsidRPr="006E031C">
        <w:rPr>
          <w:rFonts w:ascii="Arial" w:hAnsi="Arial" w:cs="Arial"/>
        </w:rPr>
        <w:t xml:space="preserve"> v </w:t>
      </w:r>
      <w:proofErr w:type="spellStart"/>
      <w:r w:rsidRPr="006E031C">
        <w:rPr>
          <w:rFonts w:ascii="Arial" w:hAnsi="Arial" w:cs="Arial"/>
        </w:rPr>
        <w:t>Ratti</w:t>
      </w:r>
      <w:proofErr w:type="spellEnd"/>
      <w:r w:rsidRPr="006E031C">
        <w:rPr>
          <w:rFonts w:ascii="Arial" w:hAnsi="Arial" w:cs="Arial"/>
        </w:rPr>
        <w:t xml:space="preserve"> (1979) further stated that directives are only directly effective once the deadline for their implementation has passed, therefore, should a dualist Member State ignore a directive without further implementation in their Member State, once the date for implementation is passed, the directive is still regarded as having direct effect. </w:t>
      </w:r>
    </w:p>
    <w:p w:rsidR="00391C65" w:rsidRPr="006E031C" w:rsidRDefault="00391C65" w:rsidP="00391C65">
      <w:pPr>
        <w:jc w:val="both"/>
        <w:rPr>
          <w:rFonts w:ascii="Arial" w:hAnsi="Arial" w:cs="Arial"/>
        </w:rPr>
      </w:pPr>
    </w:p>
    <w:p w:rsidR="00391C65" w:rsidRPr="006E031C" w:rsidRDefault="00391C65" w:rsidP="00391C65">
      <w:pPr>
        <w:jc w:val="both"/>
        <w:rPr>
          <w:rFonts w:ascii="Arial" w:hAnsi="Arial" w:cs="Arial"/>
        </w:rPr>
      </w:pPr>
      <w:r w:rsidRPr="006E031C">
        <w:rPr>
          <w:rFonts w:ascii="Arial" w:hAnsi="Arial" w:cs="Arial"/>
        </w:rPr>
        <w:t xml:space="preserve">Grad v </w:t>
      </w:r>
      <w:proofErr w:type="spellStart"/>
      <w:r w:rsidRPr="006E031C">
        <w:rPr>
          <w:rFonts w:ascii="Arial" w:hAnsi="Arial" w:cs="Arial"/>
        </w:rPr>
        <w:t>Finanzamt</w:t>
      </w:r>
      <w:proofErr w:type="spellEnd"/>
      <w:r w:rsidRPr="006E031C">
        <w:rPr>
          <w:rFonts w:ascii="Arial" w:hAnsi="Arial" w:cs="Arial"/>
        </w:rPr>
        <w:t xml:space="preserve"> </w:t>
      </w:r>
      <w:proofErr w:type="spellStart"/>
      <w:r w:rsidRPr="006E031C">
        <w:rPr>
          <w:rFonts w:ascii="Arial" w:hAnsi="Arial" w:cs="Arial"/>
        </w:rPr>
        <w:t>Traunstein</w:t>
      </w:r>
      <w:proofErr w:type="spellEnd"/>
      <w:r w:rsidRPr="006E031C">
        <w:rPr>
          <w:rFonts w:ascii="Arial" w:hAnsi="Arial" w:cs="Arial"/>
        </w:rPr>
        <w:t xml:space="preserve"> 1970 highlights that the ECJ is willing to grant rights upon individuals. Here, a German tax for transport was contested for potentially infringing a former decision which addressed the German Member State on VAT and the subsequent harmonization directive which imposed a corresponding deadline for the implementation of the decision. The Court ruled that a directive may be directly effective, thus conferring rights upon individuals, because directives impose an obligation on the Member State in order to achieve a necessitated result. Article 249 which states, ‘A decision shall be binding in its entirety upon those to whom it is addressed,’ does not prevent Member State individuals from relying upon their own domestic Courts on decisions addressed to Member States.</w:t>
      </w:r>
    </w:p>
    <w:p w:rsidR="00391C65" w:rsidRPr="006E031C" w:rsidRDefault="00391C65" w:rsidP="00391C65">
      <w:pPr>
        <w:jc w:val="both"/>
        <w:rPr>
          <w:rFonts w:ascii="Arial" w:hAnsi="Arial" w:cs="Arial"/>
        </w:rPr>
      </w:pPr>
    </w:p>
    <w:p w:rsidR="00391C65" w:rsidRPr="006E031C" w:rsidRDefault="00391C65" w:rsidP="00391C65">
      <w:pPr>
        <w:jc w:val="both"/>
        <w:rPr>
          <w:rFonts w:ascii="Arial" w:hAnsi="Arial" w:cs="Arial"/>
        </w:rPr>
      </w:pPr>
      <w:r w:rsidRPr="006E031C">
        <w:rPr>
          <w:rFonts w:ascii="Arial" w:hAnsi="Arial" w:cs="Arial"/>
        </w:rPr>
        <w:lastRenderedPageBreak/>
        <w:t xml:space="preserve">Additionally, in Van </w:t>
      </w:r>
      <w:proofErr w:type="spellStart"/>
      <w:r w:rsidRPr="006E031C">
        <w:rPr>
          <w:rFonts w:ascii="Arial" w:hAnsi="Arial" w:cs="Arial"/>
        </w:rPr>
        <w:t>Duyn</w:t>
      </w:r>
      <w:proofErr w:type="spellEnd"/>
      <w:r w:rsidRPr="006E031C">
        <w:rPr>
          <w:rFonts w:ascii="Arial" w:hAnsi="Arial" w:cs="Arial"/>
        </w:rPr>
        <w:t xml:space="preserve"> 1970, the Dutch Claimant was denied a work permit to work for the Church of Scientology in the UK. Despite not implementing part of the Free Movement of Workers Directive 64/221/EC article 3(1), the ECJ stated that ‘it would be incompatible with the binding effect attributed to a directive by Article [288] to exclude, in principle, the possibility that the obligation which it imposes may be invoked by those concerned...the useful effect of such an act would be weakened if individuals were prevented from relying on it before their national courts.’ </w:t>
      </w:r>
    </w:p>
    <w:p w:rsidR="00391C65" w:rsidRPr="006E031C" w:rsidRDefault="00391C65" w:rsidP="00391C65">
      <w:pPr>
        <w:jc w:val="both"/>
        <w:rPr>
          <w:rFonts w:ascii="Arial" w:hAnsi="Arial" w:cs="Arial"/>
        </w:rPr>
      </w:pPr>
    </w:p>
    <w:p w:rsidR="00391C65" w:rsidRPr="006E031C" w:rsidRDefault="00391C65" w:rsidP="00391C65">
      <w:pPr>
        <w:jc w:val="both"/>
        <w:rPr>
          <w:rFonts w:ascii="Arial" w:hAnsi="Arial" w:cs="Arial"/>
          <w:u w:val="single"/>
        </w:rPr>
      </w:pPr>
      <w:r w:rsidRPr="006E031C">
        <w:rPr>
          <w:rFonts w:ascii="Arial" w:hAnsi="Arial" w:cs="Arial"/>
          <w:u w:val="single"/>
        </w:rPr>
        <w:t>Directives which have Vertical Direct Effect</w:t>
      </w:r>
    </w:p>
    <w:p w:rsidR="00391C65" w:rsidRPr="006E031C" w:rsidRDefault="00391C65" w:rsidP="00391C65">
      <w:pPr>
        <w:jc w:val="both"/>
        <w:rPr>
          <w:rFonts w:ascii="Arial" w:hAnsi="Arial" w:cs="Arial"/>
        </w:rPr>
      </w:pPr>
    </w:p>
    <w:p w:rsidR="00391C65" w:rsidRPr="006E031C" w:rsidRDefault="00391C65" w:rsidP="00391C65">
      <w:pPr>
        <w:jc w:val="both"/>
        <w:rPr>
          <w:rFonts w:ascii="Arial" w:hAnsi="Arial" w:cs="Arial"/>
        </w:rPr>
      </w:pPr>
      <w:r w:rsidRPr="006E031C">
        <w:rPr>
          <w:rFonts w:ascii="Arial" w:hAnsi="Arial" w:cs="Arial"/>
        </w:rPr>
        <w:t xml:space="preserve">Generally, directives do not have horizontal direct effect. However, the Courts have bypassed this by considering one party as an emanation of the State or by applying indirect effect. In Marshall v Southampton and South West Hampshire Area Health Authority (1986), the Claimant argued that they were unfairly dismissed on the basis of age discrimination.  Here, the Member State was not actually her employer. The question posed to the Courts asked whether Marshall could in fact enforce the relevant directive horizontally against her private employer, rather than vertically, because no such vertical relationship existed. The Court here converted the existing horizontal relationship into one of a vertical nature because her employer, the Health Authority, was regarded as an emanation of the Member State. The Courts have </w:t>
      </w:r>
      <w:proofErr w:type="gramStart"/>
      <w:r w:rsidRPr="006E031C">
        <w:rPr>
          <w:rFonts w:ascii="Arial" w:hAnsi="Arial" w:cs="Arial"/>
        </w:rPr>
        <w:t>strengthen</w:t>
      </w:r>
      <w:proofErr w:type="gramEnd"/>
      <w:r w:rsidRPr="006E031C">
        <w:rPr>
          <w:rFonts w:ascii="Arial" w:hAnsi="Arial" w:cs="Arial"/>
        </w:rPr>
        <w:t xml:space="preserve"> this principle following Foster v British Gas plc (1990) and Farrell (2017). Failing this, the Courts could have applied indirect effect, which will be discussed below.</w:t>
      </w:r>
    </w:p>
    <w:p w:rsidR="00391C65" w:rsidRPr="006E031C" w:rsidRDefault="00391C65" w:rsidP="00391C65">
      <w:pPr>
        <w:jc w:val="both"/>
        <w:rPr>
          <w:rFonts w:ascii="Arial" w:hAnsi="Arial" w:cs="Arial"/>
          <w:u w:val="single"/>
        </w:rPr>
      </w:pPr>
    </w:p>
    <w:p w:rsidR="00391C65" w:rsidRPr="006E031C" w:rsidRDefault="00391C65" w:rsidP="00391C65">
      <w:pPr>
        <w:jc w:val="both"/>
        <w:rPr>
          <w:rFonts w:ascii="Arial" w:hAnsi="Arial" w:cs="Arial"/>
          <w:u w:val="single"/>
        </w:rPr>
      </w:pPr>
      <w:r w:rsidRPr="006E031C">
        <w:rPr>
          <w:rFonts w:ascii="Arial" w:hAnsi="Arial" w:cs="Arial"/>
          <w:u w:val="single"/>
        </w:rPr>
        <w:t>Indirect Effect</w:t>
      </w:r>
    </w:p>
    <w:p w:rsidR="00391C65" w:rsidRPr="006E031C" w:rsidRDefault="00391C65" w:rsidP="00391C65">
      <w:pPr>
        <w:shd w:val="clear" w:color="auto" w:fill="FFFFFF"/>
        <w:spacing w:after="0" w:line="240" w:lineRule="auto"/>
        <w:jc w:val="both"/>
        <w:rPr>
          <w:rFonts w:ascii="Arial" w:eastAsia="Times New Roman" w:hAnsi="Arial" w:cs="Arial"/>
          <w:color w:val="FF0000"/>
          <w:lang w:eastAsia="en-GB"/>
        </w:rPr>
      </w:pPr>
    </w:p>
    <w:p w:rsidR="00391C65" w:rsidRPr="006E031C" w:rsidRDefault="00391C65" w:rsidP="00391C65">
      <w:pPr>
        <w:jc w:val="both"/>
        <w:rPr>
          <w:rFonts w:ascii="Arial" w:eastAsia="Times New Roman" w:hAnsi="Arial" w:cs="Arial"/>
          <w:color w:val="000000" w:themeColor="text1"/>
          <w:lang w:eastAsia="en-GB"/>
        </w:rPr>
      </w:pPr>
      <w:r w:rsidRPr="006E031C">
        <w:rPr>
          <w:rFonts w:ascii="Arial" w:eastAsia="Times New Roman" w:hAnsi="Arial" w:cs="Arial"/>
          <w:color w:val="000000" w:themeColor="text1"/>
          <w:lang w:eastAsia="en-GB"/>
        </w:rPr>
        <w:t xml:space="preserve">The doctrine of indirect effect is paramount when examining horizontal direct effect, i.e. the enforcement of EU legal rights against private individuals. The genesis of indirect effect stems from Von Colson (1984) whereby the female Claimants were refused employment in prison because of their gender. The joint Claimants argued that such treatment infringed the EU Equal Treatment Directive (76/207/EEC). Here, the ECJ held that ‘it is for the national court to interpret and apply the legislation adopted for the implementation of the Directive in conformity with the requirements of Community law, insofar as it is given a discretion to do so under national law.’ The ECJ in Mangold v Helm (2005) took this a step further and stated that national and domestic Courts must set aside those provisions which conflict with EU law, further strengthening individual rights and confirming the supremacy of EU law over domestic legislation. The Court in </w:t>
      </w:r>
      <w:proofErr w:type="spellStart"/>
      <w:r w:rsidRPr="006E031C">
        <w:rPr>
          <w:rFonts w:ascii="Arial" w:eastAsia="Times New Roman" w:hAnsi="Arial" w:cs="Arial"/>
          <w:color w:val="000000" w:themeColor="text1"/>
          <w:lang w:eastAsia="en-GB"/>
        </w:rPr>
        <w:t>Marleasing</w:t>
      </w:r>
      <w:proofErr w:type="spellEnd"/>
      <w:r w:rsidRPr="006E031C">
        <w:rPr>
          <w:rFonts w:ascii="Arial" w:eastAsia="Times New Roman" w:hAnsi="Arial" w:cs="Arial"/>
          <w:color w:val="000000" w:themeColor="text1"/>
          <w:lang w:eastAsia="en-GB"/>
        </w:rPr>
        <w:t xml:space="preserve"> (1990) extended the Von Colson principle by stating that the Member State’s domestic Court in applying relevant national law, despite the provisions in question being adopted before or after the directive, the domestic Member State Court must interpret it as they are required to do so, as far as possible, in the light of the wording and purpose of the directive.</w:t>
      </w:r>
    </w:p>
    <w:p w:rsidR="00391C65" w:rsidRPr="006E031C" w:rsidRDefault="00391C65" w:rsidP="00391C65">
      <w:pPr>
        <w:jc w:val="both"/>
        <w:rPr>
          <w:rFonts w:ascii="Arial" w:eastAsia="Times New Roman" w:hAnsi="Arial" w:cs="Arial"/>
          <w:color w:val="000000" w:themeColor="text1"/>
          <w:lang w:eastAsia="en-GB"/>
        </w:rPr>
      </w:pPr>
    </w:p>
    <w:p w:rsidR="00391C65" w:rsidRPr="006E031C" w:rsidRDefault="00391C65" w:rsidP="00391C65">
      <w:pPr>
        <w:jc w:val="both"/>
        <w:rPr>
          <w:rFonts w:ascii="Arial" w:eastAsia="Times New Roman" w:hAnsi="Arial" w:cs="Arial"/>
          <w:color w:val="000000" w:themeColor="text1"/>
          <w:u w:val="single"/>
          <w:lang w:eastAsia="en-GB"/>
        </w:rPr>
      </w:pPr>
      <w:r w:rsidRPr="006E031C">
        <w:rPr>
          <w:rFonts w:ascii="Arial" w:eastAsia="Times New Roman" w:hAnsi="Arial" w:cs="Arial"/>
          <w:color w:val="000000" w:themeColor="text1"/>
          <w:u w:val="single"/>
          <w:lang w:eastAsia="en-GB"/>
        </w:rPr>
        <w:t>‘Incidental’ Horizontal Direct Effect</w:t>
      </w:r>
    </w:p>
    <w:p w:rsidR="00391C65" w:rsidRPr="006E031C" w:rsidRDefault="00391C65" w:rsidP="00391C65">
      <w:pPr>
        <w:jc w:val="both"/>
        <w:rPr>
          <w:rFonts w:ascii="Arial" w:eastAsia="Times New Roman" w:hAnsi="Arial" w:cs="Arial"/>
          <w:color w:val="000000" w:themeColor="text1"/>
          <w:lang w:eastAsia="en-GB"/>
        </w:rPr>
      </w:pPr>
    </w:p>
    <w:p w:rsidR="00391C65" w:rsidRPr="006E031C" w:rsidRDefault="00391C65" w:rsidP="00391C65">
      <w:pPr>
        <w:shd w:val="clear" w:color="auto" w:fill="FFFFFF"/>
        <w:spacing w:after="0" w:line="240" w:lineRule="auto"/>
        <w:jc w:val="both"/>
        <w:rPr>
          <w:rFonts w:ascii="Arial" w:eastAsia="Times New Roman" w:hAnsi="Arial" w:cs="Arial"/>
          <w:color w:val="000000" w:themeColor="text1"/>
          <w:lang w:eastAsia="en-GB"/>
        </w:rPr>
      </w:pPr>
      <w:r w:rsidRPr="006E031C">
        <w:rPr>
          <w:rFonts w:ascii="Arial" w:eastAsia="Times New Roman" w:hAnsi="Arial" w:cs="Arial"/>
          <w:color w:val="000000" w:themeColor="text1"/>
          <w:lang w:eastAsia="en-GB"/>
        </w:rPr>
        <w:lastRenderedPageBreak/>
        <w:t xml:space="preserve">A further protection that Member State individuals may enjoy their purported EU rights is through a non-implemented directive. When individuals may consider that the relevant directive would have changed the outcome of a case, such an individual can claim that they actually enjoy such rights as deriving from the directive they rely upon. ‘Incidentally’ because such an individual would have benefitted from the directive, this would have changed the outcome and therefore can be relied upon, despite the directive’s non-implementation. CIA Security v </w:t>
      </w:r>
      <w:proofErr w:type="spellStart"/>
      <w:r w:rsidRPr="006E031C">
        <w:rPr>
          <w:rFonts w:ascii="Arial" w:eastAsia="Times New Roman" w:hAnsi="Arial" w:cs="Arial"/>
          <w:color w:val="000000" w:themeColor="text1"/>
          <w:lang w:eastAsia="en-GB"/>
        </w:rPr>
        <w:t>Signalson</w:t>
      </w:r>
      <w:proofErr w:type="spellEnd"/>
      <w:r w:rsidRPr="006E031C">
        <w:rPr>
          <w:rFonts w:ascii="Arial" w:eastAsia="Times New Roman" w:hAnsi="Arial" w:cs="Arial"/>
          <w:color w:val="000000" w:themeColor="text1"/>
          <w:lang w:eastAsia="en-GB"/>
        </w:rPr>
        <w:t xml:space="preserve"> and </w:t>
      </w:r>
      <w:proofErr w:type="spellStart"/>
      <w:r w:rsidRPr="006E031C">
        <w:rPr>
          <w:rFonts w:ascii="Arial" w:eastAsia="Times New Roman" w:hAnsi="Arial" w:cs="Arial"/>
          <w:color w:val="000000" w:themeColor="text1"/>
          <w:lang w:eastAsia="en-GB"/>
        </w:rPr>
        <w:t>Securitel</w:t>
      </w:r>
      <w:proofErr w:type="spellEnd"/>
      <w:r w:rsidRPr="006E031C">
        <w:rPr>
          <w:rFonts w:ascii="Arial" w:eastAsia="Times New Roman" w:hAnsi="Arial" w:cs="Arial"/>
          <w:color w:val="000000" w:themeColor="text1"/>
          <w:lang w:eastAsia="en-GB"/>
        </w:rPr>
        <w:t xml:space="preserve"> (1996) confirmed that such a doctrine does not create any novel rights or obligations upon Member State individuals themselves because such individuals cannot have more new obligations which derive from a non- implemented directive. </w:t>
      </w:r>
    </w:p>
    <w:p w:rsidR="00391C65" w:rsidRPr="006E031C" w:rsidRDefault="00391C65" w:rsidP="00391C65">
      <w:pPr>
        <w:shd w:val="clear" w:color="auto" w:fill="FFFFFF"/>
        <w:spacing w:after="0" w:line="240" w:lineRule="auto"/>
        <w:jc w:val="both"/>
        <w:rPr>
          <w:rFonts w:ascii="Arial" w:eastAsia="Times New Roman" w:hAnsi="Arial" w:cs="Arial"/>
          <w:color w:val="FF0000"/>
          <w:lang w:eastAsia="en-GB"/>
        </w:rPr>
      </w:pPr>
    </w:p>
    <w:p w:rsidR="00391C65" w:rsidRPr="006E031C" w:rsidRDefault="00391C65" w:rsidP="00391C65">
      <w:pPr>
        <w:shd w:val="clear" w:color="auto" w:fill="FFFFFF"/>
        <w:spacing w:after="0" w:line="240" w:lineRule="auto"/>
        <w:jc w:val="both"/>
        <w:rPr>
          <w:rFonts w:ascii="Arial" w:eastAsia="Times New Roman" w:hAnsi="Arial" w:cs="Arial"/>
          <w:color w:val="FF0000"/>
          <w:lang w:eastAsia="en-GB"/>
        </w:rPr>
      </w:pPr>
    </w:p>
    <w:p w:rsidR="00391C65" w:rsidRPr="006E031C" w:rsidRDefault="00391C65" w:rsidP="00391C65">
      <w:pPr>
        <w:jc w:val="both"/>
        <w:rPr>
          <w:rFonts w:ascii="Arial" w:hAnsi="Arial" w:cs="Arial"/>
          <w:u w:val="single"/>
        </w:rPr>
      </w:pPr>
      <w:r w:rsidRPr="006E031C">
        <w:rPr>
          <w:rFonts w:ascii="Arial" w:hAnsi="Arial" w:cs="Arial"/>
          <w:u w:val="single"/>
        </w:rPr>
        <w:t>State Liability</w:t>
      </w:r>
    </w:p>
    <w:p w:rsidR="00391C65" w:rsidRPr="006E031C" w:rsidRDefault="00391C65" w:rsidP="00391C65">
      <w:pPr>
        <w:shd w:val="clear" w:color="auto" w:fill="FFFFFF"/>
        <w:spacing w:after="0" w:line="240" w:lineRule="auto"/>
        <w:jc w:val="both"/>
        <w:rPr>
          <w:rFonts w:ascii="Arial" w:eastAsia="Times New Roman" w:hAnsi="Arial" w:cs="Arial"/>
          <w:color w:val="FF0000"/>
          <w:lang w:eastAsia="en-GB"/>
        </w:rPr>
      </w:pPr>
    </w:p>
    <w:p w:rsidR="00391C65" w:rsidRDefault="00391C65" w:rsidP="00391C65">
      <w:pPr>
        <w:shd w:val="clear" w:color="auto" w:fill="FFFFFF"/>
        <w:spacing w:after="0" w:line="240" w:lineRule="auto"/>
        <w:jc w:val="both"/>
        <w:rPr>
          <w:rFonts w:ascii="Arial" w:eastAsia="Times New Roman" w:hAnsi="Arial" w:cs="Arial"/>
          <w:color w:val="000000" w:themeColor="text1"/>
          <w:lang w:eastAsia="en-GB"/>
        </w:rPr>
      </w:pPr>
      <w:r w:rsidRPr="006E031C">
        <w:rPr>
          <w:rFonts w:ascii="Arial" w:eastAsia="Times New Roman" w:hAnsi="Arial" w:cs="Arial"/>
          <w:color w:val="000000" w:themeColor="text1"/>
          <w:lang w:eastAsia="en-GB"/>
        </w:rPr>
        <w:t>Where Member States are found liable for breaching individual rights, the State will be liable in damages before national Courts. This notion was first established in Francovich v Italy 1991 through Court and judicial activism rather than any relevant EU treaty.</w:t>
      </w:r>
      <w:r>
        <w:rPr>
          <w:rFonts w:ascii="Arial" w:eastAsia="Times New Roman" w:hAnsi="Arial" w:cs="Arial"/>
          <w:color w:val="000000" w:themeColor="text1"/>
          <w:lang w:eastAsia="en-GB"/>
        </w:rPr>
        <w:t xml:space="preserve"> Here, the Court stated that ‘</w:t>
      </w:r>
      <w:r w:rsidRPr="006E031C">
        <w:rPr>
          <w:rFonts w:ascii="Arial" w:eastAsia="Times New Roman" w:hAnsi="Arial" w:cs="Arial"/>
          <w:color w:val="000000" w:themeColor="text1"/>
          <w:lang w:eastAsia="en-GB"/>
        </w:rPr>
        <w:t>[I]t is a principle of Community law that the Member States are obliged to pay compensation for harm caused to individuals by breaches of Community law for which they can be held responsible.</w:t>
      </w:r>
      <w:r>
        <w:rPr>
          <w:rFonts w:ascii="Arial" w:eastAsia="Times New Roman" w:hAnsi="Arial" w:cs="Arial"/>
          <w:color w:val="000000" w:themeColor="text1"/>
          <w:lang w:eastAsia="en-GB"/>
        </w:rPr>
        <w:t>’</w:t>
      </w:r>
      <w:r w:rsidRPr="006E031C">
        <w:rPr>
          <w:rFonts w:ascii="Arial" w:eastAsia="Times New Roman" w:hAnsi="Arial" w:cs="Arial"/>
          <w:color w:val="000000" w:themeColor="text1"/>
          <w:lang w:eastAsia="en-GB"/>
        </w:rPr>
        <w:t xml:space="preserve"> Following Francovich, Claimants must be able to prove that the directive conferred specific rights on them, the directive is identifiable in its wording and that there is a causal link between the state's failure to implement the directive and the loss suffered. The second Francovich condition was replaced by Brasserie v Germany and Factortame III (1996) which specified that the breach be sufficiently serious.</w:t>
      </w:r>
      <w:r>
        <w:rPr>
          <w:rFonts w:ascii="Arial" w:eastAsia="Times New Roman" w:hAnsi="Arial" w:cs="Arial"/>
          <w:color w:val="000000" w:themeColor="text1"/>
          <w:lang w:eastAsia="en-GB"/>
        </w:rPr>
        <w:t xml:space="preserve"> It is for the Member State domestic Court under the guidance of the ECJ (following Article 267) to rule where there has been of individual rights.</w:t>
      </w:r>
    </w:p>
    <w:p w:rsidR="00391C65" w:rsidRDefault="00391C65" w:rsidP="00391C65">
      <w:pPr>
        <w:shd w:val="clear" w:color="auto" w:fill="FFFFFF"/>
        <w:spacing w:after="0" w:line="240" w:lineRule="auto"/>
        <w:jc w:val="both"/>
        <w:rPr>
          <w:rFonts w:ascii="Arial" w:eastAsia="Times New Roman" w:hAnsi="Arial" w:cs="Arial"/>
          <w:color w:val="000000" w:themeColor="text1"/>
          <w:lang w:eastAsia="en-GB"/>
        </w:rPr>
      </w:pPr>
    </w:p>
    <w:p w:rsidR="00391C65" w:rsidRPr="006E031C" w:rsidRDefault="00391C65" w:rsidP="00391C65">
      <w:pPr>
        <w:shd w:val="clear" w:color="auto" w:fill="FFFFFF"/>
        <w:spacing w:after="0" w:line="240" w:lineRule="auto"/>
        <w:jc w:val="both"/>
        <w:rPr>
          <w:rFonts w:ascii="Arial" w:eastAsia="Times New Roman" w:hAnsi="Arial" w:cs="Arial"/>
          <w:color w:val="000000" w:themeColor="text1"/>
          <w:lang w:eastAsia="en-GB"/>
        </w:rPr>
      </w:pPr>
      <w:r>
        <w:rPr>
          <w:rFonts w:ascii="Arial" w:eastAsia="Times New Roman" w:hAnsi="Arial" w:cs="Arial"/>
          <w:color w:val="000000" w:themeColor="text1"/>
          <w:lang w:eastAsia="en-GB"/>
        </w:rPr>
        <w:t xml:space="preserve"> </w:t>
      </w:r>
    </w:p>
    <w:p w:rsidR="00391C65" w:rsidRPr="006E031C" w:rsidRDefault="00391C65" w:rsidP="00391C65">
      <w:pPr>
        <w:jc w:val="both"/>
        <w:rPr>
          <w:rFonts w:ascii="Arial" w:hAnsi="Arial" w:cs="Arial"/>
        </w:rPr>
      </w:pPr>
      <w:r w:rsidRPr="006E031C">
        <w:rPr>
          <w:rFonts w:ascii="Arial" w:hAnsi="Arial" w:cs="Arial"/>
        </w:rPr>
        <w:t xml:space="preserve">To summarise, Member State individual rights have several options conferred upon them to enforce their legal rights. The notion of direct effect can be categorised under vertical direct effect, where EU treaties, regulations, decisions and directives fall under. The latter category, horizontal direct effect applies only to treaties, regulations and decisions. However, Courts have somewhat bypassed the lack of horizontal direct effect in relation to directives through the judicial active doctrine of indirect effect or regarding the individual as an emanation of the state. </w:t>
      </w:r>
      <w:r>
        <w:rPr>
          <w:rFonts w:ascii="Arial" w:hAnsi="Arial" w:cs="Arial"/>
        </w:rPr>
        <w:t xml:space="preserve">The breach of such individual rights can also be remedied by damages awarded to the individual by the breaching Member State through the notion of state liability, as conceived in Francovich via judicial activism. </w:t>
      </w:r>
    </w:p>
    <w:p w:rsidR="00207252" w:rsidRDefault="00207252">
      <w:bookmarkStart w:id="0" w:name="_GoBack"/>
      <w:bookmarkEnd w:id="0"/>
    </w:p>
    <w:sectPr w:rsidR="0020725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1C65"/>
    <w:rsid w:val="00207252"/>
    <w:rsid w:val="00391C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2461E76-FD82-4B25-9C49-583198E349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91C6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1881</Words>
  <Characters>10722</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Tarig Sanousi</dc:creator>
  <cp:keywords/>
  <dc:description/>
  <cp:lastModifiedBy>Tarig Sanousi</cp:lastModifiedBy>
  <cp:revision>1</cp:revision>
  <dcterms:created xsi:type="dcterms:W3CDTF">2022-05-04T22:42:00Z</dcterms:created>
  <dcterms:modified xsi:type="dcterms:W3CDTF">2022-05-04T22:42:00Z</dcterms:modified>
</cp:coreProperties>
</file>