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9A42A" w14:textId="77777777" w:rsidR="00405732" w:rsidRDefault="00405732" w:rsidP="00405732">
      <w:pPr>
        <w:jc w:val="center"/>
      </w:pPr>
      <w:r>
        <w:rPr>
          <w:noProof/>
        </w:rPr>
        <w:drawing>
          <wp:inline distT="0" distB="0" distL="0" distR="0" wp14:anchorId="5DFCBED3" wp14:editId="4431884F">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C3B9DE5" w14:textId="77777777" w:rsidR="00405732" w:rsidRDefault="00405732" w:rsidP="00405732">
      <w:pPr>
        <w:jc w:val="both"/>
      </w:pPr>
    </w:p>
    <w:p w14:paraId="162554B4" w14:textId="77777777" w:rsidR="00405732" w:rsidRDefault="00405732" w:rsidP="00405732">
      <w:pPr>
        <w:jc w:val="both"/>
      </w:pPr>
    </w:p>
    <w:p w14:paraId="312F3045" w14:textId="77777777" w:rsidR="00405732" w:rsidRDefault="00405732" w:rsidP="00405732">
      <w:pPr>
        <w:jc w:val="both"/>
      </w:pPr>
    </w:p>
    <w:p w14:paraId="7A5B875A" w14:textId="77777777" w:rsidR="00405732" w:rsidRDefault="00405732" w:rsidP="00405732">
      <w:pPr>
        <w:jc w:val="center"/>
        <w:rPr>
          <w:rFonts w:ascii="Arial" w:hAnsi="Arial" w:cs="Arial"/>
          <w:b/>
          <w:bCs/>
        </w:rPr>
      </w:pPr>
      <w:r w:rsidRPr="00024C42">
        <w:rPr>
          <w:rFonts w:ascii="Arial" w:hAnsi="Arial" w:cs="Arial"/>
          <w:b/>
          <w:bCs/>
        </w:rPr>
        <w:t xml:space="preserve">Course Title: </w:t>
      </w:r>
      <w:r w:rsidRPr="00024C42">
        <w:rPr>
          <w:rFonts w:ascii="Arial" w:hAnsi="Arial" w:cs="Arial"/>
        </w:rPr>
        <w:t xml:space="preserve">MBA </w:t>
      </w:r>
      <w:r>
        <w:rPr>
          <w:rFonts w:ascii="Arial" w:hAnsi="Arial" w:cs="Arial"/>
        </w:rPr>
        <w:t>-</w:t>
      </w:r>
      <w:r w:rsidRPr="00024C42">
        <w:rPr>
          <w:rFonts w:ascii="Arial" w:hAnsi="Arial" w:cs="Arial"/>
        </w:rPr>
        <w:t xml:space="preserve"> International Business</w:t>
      </w:r>
    </w:p>
    <w:p w14:paraId="2464820E" w14:textId="77777777" w:rsidR="00405732" w:rsidRPr="00646406" w:rsidRDefault="00405732" w:rsidP="00405732">
      <w:pPr>
        <w:jc w:val="center"/>
        <w:rPr>
          <w:rFonts w:ascii="Arial" w:hAnsi="Arial" w:cs="Arial"/>
          <w:b/>
          <w:bCs/>
        </w:rPr>
      </w:pPr>
      <w:r w:rsidRPr="00646406">
        <w:rPr>
          <w:rFonts w:ascii="Arial" w:hAnsi="Arial" w:cs="Arial"/>
          <w:b/>
          <w:bCs/>
        </w:rPr>
        <w:t>Term 1</w:t>
      </w:r>
    </w:p>
    <w:p w14:paraId="3EDE1E64" w14:textId="77777777" w:rsidR="00405732" w:rsidRDefault="00405732" w:rsidP="00405732">
      <w:pPr>
        <w:jc w:val="center"/>
        <w:rPr>
          <w:rFonts w:ascii="Arial" w:hAnsi="Arial" w:cs="Arial"/>
          <w:b/>
          <w:bCs/>
        </w:rPr>
      </w:pPr>
    </w:p>
    <w:p w14:paraId="6A40AADB" w14:textId="77777777" w:rsidR="00405732" w:rsidRDefault="00405732" w:rsidP="00405732">
      <w:pPr>
        <w:jc w:val="center"/>
        <w:rPr>
          <w:rFonts w:ascii="Arial" w:hAnsi="Arial" w:cs="Arial"/>
          <w:b/>
          <w:bCs/>
        </w:rPr>
      </w:pPr>
    </w:p>
    <w:p w14:paraId="4DE78D2B" w14:textId="77777777" w:rsidR="00405732" w:rsidRDefault="00405732" w:rsidP="00405732">
      <w:pPr>
        <w:jc w:val="center"/>
        <w:rPr>
          <w:rFonts w:ascii="Arial" w:hAnsi="Arial" w:cs="Arial"/>
          <w:b/>
          <w:bCs/>
        </w:rPr>
      </w:pPr>
    </w:p>
    <w:p w14:paraId="471F7CE4" w14:textId="2CFDF1AD" w:rsidR="00405732" w:rsidRPr="00646406" w:rsidRDefault="00405732" w:rsidP="00405732">
      <w:pPr>
        <w:jc w:val="center"/>
        <w:rPr>
          <w:rFonts w:ascii="Arial" w:hAnsi="Arial" w:cs="Arial"/>
          <w:b/>
          <w:bCs/>
        </w:rPr>
      </w:pPr>
      <w:r w:rsidRPr="00646406">
        <w:rPr>
          <w:rFonts w:ascii="Arial" w:hAnsi="Arial" w:cs="Arial"/>
          <w:b/>
          <w:bCs/>
        </w:rPr>
        <w:t>Student Name</w:t>
      </w:r>
      <w:r w:rsidR="00416C87">
        <w:rPr>
          <w:rFonts w:ascii="Arial" w:hAnsi="Arial" w:cs="Arial"/>
          <w:b/>
          <w:bCs/>
        </w:rPr>
        <w:t>: Charu Gautam</w:t>
      </w:r>
    </w:p>
    <w:p w14:paraId="1E07219A" w14:textId="7EAC1A39" w:rsidR="00405732" w:rsidRPr="00646406" w:rsidRDefault="00405732" w:rsidP="00405732">
      <w:pPr>
        <w:jc w:val="center"/>
        <w:rPr>
          <w:rFonts w:ascii="Arial" w:hAnsi="Arial" w:cs="Arial"/>
          <w:b/>
          <w:bCs/>
        </w:rPr>
      </w:pPr>
      <w:r w:rsidRPr="00646406">
        <w:rPr>
          <w:rFonts w:ascii="Arial" w:hAnsi="Arial" w:cs="Arial"/>
          <w:b/>
          <w:bCs/>
        </w:rPr>
        <w:t>Student ID:</w:t>
      </w:r>
      <w:r>
        <w:rPr>
          <w:rFonts w:ascii="Arial" w:hAnsi="Arial" w:cs="Arial"/>
          <w:b/>
          <w:bCs/>
        </w:rPr>
        <w:t xml:space="preserve"> </w:t>
      </w:r>
      <w:r w:rsidR="00416C87">
        <w:rPr>
          <w:rFonts w:ascii="Arial" w:hAnsi="Arial" w:cs="Arial"/>
          <w:b/>
          <w:bCs/>
        </w:rPr>
        <w:t>2432997</w:t>
      </w:r>
    </w:p>
    <w:p w14:paraId="12A0E492" w14:textId="77777777" w:rsidR="00405732" w:rsidRDefault="00405732" w:rsidP="00405732">
      <w:pPr>
        <w:jc w:val="center"/>
        <w:rPr>
          <w:rFonts w:ascii="Arial" w:hAnsi="Arial" w:cs="Arial"/>
          <w:b/>
          <w:bCs/>
        </w:rPr>
      </w:pPr>
    </w:p>
    <w:p w14:paraId="416D5D6D" w14:textId="77777777" w:rsidR="00405732" w:rsidRDefault="00405732" w:rsidP="00405732">
      <w:pPr>
        <w:jc w:val="center"/>
        <w:rPr>
          <w:rFonts w:ascii="Arial" w:hAnsi="Arial" w:cs="Arial"/>
          <w:b/>
          <w:bCs/>
        </w:rPr>
      </w:pPr>
    </w:p>
    <w:p w14:paraId="1BA5F4C5" w14:textId="77777777" w:rsidR="00405732" w:rsidRPr="00646406" w:rsidRDefault="00405732" w:rsidP="00405732">
      <w:pPr>
        <w:jc w:val="center"/>
        <w:rPr>
          <w:rFonts w:ascii="Arial" w:hAnsi="Arial" w:cs="Arial"/>
        </w:rPr>
      </w:pPr>
    </w:p>
    <w:p w14:paraId="48ABD8B2" w14:textId="52CE8833" w:rsidR="00405732" w:rsidRPr="00646406" w:rsidRDefault="00405732" w:rsidP="00405732">
      <w:pPr>
        <w:jc w:val="center"/>
        <w:rPr>
          <w:rFonts w:ascii="Arial" w:hAnsi="Arial" w:cs="Arial"/>
          <w:b/>
          <w:bCs/>
        </w:rPr>
      </w:pPr>
      <w:r w:rsidRPr="00646406">
        <w:rPr>
          <w:rFonts w:ascii="Arial" w:hAnsi="Arial" w:cs="Arial"/>
          <w:b/>
          <w:bCs/>
        </w:rPr>
        <w:t>Module Name:</w:t>
      </w:r>
      <w:r w:rsidR="00416C87">
        <w:rPr>
          <w:rFonts w:ascii="Arial" w:hAnsi="Arial" w:cs="Arial"/>
          <w:b/>
          <w:bCs/>
        </w:rPr>
        <w:t xml:space="preserve"> Financial Management </w:t>
      </w:r>
    </w:p>
    <w:p w14:paraId="03A5082C" w14:textId="7D24BA99" w:rsidR="00405732" w:rsidRPr="00421088" w:rsidRDefault="00405732" w:rsidP="00405732">
      <w:pPr>
        <w:jc w:val="center"/>
        <w:rPr>
          <w:rFonts w:ascii="Arial" w:hAnsi="Arial" w:cs="Arial"/>
        </w:rPr>
      </w:pPr>
      <w:r w:rsidRPr="00646406">
        <w:rPr>
          <w:rFonts w:ascii="Arial" w:hAnsi="Arial" w:cs="Arial"/>
          <w:b/>
          <w:bCs/>
        </w:rPr>
        <w:t xml:space="preserve">Module Code: </w:t>
      </w:r>
      <w:r w:rsidRPr="000E18FD">
        <w:rPr>
          <w:rFonts w:ascii="Arial" w:hAnsi="Arial" w:cs="Arial"/>
        </w:rPr>
        <w:t>LCMB</w:t>
      </w:r>
      <w:r w:rsidR="00416C87">
        <w:rPr>
          <w:rFonts w:ascii="Arial" w:hAnsi="Arial" w:cs="Arial"/>
        </w:rPr>
        <w:t>7002</w:t>
      </w:r>
    </w:p>
    <w:p w14:paraId="6D373BDA" w14:textId="77777777" w:rsidR="00405732" w:rsidRDefault="00405732" w:rsidP="00405732">
      <w:pPr>
        <w:jc w:val="center"/>
        <w:rPr>
          <w:rFonts w:ascii="Arial" w:hAnsi="Arial" w:cs="Arial"/>
          <w:b/>
          <w:bCs/>
        </w:rPr>
      </w:pPr>
    </w:p>
    <w:p w14:paraId="7AFFF90D" w14:textId="77777777" w:rsidR="00405732" w:rsidRDefault="00405732" w:rsidP="00405732">
      <w:pPr>
        <w:jc w:val="center"/>
        <w:rPr>
          <w:rFonts w:ascii="Arial" w:hAnsi="Arial" w:cs="Arial"/>
          <w:b/>
          <w:bCs/>
        </w:rPr>
      </w:pPr>
    </w:p>
    <w:p w14:paraId="4902666D" w14:textId="77777777" w:rsidR="00405732" w:rsidRPr="00646406" w:rsidRDefault="00405732" w:rsidP="00405732">
      <w:pPr>
        <w:jc w:val="center"/>
        <w:rPr>
          <w:rFonts w:ascii="Arial" w:hAnsi="Arial" w:cs="Arial"/>
          <w:b/>
          <w:bCs/>
        </w:rPr>
      </w:pPr>
    </w:p>
    <w:p w14:paraId="7C20436D" w14:textId="3311F8B5" w:rsidR="00405732" w:rsidRPr="0021135E" w:rsidRDefault="00405732" w:rsidP="00405732">
      <w:pPr>
        <w:jc w:val="center"/>
        <w:rPr>
          <w:rFonts w:ascii="Arial" w:hAnsi="Arial" w:cs="Arial"/>
        </w:rPr>
      </w:pPr>
      <w:r w:rsidRPr="00646406">
        <w:rPr>
          <w:rFonts w:ascii="Arial" w:hAnsi="Arial" w:cs="Arial"/>
          <w:b/>
          <w:bCs/>
        </w:rPr>
        <w:t>Lecturer’s Name:</w:t>
      </w:r>
      <w:r>
        <w:rPr>
          <w:rFonts w:ascii="Arial" w:hAnsi="Arial" w:cs="Arial"/>
          <w:b/>
          <w:bCs/>
        </w:rPr>
        <w:t xml:space="preserve"> </w:t>
      </w:r>
      <w:r w:rsidRPr="00BB6553">
        <w:rPr>
          <w:rFonts w:ascii="Arial" w:hAnsi="Arial" w:cs="Arial"/>
        </w:rPr>
        <w:t xml:space="preserve">Dr </w:t>
      </w:r>
      <w:r w:rsidR="00416C87">
        <w:rPr>
          <w:rFonts w:ascii="Arial" w:hAnsi="Arial" w:cs="Arial"/>
        </w:rPr>
        <w:t>MD kalam</w:t>
      </w:r>
    </w:p>
    <w:p w14:paraId="7CC7B903" w14:textId="25BEFFF9" w:rsidR="00405732" w:rsidRDefault="00405732" w:rsidP="00405732">
      <w:pPr>
        <w:jc w:val="center"/>
        <w:rPr>
          <w:rFonts w:ascii="Arial" w:hAnsi="Arial" w:cs="Arial"/>
          <w:b/>
          <w:bCs/>
        </w:rPr>
      </w:pPr>
      <w:r w:rsidRPr="00646406">
        <w:rPr>
          <w:rFonts w:ascii="Arial" w:hAnsi="Arial" w:cs="Arial"/>
          <w:b/>
          <w:bCs/>
        </w:rPr>
        <w:t>Wor</w:t>
      </w:r>
      <w:r>
        <w:rPr>
          <w:rFonts w:ascii="Arial" w:hAnsi="Arial" w:cs="Arial"/>
          <w:b/>
          <w:bCs/>
        </w:rPr>
        <w:t>d</w:t>
      </w:r>
      <w:r w:rsidRPr="00646406">
        <w:rPr>
          <w:rFonts w:ascii="Arial" w:hAnsi="Arial" w:cs="Arial"/>
          <w:b/>
          <w:bCs/>
        </w:rPr>
        <w:t xml:space="preserve"> Count:</w:t>
      </w:r>
      <w:r>
        <w:rPr>
          <w:rFonts w:ascii="Arial" w:hAnsi="Arial" w:cs="Arial"/>
          <w:b/>
          <w:bCs/>
        </w:rPr>
        <w:t xml:space="preserve"> </w:t>
      </w:r>
      <w:r w:rsidR="00D540EA">
        <w:rPr>
          <w:rFonts w:ascii="Arial" w:hAnsi="Arial" w:cs="Arial"/>
          <w:b/>
          <w:bCs/>
        </w:rPr>
        <w:t>5350/5000</w:t>
      </w:r>
      <w:r>
        <w:rPr>
          <w:rFonts w:ascii="Arial" w:hAnsi="Arial" w:cs="Arial"/>
          <w:b/>
          <w:bCs/>
        </w:rPr>
        <w:t xml:space="preserve">   </w:t>
      </w:r>
    </w:p>
    <w:p w14:paraId="361A5CC1" w14:textId="77777777" w:rsidR="00405732" w:rsidRDefault="00405732" w:rsidP="00405732">
      <w:pPr>
        <w:jc w:val="center"/>
        <w:rPr>
          <w:rFonts w:ascii="Arial" w:hAnsi="Arial" w:cs="Arial"/>
          <w:b/>
          <w:bCs/>
        </w:rPr>
      </w:pPr>
    </w:p>
    <w:p w14:paraId="41E6A78E" w14:textId="77777777" w:rsidR="00405732" w:rsidRDefault="00405732" w:rsidP="00405732">
      <w:pPr>
        <w:jc w:val="center"/>
        <w:rPr>
          <w:rFonts w:ascii="Arial" w:hAnsi="Arial" w:cs="Arial"/>
          <w:b/>
          <w:bCs/>
        </w:rPr>
      </w:pPr>
    </w:p>
    <w:p w14:paraId="252CA189" w14:textId="77777777" w:rsidR="00405732" w:rsidRDefault="00405732" w:rsidP="00405732">
      <w:pPr>
        <w:jc w:val="center"/>
        <w:rPr>
          <w:rFonts w:ascii="Arial" w:hAnsi="Arial" w:cs="Arial"/>
          <w:b/>
          <w:bCs/>
        </w:rPr>
      </w:pPr>
    </w:p>
    <w:p w14:paraId="278A1249" w14:textId="77777777" w:rsidR="00405732" w:rsidRDefault="00405732" w:rsidP="00405732">
      <w:pPr>
        <w:jc w:val="center"/>
        <w:rPr>
          <w:rFonts w:ascii="Arial" w:hAnsi="Arial" w:cs="Arial"/>
          <w:b/>
          <w:bCs/>
        </w:rPr>
      </w:pPr>
    </w:p>
    <w:p w14:paraId="5E5419CE" w14:textId="77777777" w:rsidR="00405732" w:rsidRDefault="00405732" w:rsidP="00405732">
      <w:pPr>
        <w:jc w:val="center"/>
        <w:rPr>
          <w:rFonts w:ascii="Arial" w:hAnsi="Arial" w:cs="Arial"/>
          <w:b/>
          <w:bCs/>
        </w:rPr>
      </w:pPr>
    </w:p>
    <w:p w14:paraId="49308557" w14:textId="77777777" w:rsidR="00405732" w:rsidRDefault="00405732" w:rsidP="00405732">
      <w:pPr>
        <w:jc w:val="center"/>
        <w:rPr>
          <w:rFonts w:ascii="Arial" w:hAnsi="Arial" w:cs="Arial"/>
          <w:b/>
          <w:bCs/>
        </w:rPr>
      </w:pPr>
    </w:p>
    <w:p w14:paraId="5146F6A7" w14:textId="77777777" w:rsidR="00405732" w:rsidRDefault="00405732" w:rsidP="00405732">
      <w:pPr>
        <w:jc w:val="center"/>
        <w:rPr>
          <w:rFonts w:ascii="Arial" w:hAnsi="Arial" w:cs="Arial"/>
          <w:b/>
          <w:bCs/>
        </w:rPr>
      </w:pPr>
    </w:p>
    <w:p w14:paraId="558ED1DD" w14:textId="77777777" w:rsidR="00405732" w:rsidRDefault="00405732" w:rsidP="00405732">
      <w:pPr>
        <w:jc w:val="center"/>
        <w:rPr>
          <w:rFonts w:ascii="Arial" w:hAnsi="Arial" w:cs="Arial"/>
          <w:b/>
          <w:bCs/>
        </w:rPr>
      </w:pPr>
    </w:p>
    <w:p w14:paraId="5AC185C3" w14:textId="77777777" w:rsidR="00405732" w:rsidRDefault="00405732" w:rsidP="00405732">
      <w:pPr>
        <w:jc w:val="center"/>
        <w:rPr>
          <w:rFonts w:ascii="Arial" w:hAnsi="Arial" w:cs="Arial"/>
          <w:b/>
          <w:bCs/>
        </w:rPr>
      </w:pPr>
    </w:p>
    <w:p w14:paraId="13A8629C" w14:textId="77777777" w:rsidR="00405732" w:rsidRDefault="00405732" w:rsidP="00405732">
      <w:pPr>
        <w:jc w:val="center"/>
        <w:rPr>
          <w:rFonts w:ascii="Arial" w:hAnsi="Arial" w:cs="Arial"/>
          <w:b/>
          <w:bCs/>
        </w:rPr>
      </w:pPr>
    </w:p>
    <w:p w14:paraId="3301D375" w14:textId="77777777" w:rsidR="00405732" w:rsidRDefault="00405732" w:rsidP="00405732">
      <w:pPr>
        <w:jc w:val="center"/>
        <w:rPr>
          <w:rFonts w:ascii="Arial" w:hAnsi="Arial" w:cs="Arial"/>
          <w:b/>
          <w:bCs/>
        </w:rPr>
      </w:pPr>
    </w:p>
    <w:p w14:paraId="467B6DF5" w14:textId="77777777" w:rsidR="00405732" w:rsidRDefault="00405732" w:rsidP="00405732">
      <w:pPr>
        <w:jc w:val="center"/>
        <w:rPr>
          <w:rFonts w:ascii="Arial" w:hAnsi="Arial" w:cs="Arial"/>
          <w:b/>
          <w:bCs/>
        </w:rPr>
      </w:pPr>
    </w:p>
    <w:p w14:paraId="1EE4ECAE" w14:textId="77777777" w:rsidR="00405732" w:rsidRDefault="00405732" w:rsidP="00405732">
      <w:pPr>
        <w:jc w:val="center"/>
        <w:rPr>
          <w:rFonts w:ascii="Arial" w:hAnsi="Arial" w:cs="Arial"/>
          <w:b/>
          <w:bCs/>
        </w:rPr>
      </w:pPr>
    </w:p>
    <w:p w14:paraId="14B3C7EB" w14:textId="77777777" w:rsidR="00405732" w:rsidRDefault="00405732" w:rsidP="00405732">
      <w:pPr>
        <w:jc w:val="center"/>
        <w:rPr>
          <w:rFonts w:ascii="Arial" w:hAnsi="Arial" w:cs="Arial"/>
          <w:b/>
          <w:bCs/>
        </w:rPr>
      </w:pPr>
    </w:p>
    <w:p w14:paraId="0E57C101" w14:textId="77777777" w:rsidR="00405732" w:rsidRDefault="00405732" w:rsidP="00405732">
      <w:pPr>
        <w:jc w:val="center"/>
        <w:rPr>
          <w:rFonts w:ascii="Arial" w:hAnsi="Arial" w:cs="Arial"/>
          <w:b/>
          <w:bCs/>
        </w:rPr>
      </w:pPr>
    </w:p>
    <w:p w14:paraId="6426541E" w14:textId="77777777" w:rsidR="00405732" w:rsidRDefault="00405732" w:rsidP="00405732">
      <w:pPr>
        <w:jc w:val="center"/>
        <w:rPr>
          <w:rFonts w:ascii="Arial" w:hAnsi="Arial" w:cs="Arial"/>
          <w:b/>
          <w:bCs/>
        </w:rPr>
      </w:pPr>
    </w:p>
    <w:p w14:paraId="216DA49F" w14:textId="77777777" w:rsidR="00405732" w:rsidRDefault="00405732" w:rsidP="00405732">
      <w:pPr>
        <w:jc w:val="center"/>
        <w:rPr>
          <w:rFonts w:ascii="Arial" w:hAnsi="Arial" w:cs="Arial"/>
          <w:b/>
          <w:bCs/>
        </w:rPr>
      </w:pPr>
    </w:p>
    <w:p w14:paraId="747717D3" w14:textId="77777777" w:rsidR="00405732" w:rsidRDefault="00405732" w:rsidP="00405732">
      <w:pPr>
        <w:jc w:val="center"/>
        <w:rPr>
          <w:rFonts w:ascii="Arial" w:hAnsi="Arial" w:cs="Arial"/>
          <w:b/>
          <w:bCs/>
        </w:rPr>
      </w:pPr>
    </w:p>
    <w:p w14:paraId="1E0E726E" w14:textId="77777777" w:rsidR="00405732" w:rsidRDefault="00405732" w:rsidP="00405732">
      <w:pPr>
        <w:jc w:val="center"/>
        <w:rPr>
          <w:rFonts w:ascii="Arial" w:hAnsi="Arial" w:cs="Arial"/>
          <w:b/>
          <w:bCs/>
        </w:rPr>
      </w:pPr>
    </w:p>
    <w:p w14:paraId="203255D0" w14:textId="77777777" w:rsidR="00405732" w:rsidRDefault="00405732" w:rsidP="00405732">
      <w:pPr>
        <w:jc w:val="center"/>
        <w:rPr>
          <w:rFonts w:ascii="Arial" w:hAnsi="Arial" w:cs="Arial"/>
          <w:b/>
          <w:bCs/>
        </w:rPr>
      </w:pPr>
    </w:p>
    <w:p w14:paraId="596F2504" w14:textId="77777777" w:rsidR="00405732" w:rsidRDefault="00405732" w:rsidP="00405732">
      <w:pPr>
        <w:jc w:val="center"/>
        <w:rPr>
          <w:rFonts w:ascii="Arial" w:hAnsi="Arial" w:cs="Arial"/>
          <w:b/>
          <w:bCs/>
        </w:rPr>
      </w:pPr>
    </w:p>
    <w:p w14:paraId="6216A435" w14:textId="77777777" w:rsidR="00405732" w:rsidRDefault="00405732" w:rsidP="00405732">
      <w:pPr>
        <w:jc w:val="center"/>
        <w:rPr>
          <w:rFonts w:ascii="Arial" w:hAnsi="Arial" w:cs="Arial"/>
          <w:b/>
          <w:bCs/>
        </w:rPr>
      </w:pPr>
    </w:p>
    <w:p w14:paraId="44EECE2A" w14:textId="77777777" w:rsidR="00405732" w:rsidRPr="00E452F9" w:rsidRDefault="00405732" w:rsidP="00405732">
      <w:pPr>
        <w:spacing w:line="360" w:lineRule="auto"/>
        <w:jc w:val="center"/>
        <w:rPr>
          <w:rFonts w:ascii="Arial" w:hAnsi="Arial" w:cs="Arial"/>
          <w:b/>
          <w:bCs/>
        </w:rPr>
      </w:pPr>
      <w:r w:rsidRPr="00E452F9">
        <w:rPr>
          <w:rFonts w:ascii="Arial" w:hAnsi="Arial" w:cs="Arial"/>
          <w:b/>
          <w:bCs/>
        </w:rPr>
        <w:lastRenderedPageBreak/>
        <w:t>A Report on the Strategic CFO Challenge: Saving General Electronics - A Comprehensive Financial Analysis and Turnaround Strategy</w:t>
      </w:r>
    </w:p>
    <w:p w14:paraId="1EFF88DE" w14:textId="77777777" w:rsidR="00405732" w:rsidRDefault="00405732" w:rsidP="00405732">
      <w:pPr>
        <w:jc w:val="center"/>
        <w:rPr>
          <w:rFonts w:ascii="Arial" w:hAnsi="Arial" w:cs="Arial"/>
        </w:rPr>
      </w:pPr>
    </w:p>
    <w:p w14:paraId="1C14AEE5" w14:textId="77777777" w:rsidR="00405732" w:rsidRDefault="00405732" w:rsidP="00405732">
      <w:pPr>
        <w:jc w:val="center"/>
        <w:rPr>
          <w:rFonts w:ascii="Arial" w:hAnsi="Arial" w:cs="Arial"/>
        </w:rPr>
      </w:pPr>
    </w:p>
    <w:p w14:paraId="1D56AC51" w14:textId="77777777" w:rsidR="00405732" w:rsidRDefault="00405732" w:rsidP="00405732">
      <w:pPr>
        <w:jc w:val="center"/>
        <w:rPr>
          <w:rFonts w:ascii="Arial" w:hAnsi="Arial" w:cs="Arial"/>
        </w:rPr>
      </w:pPr>
    </w:p>
    <w:p w14:paraId="7C755FEC" w14:textId="77777777" w:rsidR="00405732" w:rsidRDefault="00405732" w:rsidP="00405732">
      <w:pPr>
        <w:jc w:val="center"/>
        <w:rPr>
          <w:rFonts w:ascii="Arial" w:hAnsi="Arial" w:cs="Arial"/>
        </w:rPr>
      </w:pPr>
    </w:p>
    <w:p w14:paraId="6B4DF82D" w14:textId="77777777" w:rsidR="00405732" w:rsidRDefault="00405732" w:rsidP="00405732">
      <w:pPr>
        <w:jc w:val="center"/>
        <w:rPr>
          <w:rFonts w:ascii="Arial" w:hAnsi="Arial" w:cs="Arial"/>
        </w:rPr>
      </w:pPr>
    </w:p>
    <w:p w14:paraId="32D28A98" w14:textId="77777777" w:rsidR="00405732" w:rsidRDefault="00405732" w:rsidP="00405732">
      <w:pPr>
        <w:jc w:val="center"/>
        <w:rPr>
          <w:rFonts w:ascii="Arial" w:hAnsi="Arial" w:cs="Arial"/>
        </w:rPr>
      </w:pPr>
    </w:p>
    <w:p w14:paraId="0EF9FDE8" w14:textId="77777777" w:rsidR="00405732" w:rsidRDefault="00405732" w:rsidP="00405732">
      <w:pPr>
        <w:jc w:val="center"/>
        <w:rPr>
          <w:rFonts w:ascii="Arial" w:hAnsi="Arial" w:cs="Arial"/>
        </w:rPr>
      </w:pPr>
    </w:p>
    <w:p w14:paraId="1F0582EA" w14:textId="77777777" w:rsidR="00405732" w:rsidRDefault="00405732" w:rsidP="00405732">
      <w:pPr>
        <w:jc w:val="center"/>
        <w:rPr>
          <w:rFonts w:ascii="Arial" w:hAnsi="Arial" w:cs="Arial"/>
        </w:rPr>
      </w:pPr>
    </w:p>
    <w:p w14:paraId="7F0F337F" w14:textId="77777777" w:rsidR="00405732" w:rsidRDefault="00405732" w:rsidP="00405732">
      <w:pPr>
        <w:jc w:val="center"/>
        <w:rPr>
          <w:rFonts w:ascii="Arial" w:hAnsi="Arial" w:cs="Arial"/>
        </w:rPr>
      </w:pPr>
    </w:p>
    <w:p w14:paraId="3FBF2B90" w14:textId="77777777" w:rsidR="00405732" w:rsidRDefault="00405732" w:rsidP="00405732">
      <w:pPr>
        <w:jc w:val="center"/>
        <w:rPr>
          <w:rFonts w:ascii="Arial" w:hAnsi="Arial" w:cs="Arial"/>
        </w:rPr>
      </w:pPr>
    </w:p>
    <w:p w14:paraId="5636948E" w14:textId="77777777" w:rsidR="00405732" w:rsidRDefault="00405732" w:rsidP="00405732">
      <w:pPr>
        <w:jc w:val="center"/>
        <w:rPr>
          <w:rFonts w:ascii="Arial" w:hAnsi="Arial" w:cs="Arial"/>
        </w:rPr>
      </w:pPr>
    </w:p>
    <w:p w14:paraId="73950994" w14:textId="77777777" w:rsidR="00405732" w:rsidRDefault="00405732" w:rsidP="00405732">
      <w:pPr>
        <w:jc w:val="center"/>
        <w:rPr>
          <w:rFonts w:ascii="Arial" w:hAnsi="Arial" w:cs="Arial"/>
        </w:rPr>
      </w:pPr>
    </w:p>
    <w:p w14:paraId="2F83F814" w14:textId="77777777" w:rsidR="00405732" w:rsidRDefault="00405732" w:rsidP="00405732">
      <w:pPr>
        <w:jc w:val="center"/>
        <w:rPr>
          <w:rFonts w:ascii="Arial" w:hAnsi="Arial" w:cs="Arial"/>
        </w:rPr>
      </w:pPr>
    </w:p>
    <w:p w14:paraId="0DEC93ED" w14:textId="77777777" w:rsidR="00405732" w:rsidRDefault="00405732" w:rsidP="00405732">
      <w:pPr>
        <w:jc w:val="center"/>
        <w:rPr>
          <w:rFonts w:ascii="Arial" w:hAnsi="Arial" w:cs="Arial"/>
        </w:rPr>
      </w:pPr>
    </w:p>
    <w:p w14:paraId="67200A32" w14:textId="77777777" w:rsidR="00405732" w:rsidRDefault="00405732" w:rsidP="00405732">
      <w:pPr>
        <w:jc w:val="center"/>
        <w:rPr>
          <w:rFonts w:ascii="Arial" w:hAnsi="Arial" w:cs="Arial"/>
        </w:rPr>
      </w:pPr>
    </w:p>
    <w:p w14:paraId="0D583B09" w14:textId="77777777" w:rsidR="00405732" w:rsidRDefault="00405732" w:rsidP="00405732">
      <w:pPr>
        <w:jc w:val="center"/>
        <w:rPr>
          <w:rFonts w:ascii="Arial" w:hAnsi="Arial" w:cs="Arial"/>
        </w:rPr>
      </w:pPr>
    </w:p>
    <w:p w14:paraId="2AE93D24" w14:textId="77777777" w:rsidR="00405732" w:rsidRDefault="00405732" w:rsidP="00405732">
      <w:pPr>
        <w:jc w:val="center"/>
        <w:rPr>
          <w:rFonts w:ascii="Arial" w:hAnsi="Arial" w:cs="Arial"/>
        </w:rPr>
      </w:pPr>
    </w:p>
    <w:p w14:paraId="0C177515" w14:textId="77777777" w:rsidR="00405732" w:rsidRDefault="00405732" w:rsidP="00405732">
      <w:pPr>
        <w:jc w:val="center"/>
        <w:rPr>
          <w:rFonts w:ascii="Arial" w:hAnsi="Arial" w:cs="Arial"/>
        </w:rPr>
      </w:pPr>
    </w:p>
    <w:p w14:paraId="63F45991" w14:textId="77777777" w:rsidR="00405732" w:rsidRDefault="00405732" w:rsidP="00405732">
      <w:pPr>
        <w:jc w:val="center"/>
        <w:rPr>
          <w:rFonts w:ascii="Arial" w:hAnsi="Arial" w:cs="Arial"/>
        </w:rPr>
      </w:pPr>
    </w:p>
    <w:p w14:paraId="6253A64F" w14:textId="77777777" w:rsidR="00405732" w:rsidRDefault="00405732" w:rsidP="00405732">
      <w:pPr>
        <w:jc w:val="center"/>
        <w:rPr>
          <w:rFonts w:ascii="Arial" w:hAnsi="Arial" w:cs="Arial"/>
        </w:rPr>
      </w:pPr>
    </w:p>
    <w:p w14:paraId="7103D14C" w14:textId="77777777" w:rsidR="00405732" w:rsidRDefault="00405732" w:rsidP="00405732">
      <w:pPr>
        <w:jc w:val="center"/>
        <w:rPr>
          <w:rFonts w:ascii="Arial" w:hAnsi="Arial" w:cs="Arial"/>
        </w:rPr>
      </w:pPr>
    </w:p>
    <w:p w14:paraId="0A6E36B2" w14:textId="77777777" w:rsidR="00405732" w:rsidRDefault="00405732" w:rsidP="00405732">
      <w:pPr>
        <w:jc w:val="center"/>
        <w:rPr>
          <w:rFonts w:ascii="Arial" w:hAnsi="Arial" w:cs="Arial"/>
        </w:rPr>
      </w:pPr>
    </w:p>
    <w:p w14:paraId="2C2878AB" w14:textId="77777777" w:rsidR="00405732" w:rsidRDefault="00405732" w:rsidP="00405732">
      <w:pPr>
        <w:jc w:val="center"/>
        <w:rPr>
          <w:rFonts w:ascii="Arial" w:hAnsi="Arial" w:cs="Arial"/>
        </w:rPr>
      </w:pPr>
    </w:p>
    <w:p w14:paraId="4299BAE0" w14:textId="77777777" w:rsidR="00405732" w:rsidRDefault="00405732" w:rsidP="00405732">
      <w:pPr>
        <w:jc w:val="center"/>
        <w:rPr>
          <w:rFonts w:ascii="Arial" w:hAnsi="Arial" w:cs="Arial"/>
        </w:rPr>
      </w:pPr>
    </w:p>
    <w:p w14:paraId="6DF8973A" w14:textId="77777777" w:rsidR="00405732" w:rsidRDefault="00405732" w:rsidP="00405732">
      <w:pPr>
        <w:jc w:val="center"/>
        <w:rPr>
          <w:rFonts w:ascii="Arial" w:hAnsi="Arial" w:cs="Arial"/>
        </w:rPr>
      </w:pPr>
    </w:p>
    <w:p w14:paraId="31CB97E8" w14:textId="77777777" w:rsidR="00405732" w:rsidRDefault="00405732" w:rsidP="00405732">
      <w:pPr>
        <w:jc w:val="center"/>
        <w:rPr>
          <w:rFonts w:ascii="Arial" w:hAnsi="Arial" w:cs="Arial"/>
        </w:rPr>
      </w:pPr>
    </w:p>
    <w:p w14:paraId="1AFE84C4" w14:textId="77777777" w:rsidR="00405732" w:rsidRDefault="00405732" w:rsidP="00405732">
      <w:pPr>
        <w:jc w:val="center"/>
        <w:rPr>
          <w:rFonts w:ascii="Arial" w:hAnsi="Arial" w:cs="Arial"/>
        </w:rPr>
      </w:pPr>
    </w:p>
    <w:p w14:paraId="50EBAA46" w14:textId="77777777" w:rsidR="00405732" w:rsidRDefault="00405732" w:rsidP="00405732">
      <w:pPr>
        <w:jc w:val="center"/>
        <w:rPr>
          <w:rFonts w:ascii="Arial" w:hAnsi="Arial" w:cs="Arial"/>
        </w:rPr>
      </w:pPr>
    </w:p>
    <w:p w14:paraId="4681ACAB" w14:textId="77777777" w:rsidR="00405732" w:rsidRDefault="00405732" w:rsidP="00405732">
      <w:pPr>
        <w:jc w:val="center"/>
        <w:rPr>
          <w:rFonts w:ascii="Arial" w:hAnsi="Arial" w:cs="Arial"/>
        </w:rPr>
      </w:pPr>
    </w:p>
    <w:p w14:paraId="18D9BC75" w14:textId="77777777" w:rsidR="00405732" w:rsidRDefault="00405732" w:rsidP="00405732">
      <w:pPr>
        <w:jc w:val="center"/>
        <w:rPr>
          <w:rFonts w:ascii="Arial" w:hAnsi="Arial" w:cs="Arial"/>
        </w:rPr>
      </w:pPr>
    </w:p>
    <w:p w14:paraId="7A70E5AD" w14:textId="77777777" w:rsidR="00405732" w:rsidRDefault="00405732" w:rsidP="00405732">
      <w:pPr>
        <w:jc w:val="center"/>
        <w:rPr>
          <w:rFonts w:ascii="Arial" w:hAnsi="Arial" w:cs="Arial"/>
        </w:rPr>
      </w:pPr>
    </w:p>
    <w:p w14:paraId="176E9AF4" w14:textId="77777777" w:rsidR="00405732" w:rsidRDefault="00405732" w:rsidP="00405732">
      <w:pPr>
        <w:jc w:val="center"/>
        <w:rPr>
          <w:rFonts w:ascii="Arial" w:hAnsi="Arial" w:cs="Arial"/>
        </w:rPr>
      </w:pPr>
    </w:p>
    <w:p w14:paraId="4132FC14" w14:textId="77777777" w:rsidR="00405732" w:rsidRDefault="00405732" w:rsidP="00405732">
      <w:pPr>
        <w:jc w:val="center"/>
        <w:rPr>
          <w:rFonts w:ascii="Arial" w:hAnsi="Arial" w:cs="Arial"/>
        </w:rPr>
      </w:pPr>
    </w:p>
    <w:p w14:paraId="20F7872F" w14:textId="77777777" w:rsidR="00405732" w:rsidRDefault="00405732" w:rsidP="00405732">
      <w:pPr>
        <w:jc w:val="center"/>
        <w:rPr>
          <w:rFonts w:ascii="Arial" w:hAnsi="Arial" w:cs="Arial"/>
        </w:rPr>
      </w:pPr>
    </w:p>
    <w:p w14:paraId="3C6E7666" w14:textId="77777777" w:rsidR="00405732" w:rsidRDefault="00405732" w:rsidP="00405732">
      <w:pPr>
        <w:jc w:val="center"/>
        <w:rPr>
          <w:rFonts w:ascii="Arial" w:hAnsi="Arial" w:cs="Arial"/>
        </w:rPr>
      </w:pPr>
    </w:p>
    <w:p w14:paraId="2C4077DF" w14:textId="77777777" w:rsidR="00405732" w:rsidRDefault="00405732" w:rsidP="00405732">
      <w:pPr>
        <w:jc w:val="center"/>
        <w:rPr>
          <w:rFonts w:ascii="Arial" w:hAnsi="Arial" w:cs="Arial"/>
        </w:rPr>
      </w:pPr>
    </w:p>
    <w:p w14:paraId="77BDA92D" w14:textId="77777777" w:rsidR="00405732" w:rsidRDefault="00405732" w:rsidP="00405732">
      <w:pPr>
        <w:jc w:val="center"/>
        <w:rPr>
          <w:rFonts w:ascii="Arial" w:hAnsi="Arial" w:cs="Arial"/>
        </w:rPr>
      </w:pPr>
    </w:p>
    <w:p w14:paraId="7E987C55" w14:textId="77777777" w:rsidR="00405732" w:rsidRDefault="00405732" w:rsidP="00405732">
      <w:pPr>
        <w:jc w:val="center"/>
        <w:rPr>
          <w:rFonts w:ascii="Arial" w:hAnsi="Arial" w:cs="Arial"/>
        </w:rPr>
      </w:pPr>
    </w:p>
    <w:p w14:paraId="3F6D0274" w14:textId="77777777" w:rsidR="00405732" w:rsidRDefault="00405732" w:rsidP="00405732">
      <w:pPr>
        <w:jc w:val="center"/>
        <w:rPr>
          <w:rFonts w:ascii="Arial" w:hAnsi="Arial" w:cs="Arial"/>
        </w:rPr>
      </w:pPr>
    </w:p>
    <w:p w14:paraId="35262532" w14:textId="77777777" w:rsidR="00405732" w:rsidRDefault="00405732" w:rsidP="00405732">
      <w:pPr>
        <w:jc w:val="center"/>
        <w:rPr>
          <w:rFonts w:ascii="Arial" w:hAnsi="Arial" w:cs="Arial"/>
        </w:rPr>
      </w:pPr>
    </w:p>
    <w:p w14:paraId="741E700B" w14:textId="77777777" w:rsidR="00405732" w:rsidRDefault="00405732" w:rsidP="00405732">
      <w:pPr>
        <w:jc w:val="center"/>
        <w:rPr>
          <w:rFonts w:ascii="Arial" w:hAnsi="Arial" w:cs="Arial"/>
        </w:rPr>
      </w:pPr>
    </w:p>
    <w:p w14:paraId="4F5BE2F6" w14:textId="77777777" w:rsidR="00405732" w:rsidRDefault="00405732" w:rsidP="00405732">
      <w:pPr>
        <w:jc w:val="center"/>
        <w:rPr>
          <w:rFonts w:ascii="Arial" w:hAnsi="Arial" w:cs="Arial"/>
        </w:rPr>
      </w:pPr>
    </w:p>
    <w:p w14:paraId="231E2F78" w14:textId="77777777" w:rsidR="00405732" w:rsidRDefault="00405732" w:rsidP="00405732">
      <w:pPr>
        <w:jc w:val="center"/>
        <w:rPr>
          <w:rFonts w:ascii="Arial" w:hAnsi="Arial" w:cs="Arial"/>
        </w:rPr>
      </w:pPr>
    </w:p>
    <w:p w14:paraId="6FBA5C87" w14:textId="77777777" w:rsidR="00405732" w:rsidRDefault="00405732" w:rsidP="00405732">
      <w:pPr>
        <w:jc w:val="center"/>
        <w:rPr>
          <w:rFonts w:ascii="Arial" w:hAnsi="Arial" w:cs="Arial"/>
        </w:rPr>
      </w:pPr>
    </w:p>
    <w:p w14:paraId="55D028BD" w14:textId="77777777" w:rsidR="00405732" w:rsidRDefault="00405732" w:rsidP="00405732">
      <w:pPr>
        <w:jc w:val="center"/>
        <w:rPr>
          <w:rFonts w:ascii="Arial" w:hAnsi="Arial" w:cs="Arial"/>
        </w:rPr>
      </w:pPr>
    </w:p>
    <w:p w14:paraId="7A72113B" w14:textId="77777777" w:rsidR="00405732" w:rsidRDefault="00405732" w:rsidP="00405732">
      <w:pPr>
        <w:jc w:val="center"/>
        <w:rPr>
          <w:rFonts w:ascii="Arial" w:hAnsi="Arial" w:cs="Arial"/>
        </w:rPr>
      </w:pPr>
    </w:p>
    <w:p w14:paraId="37A3A9F4" w14:textId="77777777" w:rsidR="00405732" w:rsidRDefault="00405732" w:rsidP="00405732">
      <w:pPr>
        <w:jc w:val="center"/>
        <w:rPr>
          <w:rFonts w:ascii="Arial" w:hAnsi="Arial" w:cs="Arial"/>
        </w:rPr>
      </w:pPr>
    </w:p>
    <w:sdt>
      <w:sdtPr>
        <w:rPr>
          <w:rFonts w:ascii="Arial" w:eastAsia="Times New Roman" w:hAnsi="Arial" w:cs="Arial"/>
          <w:color w:val="auto"/>
          <w:sz w:val="24"/>
          <w:szCs w:val="24"/>
        </w:rPr>
        <w:id w:val="-316502576"/>
        <w:docPartObj>
          <w:docPartGallery w:val="Table of Contents"/>
          <w:docPartUnique/>
        </w:docPartObj>
      </w:sdtPr>
      <w:sdtEndPr>
        <w:rPr>
          <w:rFonts w:eastAsiaTheme="minorHAnsi"/>
          <w:b/>
          <w:bCs/>
          <w:noProof/>
          <w:kern w:val="2"/>
          <w:lang w:val="en-GB"/>
          <w14:ligatures w14:val="standardContextual"/>
        </w:rPr>
      </w:sdtEndPr>
      <w:sdtContent>
        <w:p w14:paraId="52B89F58" w14:textId="77777777" w:rsidR="00405732" w:rsidRPr="00E452F9" w:rsidRDefault="00405732" w:rsidP="00405732">
          <w:pPr>
            <w:pStyle w:val="TOCHeading"/>
            <w:spacing w:line="360" w:lineRule="auto"/>
            <w:jc w:val="both"/>
            <w:rPr>
              <w:rFonts w:ascii="Arial" w:hAnsi="Arial" w:cs="Arial"/>
              <w:b/>
              <w:bCs/>
              <w:color w:val="000000" w:themeColor="text1"/>
              <w:sz w:val="24"/>
              <w:szCs w:val="24"/>
            </w:rPr>
          </w:pPr>
          <w:r w:rsidRPr="00E452F9">
            <w:rPr>
              <w:rFonts w:ascii="Arial" w:hAnsi="Arial" w:cs="Arial"/>
              <w:b/>
              <w:bCs/>
              <w:color w:val="000000" w:themeColor="text1"/>
              <w:sz w:val="24"/>
              <w:szCs w:val="24"/>
            </w:rPr>
            <w:t>Table of Contents</w:t>
          </w:r>
        </w:p>
        <w:p w14:paraId="0FC5CB50" w14:textId="77777777" w:rsidR="00405732" w:rsidRPr="00E452F9" w:rsidRDefault="00405732" w:rsidP="00405732">
          <w:pPr>
            <w:pStyle w:val="TOC1"/>
            <w:tabs>
              <w:tab w:val="right" w:leader="dot" w:pos="9350"/>
            </w:tabs>
            <w:spacing w:line="360" w:lineRule="auto"/>
            <w:jc w:val="both"/>
            <w:rPr>
              <w:rFonts w:ascii="Arial" w:hAnsi="Arial" w:cs="Arial"/>
              <w:noProof/>
            </w:rPr>
          </w:pPr>
          <w:r w:rsidRPr="00E452F9">
            <w:rPr>
              <w:rFonts w:ascii="Arial" w:hAnsi="Arial" w:cs="Arial"/>
            </w:rPr>
            <w:fldChar w:fldCharType="begin"/>
          </w:r>
          <w:r w:rsidRPr="00E452F9">
            <w:rPr>
              <w:rFonts w:ascii="Arial" w:hAnsi="Arial" w:cs="Arial"/>
            </w:rPr>
            <w:instrText xml:space="preserve"> TOC \o "1-3" \h \z \u </w:instrText>
          </w:r>
          <w:r w:rsidRPr="00E452F9">
            <w:rPr>
              <w:rFonts w:ascii="Arial" w:hAnsi="Arial" w:cs="Arial"/>
            </w:rPr>
            <w:fldChar w:fldCharType="separate"/>
          </w:r>
          <w:hyperlink w:anchor="_Toc213243589" w:history="1">
            <w:r w:rsidRPr="00E452F9">
              <w:rPr>
                <w:rStyle w:val="Hyperlink"/>
                <w:rFonts w:ascii="Arial" w:hAnsi="Arial" w:cs="Arial"/>
                <w:noProof/>
                <w:lang w:bidi="th-TH"/>
              </w:rPr>
              <w:t>1. Introduction</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_Toc213243589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4</w:t>
            </w:r>
            <w:r w:rsidRPr="00E452F9">
              <w:rPr>
                <w:rFonts w:ascii="Arial" w:hAnsi="Arial" w:cs="Arial"/>
                <w:noProof/>
                <w:webHidden/>
              </w:rPr>
              <w:fldChar w:fldCharType="end"/>
            </w:r>
          </w:hyperlink>
        </w:p>
        <w:p w14:paraId="32157575" w14:textId="77777777" w:rsidR="00405732" w:rsidRPr="00E452F9" w:rsidRDefault="00405732" w:rsidP="00405732">
          <w:pPr>
            <w:pStyle w:val="TOC1"/>
            <w:tabs>
              <w:tab w:val="right" w:leader="dot" w:pos="9350"/>
            </w:tabs>
            <w:spacing w:line="360" w:lineRule="auto"/>
            <w:jc w:val="both"/>
            <w:rPr>
              <w:rFonts w:ascii="Arial" w:hAnsi="Arial" w:cs="Arial"/>
              <w:noProof/>
            </w:rPr>
          </w:pPr>
          <w:hyperlink w:anchor="_Toc213243590" w:history="1">
            <w:r w:rsidRPr="00E452F9">
              <w:rPr>
                <w:rStyle w:val="Hyperlink"/>
                <w:rFonts w:ascii="Arial" w:hAnsi="Arial" w:cs="Arial"/>
                <w:noProof/>
                <w:lang w:bidi="th-TH"/>
              </w:rPr>
              <w:t>2. Financial Health Check</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_Toc213243590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4</w:t>
            </w:r>
            <w:r w:rsidRPr="00E452F9">
              <w:rPr>
                <w:rFonts w:ascii="Arial" w:hAnsi="Arial" w:cs="Arial"/>
                <w:noProof/>
                <w:webHidden/>
              </w:rPr>
              <w:fldChar w:fldCharType="end"/>
            </w:r>
          </w:hyperlink>
        </w:p>
        <w:p w14:paraId="7C47E896" w14:textId="77777777" w:rsidR="00405732" w:rsidRPr="00E452F9" w:rsidRDefault="00405732" w:rsidP="00405732">
          <w:pPr>
            <w:pStyle w:val="TOC2"/>
            <w:tabs>
              <w:tab w:val="right" w:leader="dot" w:pos="9350"/>
            </w:tabs>
            <w:spacing w:line="360" w:lineRule="auto"/>
            <w:jc w:val="both"/>
            <w:rPr>
              <w:rFonts w:ascii="Arial" w:hAnsi="Arial" w:cs="Arial"/>
              <w:noProof/>
            </w:rPr>
          </w:pPr>
          <w:hyperlink w:anchor="_Toc213243591" w:history="1">
            <w:r w:rsidRPr="00E452F9">
              <w:rPr>
                <w:rStyle w:val="Hyperlink"/>
                <w:rFonts w:ascii="Arial" w:hAnsi="Arial" w:cs="Arial"/>
                <w:noProof/>
                <w:lang w:bidi="th-TH"/>
              </w:rPr>
              <w:t>2.1 Introduction to Financial Analysis</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_Toc213243591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4</w:t>
            </w:r>
            <w:r w:rsidRPr="00E452F9">
              <w:rPr>
                <w:rFonts w:ascii="Arial" w:hAnsi="Arial" w:cs="Arial"/>
                <w:noProof/>
                <w:webHidden/>
              </w:rPr>
              <w:fldChar w:fldCharType="end"/>
            </w:r>
          </w:hyperlink>
        </w:p>
        <w:p w14:paraId="6DB2AF96" w14:textId="77777777" w:rsidR="00405732" w:rsidRPr="00E452F9" w:rsidRDefault="00405732" w:rsidP="00405732">
          <w:pPr>
            <w:pStyle w:val="TOC2"/>
            <w:tabs>
              <w:tab w:val="right" w:leader="dot" w:pos="9350"/>
            </w:tabs>
            <w:spacing w:line="360" w:lineRule="auto"/>
            <w:jc w:val="both"/>
            <w:rPr>
              <w:rFonts w:ascii="Arial" w:hAnsi="Arial" w:cs="Arial"/>
              <w:noProof/>
            </w:rPr>
          </w:pPr>
          <w:hyperlink w:anchor="_Toc213243592" w:history="1">
            <w:r w:rsidRPr="00E452F9">
              <w:rPr>
                <w:rStyle w:val="Hyperlink"/>
                <w:rFonts w:ascii="Arial" w:hAnsi="Arial" w:cs="Arial"/>
                <w:noProof/>
                <w:lang w:bidi="th-TH"/>
              </w:rPr>
              <w:t>2.2 Ratio Analysis and Calculations</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_Toc213243592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4</w:t>
            </w:r>
            <w:r w:rsidRPr="00E452F9">
              <w:rPr>
                <w:rFonts w:ascii="Arial" w:hAnsi="Arial" w:cs="Arial"/>
                <w:noProof/>
                <w:webHidden/>
              </w:rPr>
              <w:fldChar w:fldCharType="end"/>
            </w:r>
          </w:hyperlink>
        </w:p>
        <w:p w14:paraId="7B06F950" w14:textId="77777777" w:rsidR="00405732" w:rsidRPr="00E452F9" w:rsidRDefault="00405732" w:rsidP="00405732">
          <w:pPr>
            <w:pStyle w:val="TOC2"/>
            <w:tabs>
              <w:tab w:val="right" w:leader="dot" w:pos="9350"/>
            </w:tabs>
            <w:spacing w:line="360" w:lineRule="auto"/>
            <w:jc w:val="both"/>
            <w:rPr>
              <w:rFonts w:ascii="Arial" w:hAnsi="Arial" w:cs="Arial"/>
              <w:noProof/>
            </w:rPr>
          </w:pPr>
          <w:hyperlink w:anchor="_Toc213243593" w:history="1">
            <w:r w:rsidRPr="00E452F9">
              <w:rPr>
                <w:rStyle w:val="Hyperlink"/>
                <w:rFonts w:ascii="Arial" w:hAnsi="Arial" w:cs="Arial"/>
                <w:noProof/>
                <w:lang w:bidi="th-TH"/>
              </w:rPr>
              <w:t>2.3 Analysis of Financial Trends</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_Toc213243593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5</w:t>
            </w:r>
            <w:r w:rsidRPr="00E452F9">
              <w:rPr>
                <w:rFonts w:ascii="Arial" w:hAnsi="Arial" w:cs="Arial"/>
                <w:noProof/>
                <w:webHidden/>
              </w:rPr>
              <w:fldChar w:fldCharType="end"/>
            </w:r>
          </w:hyperlink>
        </w:p>
        <w:p w14:paraId="55975A96" w14:textId="77777777" w:rsidR="00405732" w:rsidRPr="00E452F9" w:rsidRDefault="00405732" w:rsidP="00405732">
          <w:pPr>
            <w:pStyle w:val="TOC2"/>
            <w:tabs>
              <w:tab w:val="right" w:leader="dot" w:pos="9350"/>
            </w:tabs>
            <w:spacing w:line="360" w:lineRule="auto"/>
            <w:jc w:val="both"/>
            <w:rPr>
              <w:rFonts w:ascii="Arial" w:hAnsi="Arial" w:cs="Arial"/>
              <w:noProof/>
            </w:rPr>
          </w:pPr>
          <w:hyperlink w:anchor="_Toc213243594" w:history="1">
            <w:r w:rsidRPr="00E452F9">
              <w:rPr>
                <w:rStyle w:val="Hyperlink"/>
                <w:rFonts w:ascii="Arial" w:hAnsi="Arial" w:cs="Arial"/>
                <w:noProof/>
                <w:lang w:bidi="th-TH"/>
              </w:rPr>
              <w:t>2.4 Corporate Failure Prediction: Altman Z-Score Analysis</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_Toc213243594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11</w:t>
            </w:r>
            <w:r w:rsidRPr="00E452F9">
              <w:rPr>
                <w:rFonts w:ascii="Arial" w:hAnsi="Arial" w:cs="Arial"/>
                <w:noProof/>
                <w:webHidden/>
              </w:rPr>
              <w:fldChar w:fldCharType="end"/>
            </w:r>
          </w:hyperlink>
        </w:p>
        <w:p w14:paraId="2A7B1552" w14:textId="77777777" w:rsidR="00405732" w:rsidRPr="00E452F9" w:rsidRDefault="00405732" w:rsidP="00405732">
          <w:pPr>
            <w:pStyle w:val="TOC1"/>
            <w:tabs>
              <w:tab w:val="right" w:leader="dot" w:pos="9350"/>
            </w:tabs>
            <w:spacing w:line="360" w:lineRule="auto"/>
            <w:jc w:val="both"/>
            <w:rPr>
              <w:rFonts w:ascii="Arial" w:hAnsi="Arial" w:cs="Arial"/>
              <w:noProof/>
            </w:rPr>
          </w:pPr>
          <w:hyperlink w:anchor="_Toc213243595" w:history="1">
            <w:r w:rsidRPr="00E452F9">
              <w:rPr>
                <w:rStyle w:val="Hyperlink"/>
                <w:rFonts w:ascii="Arial" w:hAnsi="Arial" w:cs="Arial"/>
                <w:noProof/>
                <w:lang w:bidi="th-TH"/>
              </w:rPr>
              <w:t>3. Working Capital Management Analysis</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_Toc213243595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13</w:t>
            </w:r>
            <w:r w:rsidRPr="00E452F9">
              <w:rPr>
                <w:rFonts w:ascii="Arial" w:hAnsi="Arial" w:cs="Arial"/>
                <w:noProof/>
                <w:webHidden/>
              </w:rPr>
              <w:fldChar w:fldCharType="end"/>
            </w:r>
          </w:hyperlink>
        </w:p>
        <w:p w14:paraId="4EEDA2AF" w14:textId="77777777" w:rsidR="00405732" w:rsidRPr="00E452F9" w:rsidRDefault="00405732" w:rsidP="00405732">
          <w:pPr>
            <w:pStyle w:val="TOC2"/>
            <w:tabs>
              <w:tab w:val="right" w:leader="dot" w:pos="9350"/>
            </w:tabs>
            <w:spacing w:line="360" w:lineRule="auto"/>
            <w:jc w:val="both"/>
            <w:rPr>
              <w:rFonts w:ascii="Arial" w:hAnsi="Arial" w:cs="Arial"/>
              <w:noProof/>
            </w:rPr>
          </w:pPr>
          <w:hyperlink w:anchor="_Toc213243596" w:history="1">
            <w:r w:rsidRPr="00E452F9">
              <w:rPr>
                <w:rStyle w:val="Hyperlink"/>
                <w:rFonts w:ascii="Arial" w:hAnsi="Arial" w:cs="Arial"/>
                <w:noProof/>
                <w:lang w:bidi="th-TH"/>
              </w:rPr>
              <w:t>3.1 Cash Operating Cycle Assessment</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_Toc213243596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13</w:t>
            </w:r>
            <w:r w:rsidRPr="00E452F9">
              <w:rPr>
                <w:rFonts w:ascii="Arial" w:hAnsi="Arial" w:cs="Arial"/>
                <w:noProof/>
                <w:webHidden/>
              </w:rPr>
              <w:fldChar w:fldCharType="end"/>
            </w:r>
          </w:hyperlink>
        </w:p>
        <w:p w14:paraId="0D8700C0" w14:textId="77777777" w:rsidR="00405732" w:rsidRPr="00E452F9" w:rsidRDefault="00405732" w:rsidP="00405732">
          <w:pPr>
            <w:pStyle w:val="TOC2"/>
            <w:tabs>
              <w:tab w:val="right" w:leader="dot" w:pos="9350"/>
            </w:tabs>
            <w:spacing w:line="360" w:lineRule="auto"/>
            <w:jc w:val="both"/>
            <w:rPr>
              <w:rFonts w:ascii="Arial" w:hAnsi="Arial" w:cs="Arial"/>
              <w:noProof/>
            </w:rPr>
          </w:pPr>
          <w:hyperlink w:anchor="_Toc213243597" w:history="1">
            <w:r w:rsidRPr="00E452F9">
              <w:rPr>
                <w:rStyle w:val="Hyperlink"/>
                <w:rFonts w:ascii="Arial" w:hAnsi="Arial" w:cs="Arial"/>
                <w:noProof/>
                <w:lang w:bidi="th-TH"/>
              </w:rPr>
              <w:t>3.2 Working Capital Trends and Issues</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_Toc213243597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14</w:t>
            </w:r>
            <w:r w:rsidRPr="00E452F9">
              <w:rPr>
                <w:rFonts w:ascii="Arial" w:hAnsi="Arial" w:cs="Arial"/>
                <w:noProof/>
                <w:webHidden/>
              </w:rPr>
              <w:fldChar w:fldCharType="end"/>
            </w:r>
          </w:hyperlink>
        </w:p>
        <w:p w14:paraId="0F346BD1" w14:textId="77777777" w:rsidR="00405732" w:rsidRPr="00E452F9" w:rsidRDefault="00405732" w:rsidP="00405732">
          <w:pPr>
            <w:pStyle w:val="TOC2"/>
            <w:tabs>
              <w:tab w:val="right" w:leader="dot" w:pos="9350"/>
            </w:tabs>
            <w:spacing w:line="360" w:lineRule="auto"/>
            <w:jc w:val="both"/>
            <w:rPr>
              <w:rFonts w:ascii="Arial" w:hAnsi="Arial" w:cs="Arial"/>
              <w:noProof/>
            </w:rPr>
          </w:pPr>
          <w:hyperlink w:anchor="_Toc213243598" w:history="1">
            <w:r w:rsidRPr="00E452F9">
              <w:rPr>
                <w:rStyle w:val="Hyperlink"/>
                <w:rFonts w:ascii="Arial" w:hAnsi="Arial" w:cs="Arial"/>
                <w:noProof/>
                <w:lang w:bidi="th-TH"/>
              </w:rPr>
              <w:t>3.3 Liquidity Improvement Strategies</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_Toc213243598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15</w:t>
            </w:r>
            <w:r w:rsidRPr="00E452F9">
              <w:rPr>
                <w:rFonts w:ascii="Arial" w:hAnsi="Arial" w:cs="Arial"/>
                <w:noProof/>
                <w:webHidden/>
              </w:rPr>
              <w:fldChar w:fldCharType="end"/>
            </w:r>
          </w:hyperlink>
        </w:p>
        <w:p w14:paraId="6918EEE4" w14:textId="77777777" w:rsidR="00405732" w:rsidRPr="00E452F9" w:rsidRDefault="00405732" w:rsidP="00405732">
          <w:pPr>
            <w:pStyle w:val="TOC2"/>
            <w:tabs>
              <w:tab w:val="right" w:leader="dot" w:pos="9350"/>
            </w:tabs>
            <w:spacing w:line="360" w:lineRule="auto"/>
            <w:jc w:val="both"/>
            <w:rPr>
              <w:rFonts w:ascii="Arial" w:hAnsi="Arial" w:cs="Arial"/>
              <w:noProof/>
            </w:rPr>
          </w:pPr>
          <w:hyperlink w:anchor="_Toc213243599" w:history="1">
            <w:r w:rsidRPr="00E452F9">
              <w:rPr>
                <w:rStyle w:val="Hyperlink"/>
                <w:rFonts w:ascii="Arial" w:hAnsi="Arial" w:cs="Arial"/>
                <w:noProof/>
                <w:lang w:bidi="th-TH"/>
              </w:rPr>
              <w:t>3.4 Short-term versus Long-term Financing</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_Toc213243599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15</w:t>
            </w:r>
            <w:r w:rsidRPr="00E452F9">
              <w:rPr>
                <w:rFonts w:ascii="Arial" w:hAnsi="Arial" w:cs="Arial"/>
                <w:noProof/>
                <w:webHidden/>
              </w:rPr>
              <w:fldChar w:fldCharType="end"/>
            </w:r>
          </w:hyperlink>
        </w:p>
        <w:p w14:paraId="7C9182FB" w14:textId="77777777" w:rsidR="00405732" w:rsidRPr="00E452F9" w:rsidRDefault="00405732" w:rsidP="00405732">
          <w:pPr>
            <w:pStyle w:val="TOC1"/>
            <w:tabs>
              <w:tab w:val="right" w:leader="dot" w:pos="9350"/>
            </w:tabs>
            <w:spacing w:line="360" w:lineRule="auto"/>
            <w:jc w:val="both"/>
            <w:rPr>
              <w:rFonts w:ascii="Arial" w:hAnsi="Arial" w:cs="Arial"/>
              <w:noProof/>
            </w:rPr>
          </w:pPr>
          <w:hyperlink w:anchor="_Toc213243600" w:history="1">
            <w:r w:rsidRPr="00E452F9">
              <w:rPr>
                <w:rStyle w:val="Hyperlink"/>
                <w:rFonts w:ascii="Arial" w:hAnsi="Arial" w:cs="Arial"/>
                <w:noProof/>
                <w:lang w:bidi="th-TH"/>
              </w:rPr>
              <w:t>4. Strategic Financial Restructuring Plan</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_Toc213243600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16</w:t>
            </w:r>
            <w:r w:rsidRPr="00E452F9">
              <w:rPr>
                <w:rFonts w:ascii="Arial" w:hAnsi="Arial" w:cs="Arial"/>
                <w:noProof/>
                <w:webHidden/>
              </w:rPr>
              <w:fldChar w:fldCharType="end"/>
            </w:r>
          </w:hyperlink>
        </w:p>
        <w:p w14:paraId="755AD56F" w14:textId="77777777" w:rsidR="00405732" w:rsidRPr="00E452F9" w:rsidRDefault="00405732" w:rsidP="00405732">
          <w:pPr>
            <w:pStyle w:val="TOC2"/>
            <w:tabs>
              <w:tab w:val="right" w:leader="dot" w:pos="9350"/>
            </w:tabs>
            <w:spacing w:line="360" w:lineRule="auto"/>
            <w:jc w:val="both"/>
            <w:rPr>
              <w:rFonts w:ascii="Arial" w:hAnsi="Arial" w:cs="Arial"/>
              <w:noProof/>
            </w:rPr>
          </w:pPr>
          <w:hyperlink w:anchor="_Toc213243601" w:history="1">
            <w:r w:rsidRPr="00E452F9">
              <w:rPr>
                <w:rStyle w:val="Hyperlink"/>
                <w:rFonts w:ascii="Arial" w:hAnsi="Arial" w:cs="Arial"/>
                <w:noProof/>
                <w:lang w:bidi="th-TH"/>
              </w:rPr>
              <w:t>3.1 Restructuring Options Evaluation</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_Toc213243601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16</w:t>
            </w:r>
            <w:r w:rsidRPr="00E452F9">
              <w:rPr>
                <w:rFonts w:ascii="Arial" w:hAnsi="Arial" w:cs="Arial"/>
                <w:noProof/>
                <w:webHidden/>
              </w:rPr>
              <w:fldChar w:fldCharType="end"/>
            </w:r>
          </w:hyperlink>
        </w:p>
        <w:p w14:paraId="38BB0613" w14:textId="77777777" w:rsidR="00405732" w:rsidRPr="00E452F9" w:rsidRDefault="00405732" w:rsidP="00405732">
          <w:pPr>
            <w:pStyle w:val="TOC2"/>
            <w:tabs>
              <w:tab w:val="right" w:leader="dot" w:pos="9350"/>
            </w:tabs>
            <w:spacing w:line="360" w:lineRule="auto"/>
            <w:jc w:val="both"/>
            <w:rPr>
              <w:rFonts w:ascii="Arial" w:hAnsi="Arial" w:cs="Arial"/>
              <w:noProof/>
            </w:rPr>
          </w:pPr>
          <w:hyperlink w:anchor="_Toc213243602" w:history="1">
            <w:r w:rsidRPr="00E452F9">
              <w:rPr>
                <w:rStyle w:val="Hyperlink"/>
                <w:rFonts w:ascii="Arial" w:hAnsi="Arial" w:cs="Arial"/>
                <w:noProof/>
                <w:lang w:bidi="th-TH"/>
              </w:rPr>
              <w:t>3.2 Impact on Shareholder Value</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_Toc213243602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19</w:t>
            </w:r>
            <w:r w:rsidRPr="00E452F9">
              <w:rPr>
                <w:rFonts w:ascii="Arial" w:hAnsi="Arial" w:cs="Arial"/>
                <w:noProof/>
                <w:webHidden/>
              </w:rPr>
              <w:fldChar w:fldCharType="end"/>
            </w:r>
          </w:hyperlink>
        </w:p>
        <w:p w14:paraId="79E4DF64" w14:textId="77777777" w:rsidR="00405732" w:rsidRPr="00E452F9" w:rsidRDefault="00405732" w:rsidP="00405732">
          <w:pPr>
            <w:pStyle w:val="TOC2"/>
            <w:tabs>
              <w:tab w:val="right" w:leader="dot" w:pos="9350"/>
            </w:tabs>
            <w:spacing w:line="360" w:lineRule="auto"/>
            <w:jc w:val="both"/>
            <w:rPr>
              <w:rFonts w:ascii="Arial" w:hAnsi="Arial" w:cs="Arial"/>
              <w:noProof/>
            </w:rPr>
          </w:pPr>
          <w:hyperlink w:anchor="_Toc213243603" w:history="1">
            <w:r w:rsidRPr="00E452F9">
              <w:rPr>
                <w:rStyle w:val="Hyperlink"/>
                <w:rFonts w:ascii="Arial" w:hAnsi="Arial" w:cs="Arial"/>
                <w:noProof/>
                <w:lang w:bidi="th-TH"/>
              </w:rPr>
              <w:t>3.3 International and Ethical Considerations</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_Toc213243603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19</w:t>
            </w:r>
            <w:r w:rsidRPr="00E452F9">
              <w:rPr>
                <w:rFonts w:ascii="Arial" w:hAnsi="Arial" w:cs="Arial"/>
                <w:noProof/>
                <w:webHidden/>
              </w:rPr>
              <w:fldChar w:fldCharType="end"/>
            </w:r>
          </w:hyperlink>
        </w:p>
        <w:p w14:paraId="5C5AED06" w14:textId="77777777" w:rsidR="00405732" w:rsidRPr="00E452F9" w:rsidRDefault="00405732" w:rsidP="00405732">
          <w:pPr>
            <w:pStyle w:val="TOC1"/>
            <w:tabs>
              <w:tab w:val="right" w:leader="dot" w:pos="9350"/>
            </w:tabs>
            <w:spacing w:line="360" w:lineRule="auto"/>
            <w:jc w:val="both"/>
            <w:rPr>
              <w:rFonts w:ascii="Arial" w:hAnsi="Arial" w:cs="Arial"/>
              <w:noProof/>
            </w:rPr>
          </w:pPr>
          <w:hyperlink w:anchor="_Toc213243604" w:history="1">
            <w:r w:rsidRPr="00E452F9">
              <w:rPr>
                <w:rStyle w:val="Hyperlink"/>
                <w:rFonts w:ascii="Arial" w:hAnsi="Arial" w:cs="Arial"/>
                <w:noProof/>
                <w:lang w:bidi="th-TH"/>
              </w:rPr>
              <w:t>5. Investment Appraisal and Capital Budgeting</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_Toc213243604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20</w:t>
            </w:r>
            <w:r w:rsidRPr="00E452F9">
              <w:rPr>
                <w:rFonts w:ascii="Arial" w:hAnsi="Arial" w:cs="Arial"/>
                <w:noProof/>
                <w:webHidden/>
              </w:rPr>
              <w:fldChar w:fldCharType="end"/>
            </w:r>
          </w:hyperlink>
        </w:p>
        <w:p w14:paraId="2743D606" w14:textId="77777777" w:rsidR="00405732" w:rsidRPr="00E452F9" w:rsidRDefault="00405732" w:rsidP="00405732">
          <w:pPr>
            <w:pStyle w:val="TOC2"/>
            <w:tabs>
              <w:tab w:val="right" w:leader="dot" w:pos="9350"/>
            </w:tabs>
            <w:spacing w:line="360" w:lineRule="auto"/>
            <w:jc w:val="both"/>
            <w:rPr>
              <w:rFonts w:ascii="Arial" w:hAnsi="Arial" w:cs="Arial"/>
              <w:noProof/>
            </w:rPr>
          </w:pPr>
          <w:hyperlink w:anchor="_Toc213243605" w:history="1">
            <w:r w:rsidRPr="00E452F9">
              <w:rPr>
                <w:rStyle w:val="Hyperlink"/>
                <w:rFonts w:ascii="Arial" w:hAnsi="Arial" w:cs="Arial"/>
                <w:noProof/>
                <w:lang w:bidi="th-TH"/>
              </w:rPr>
              <w:t>5.1 Investment Appraisal Project Calculation and Analysis</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_Toc213243605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20</w:t>
            </w:r>
            <w:r w:rsidRPr="00E452F9">
              <w:rPr>
                <w:rFonts w:ascii="Arial" w:hAnsi="Arial" w:cs="Arial"/>
                <w:noProof/>
                <w:webHidden/>
              </w:rPr>
              <w:fldChar w:fldCharType="end"/>
            </w:r>
          </w:hyperlink>
        </w:p>
        <w:p w14:paraId="70766BA9" w14:textId="77777777" w:rsidR="00405732" w:rsidRPr="00E452F9" w:rsidRDefault="00405732" w:rsidP="00405732">
          <w:pPr>
            <w:pStyle w:val="TOC2"/>
            <w:tabs>
              <w:tab w:val="right" w:leader="dot" w:pos="9350"/>
            </w:tabs>
            <w:spacing w:line="360" w:lineRule="auto"/>
            <w:jc w:val="both"/>
            <w:rPr>
              <w:rFonts w:ascii="Arial" w:hAnsi="Arial" w:cs="Arial"/>
              <w:noProof/>
            </w:rPr>
          </w:pPr>
          <w:hyperlink w:anchor="_Toc213243606" w:history="1">
            <w:r w:rsidRPr="00E452F9">
              <w:rPr>
                <w:rStyle w:val="Hyperlink"/>
                <w:rFonts w:ascii="Arial" w:hAnsi="Arial" w:cs="Arial"/>
                <w:noProof/>
                <w:lang w:bidi="th-TH"/>
              </w:rPr>
              <w:t>5.2 Investment Decision Analysis</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_Toc213243606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24</w:t>
            </w:r>
            <w:r w:rsidRPr="00E452F9">
              <w:rPr>
                <w:rFonts w:ascii="Arial" w:hAnsi="Arial" w:cs="Arial"/>
                <w:noProof/>
                <w:webHidden/>
              </w:rPr>
              <w:fldChar w:fldCharType="end"/>
            </w:r>
          </w:hyperlink>
        </w:p>
        <w:p w14:paraId="0A0D172D" w14:textId="77777777" w:rsidR="00405732" w:rsidRPr="00E452F9" w:rsidRDefault="00405732" w:rsidP="00405732">
          <w:pPr>
            <w:pStyle w:val="TOC2"/>
            <w:tabs>
              <w:tab w:val="right" w:leader="dot" w:pos="9350"/>
            </w:tabs>
            <w:spacing w:line="360" w:lineRule="auto"/>
            <w:jc w:val="both"/>
            <w:rPr>
              <w:rFonts w:ascii="Arial" w:hAnsi="Arial" w:cs="Arial"/>
              <w:noProof/>
            </w:rPr>
          </w:pPr>
          <w:hyperlink w:anchor="_Toc213243607" w:history="1">
            <w:r w:rsidRPr="00E452F9">
              <w:rPr>
                <w:rStyle w:val="Hyperlink"/>
                <w:rFonts w:ascii="Arial" w:hAnsi="Arial" w:cs="Arial"/>
                <w:noProof/>
                <w:lang w:bidi="th-TH"/>
              </w:rPr>
              <w:t>5.3 Capital Rationing Decision</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_Toc213243607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25</w:t>
            </w:r>
            <w:r w:rsidRPr="00E452F9">
              <w:rPr>
                <w:rFonts w:ascii="Arial" w:hAnsi="Arial" w:cs="Arial"/>
                <w:noProof/>
                <w:webHidden/>
              </w:rPr>
              <w:fldChar w:fldCharType="end"/>
            </w:r>
          </w:hyperlink>
        </w:p>
        <w:p w14:paraId="333ED8AA" w14:textId="77777777" w:rsidR="00405732" w:rsidRPr="00E452F9" w:rsidRDefault="00405732" w:rsidP="00405732">
          <w:pPr>
            <w:pStyle w:val="TOC2"/>
            <w:tabs>
              <w:tab w:val="right" w:leader="dot" w:pos="9350"/>
            </w:tabs>
            <w:spacing w:line="360" w:lineRule="auto"/>
            <w:jc w:val="both"/>
            <w:rPr>
              <w:rFonts w:ascii="Arial" w:hAnsi="Arial" w:cs="Arial"/>
              <w:noProof/>
            </w:rPr>
          </w:pPr>
          <w:hyperlink w:anchor="_Toc213243608" w:history="1">
            <w:r w:rsidRPr="00E452F9">
              <w:rPr>
                <w:rStyle w:val="Hyperlink"/>
                <w:rFonts w:ascii="Arial" w:hAnsi="Arial" w:cs="Arial"/>
                <w:noProof/>
                <w:lang w:bidi="th-TH"/>
              </w:rPr>
              <w:t>5.4 Final Investment Recommendation</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_Toc213243608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26</w:t>
            </w:r>
            <w:r w:rsidRPr="00E452F9">
              <w:rPr>
                <w:rFonts w:ascii="Arial" w:hAnsi="Arial" w:cs="Arial"/>
                <w:noProof/>
                <w:webHidden/>
              </w:rPr>
              <w:fldChar w:fldCharType="end"/>
            </w:r>
          </w:hyperlink>
        </w:p>
        <w:p w14:paraId="0D0AB7E5" w14:textId="77777777" w:rsidR="00405732" w:rsidRPr="00E452F9" w:rsidRDefault="00405732" w:rsidP="00405732">
          <w:pPr>
            <w:pStyle w:val="TOC1"/>
            <w:tabs>
              <w:tab w:val="right" w:leader="dot" w:pos="9350"/>
            </w:tabs>
            <w:spacing w:line="360" w:lineRule="auto"/>
            <w:jc w:val="both"/>
            <w:rPr>
              <w:rFonts w:ascii="Arial" w:hAnsi="Arial" w:cs="Arial"/>
              <w:noProof/>
            </w:rPr>
          </w:pPr>
          <w:hyperlink w:anchor="_Toc213243609" w:history="1">
            <w:r w:rsidRPr="00E452F9">
              <w:rPr>
                <w:rStyle w:val="Hyperlink"/>
                <w:rFonts w:ascii="Arial" w:hAnsi="Arial" w:cs="Arial"/>
                <w:noProof/>
                <w:lang w:bidi="th-TH"/>
              </w:rPr>
              <w:t>6. Conclusion</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_Toc213243609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28</w:t>
            </w:r>
            <w:r w:rsidRPr="00E452F9">
              <w:rPr>
                <w:rFonts w:ascii="Arial" w:hAnsi="Arial" w:cs="Arial"/>
                <w:noProof/>
                <w:webHidden/>
              </w:rPr>
              <w:fldChar w:fldCharType="end"/>
            </w:r>
          </w:hyperlink>
        </w:p>
        <w:p w14:paraId="6F3D8044" w14:textId="77777777" w:rsidR="00405732" w:rsidRPr="00E452F9" w:rsidRDefault="00405732" w:rsidP="00405732">
          <w:pPr>
            <w:pStyle w:val="TOC1"/>
            <w:tabs>
              <w:tab w:val="right" w:leader="dot" w:pos="9350"/>
            </w:tabs>
            <w:spacing w:line="360" w:lineRule="auto"/>
            <w:jc w:val="both"/>
            <w:rPr>
              <w:rFonts w:ascii="Arial" w:hAnsi="Arial" w:cs="Arial"/>
              <w:noProof/>
            </w:rPr>
          </w:pPr>
          <w:hyperlink w:anchor="_Toc213243610" w:history="1">
            <w:r w:rsidRPr="00E452F9">
              <w:rPr>
                <w:rStyle w:val="Hyperlink"/>
                <w:rFonts w:ascii="Arial" w:hAnsi="Arial" w:cs="Arial"/>
                <w:noProof/>
                <w:lang w:bidi="th-TH"/>
              </w:rPr>
              <w:t>References</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_Toc213243610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29</w:t>
            </w:r>
            <w:r w:rsidRPr="00E452F9">
              <w:rPr>
                <w:rFonts w:ascii="Arial" w:hAnsi="Arial" w:cs="Arial"/>
                <w:noProof/>
                <w:webHidden/>
              </w:rPr>
              <w:fldChar w:fldCharType="end"/>
            </w:r>
          </w:hyperlink>
        </w:p>
        <w:p w14:paraId="256E93C3" w14:textId="77777777" w:rsidR="00405732" w:rsidRPr="00E452F9" w:rsidRDefault="00405732" w:rsidP="00405732">
          <w:pPr>
            <w:pStyle w:val="TOC1"/>
            <w:tabs>
              <w:tab w:val="right" w:leader="dot" w:pos="9350"/>
            </w:tabs>
            <w:spacing w:line="360" w:lineRule="auto"/>
            <w:jc w:val="both"/>
            <w:rPr>
              <w:rFonts w:ascii="Arial" w:hAnsi="Arial" w:cs="Arial"/>
              <w:noProof/>
            </w:rPr>
          </w:pPr>
          <w:hyperlink w:anchor="_Toc213243611" w:history="1">
            <w:r w:rsidRPr="00E452F9">
              <w:rPr>
                <w:rStyle w:val="Hyperlink"/>
                <w:rFonts w:ascii="Arial" w:hAnsi="Arial" w:cs="Arial"/>
                <w:noProof/>
                <w:lang w:bidi="th-TH"/>
              </w:rPr>
              <w:t>Appendices</w:t>
            </w:r>
            <w:r w:rsidRPr="00E452F9">
              <w:rPr>
                <w:rFonts w:ascii="Arial" w:hAnsi="Arial" w:cs="Arial"/>
                <w:noProof/>
                <w:webHidden/>
              </w:rPr>
              <w:tab/>
            </w:r>
            <w:r w:rsidRPr="00E452F9">
              <w:rPr>
                <w:rFonts w:ascii="Arial" w:hAnsi="Arial" w:cs="Arial"/>
                <w:noProof/>
                <w:webHidden/>
              </w:rPr>
              <w:fldChar w:fldCharType="begin"/>
            </w:r>
            <w:r w:rsidRPr="00E452F9">
              <w:rPr>
                <w:rFonts w:ascii="Arial" w:hAnsi="Arial" w:cs="Arial"/>
                <w:noProof/>
                <w:webHidden/>
              </w:rPr>
              <w:instrText xml:space="preserve"> PAGEREF _Toc213243611 \h </w:instrText>
            </w:r>
            <w:r w:rsidRPr="00E452F9">
              <w:rPr>
                <w:rFonts w:ascii="Arial" w:hAnsi="Arial" w:cs="Arial"/>
                <w:noProof/>
                <w:webHidden/>
              </w:rPr>
            </w:r>
            <w:r w:rsidRPr="00E452F9">
              <w:rPr>
                <w:rFonts w:ascii="Arial" w:hAnsi="Arial" w:cs="Arial"/>
                <w:noProof/>
                <w:webHidden/>
              </w:rPr>
              <w:fldChar w:fldCharType="separate"/>
            </w:r>
            <w:r>
              <w:rPr>
                <w:rFonts w:ascii="Arial" w:hAnsi="Arial" w:cs="Arial"/>
                <w:noProof/>
                <w:webHidden/>
              </w:rPr>
              <w:t>33</w:t>
            </w:r>
            <w:r w:rsidRPr="00E452F9">
              <w:rPr>
                <w:rFonts w:ascii="Arial" w:hAnsi="Arial" w:cs="Arial"/>
                <w:noProof/>
                <w:webHidden/>
              </w:rPr>
              <w:fldChar w:fldCharType="end"/>
            </w:r>
          </w:hyperlink>
        </w:p>
        <w:p w14:paraId="1E27586A" w14:textId="77777777" w:rsidR="00405732" w:rsidRPr="00E452F9" w:rsidRDefault="00405732" w:rsidP="00405732">
          <w:pPr>
            <w:spacing w:line="360" w:lineRule="auto"/>
            <w:jc w:val="both"/>
            <w:rPr>
              <w:rFonts w:ascii="Arial" w:hAnsi="Arial" w:cs="Arial"/>
            </w:rPr>
          </w:pPr>
          <w:r w:rsidRPr="00E452F9">
            <w:rPr>
              <w:rFonts w:ascii="Arial" w:hAnsi="Arial" w:cs="Arial"/>
              <w:b/>
              <w:bCs/>
              <w:noProof/>
            </w:rPr>
            <w:fldChar w:fldCharType="end"/>
          </w:r>
        </w:p>
      </w:sdtContent>
    </w:sdt>
    <w:p w14:paraId="6677934D" w14:textId="77777777" w:rsidR="00405732" w:rsidRPr="00E452F9" w:rsidRDefault="00405732" w:rsidP="00405732">
      <w:pPr>
        <w:spacing w:line="360" w:lineRule="auto"/>
        <w:jc w:val="both"/>
        <w:rPr>
          <w:rFonts w:ascii="Arial" w:hAnsi="Arial" w:cs="Arial"/>
          <w:b/>
          <w:bCs/>
        </w:rPr>
      </w:pPr>
    </w:p>
    <w:p w14:paraId="6D8642AC" w14:textId="77777777" w:rsidR="00405732" w:rsidRDefault="00405732" w:rsidP="00405732">
      <w:pPr>
        <w:jc w:val="center"/>
        <w:rPr>
          <w:rFonts w:ascii="Arial" w:hAnsi="Arial" w:cs="Arial"/>
        </w:rPr>
      </w:pPr>
    </w:p>
    <w:p w14:paraId="75D33A94" w14:textId="77777777" w:rsidR="00405732" w:rsidRDefault="00405732" w:rsidP="00405732">
      <w:pPr>
        <w:jc w:val="center"/>
        <w:rPr>
          <w:rFonts w:ascii="Arial" w:hAnsi="Arial" w:cs="Arial"/>
        </w:rPr>
      </w:pPr>
    </w:p>
    <w:p w14:paraId="4694AA8C" w14:textId="77777777" w:rsidR="00405732" w:rsidRDefault="00405732" w:rsidP="00405732">
      <w:pPr>
        <w:jc w:val="center"/>
        <w:rPr>
          <w:rFonts w:ascii="Arial" w:hAnsi="Arial" w:cs="Arial"/>
        </w:rPr>
      </w:pPr>
    </w:p>
    <w:p w14:paraId="55AC152D" w14:textId="77777777" w:rsidR="00405732" w:rsidRPr="00E452F9" w:rsidRDefault="00405732" w:rsidP="00405732">
      <w:pPr>
        <w:pStyle w:val="Heading1"/>
        <w:spacing w:line="360" w:lineRule="auto"/>
        <w:jc w:val="both"/>
        <w:rPr>
          <w:rFonts w:ascii="Arial" w:hAnsi="Arial" w:cs="Arial"/>
          <w:szCs w:val="24"/>
        </w:rPr>
      </w:pPr>
      <w:bookmarkStart w:id="0" w:name="_Toc213243589"/>
      <w:r w:rsidRPr="00E452F9">
        <w:rPr>
          <w:rFonts w:ascii="Arial" w:hAnsi="Arial" w:cs="Arial"/>
          <w:szCs w:val="24"/>
        </w:rPr>
        <w:lastRenderedPageBreak/>
        <w:t>1. Introduction</w:t>
      </w:r>
      <w:bookmarkEnd w:id="0"/>
    </w:p>
    <w:p w14:paraId="45B533B8"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 xml:space="preserve">In this report, a detailed financial analysis and turnaround plan of General Electronics, which is a flailing global consumer electronics company, is given. Being appointed as the Chief Financial Officer, as a new employee, I have performed a comprehensive analysis of the financial results of the company over the next five years (2020-2024) and discovered that all the major financial indicators have significantly worsened. The analysis utilizes the stringent ratio analysis, predicting corporate failures models, working capital analysis, and investment appraisal methods to confirm the root causes and suggest financial solutions that are viable (Purnama, Hanitha and </w:t>
      </w:r>
      <w:proofErr w:type="spellStart"/>
      <w:r w:rsidRPr="00E452F9">
        <w:rPr>
          <w:rFonts w:ascii="Arial" w:hAnsi="Arial" w:cs="Arial"/>
          <w:lang w:bidi="th-TH"/>
        </w:rPr>
        <w:t>Angreni</w:t>
      </w:r>
      <w:proofErr w:type="spellEnd"/>
      <w:r w:rsidRPr="00E452F9">
        <w:rPr>
          <w:rFonts w:ascii="Arial" w:hAnsi="Arial" w:cs="Arial"/>
          <w:lang w:bidi="th-TH"/>
        </w:rPr>
        <w:t>, 2020). General Electronics has been witnessing a hard-hit profitability loss, liquidity constraints and operational inefficiencies leading to massive losses in 2023 and 2024. Recommendations in this report are based on evidence and provide a strategy of financial restructuring, working capital optimization, and strategic investment choice to recover shareholder value and guarantee the long-term sustainability of the company.</w:t>
      </w:r>
    </w:p>
    <w:p w14:paraId="538DE18D" w14:textId="77777777" w:rsidR="00405732" w:rsidRPr="00E452F9" w:rsidRDefault="00405732" w:rsidP="00405732">
      <w:pPr>
        <w:pStyle w:val="Heading1"/>
        <w:spacing w:line="360" w:lineRule="auto"/>
        <w:jc w:val="both"/>
        <w:rPr>
          <w:rFonts w:ascii="Arial" w:hAnsi="Arial" w:cs="Arial"/>
          <w:szCs w:val="24"/>
        </w:rPr>
      </w:pPr>
      <w:bookmarkStart w:id="1" w:name="_Toc213243590"/>
      <w:r w:rsidRPr="00E452F9">
        <w:rPr>
          <w:rFonts w:ascii="Arial" w:hAnsi="Arial" w:cs="Arial"/>
          <w:szCs w:val="24"/>
        </w:rPr>
        <w:t>2. Financial Health Check</w:t>
      </w:r>
      <w:bookmarkEnd w:id="1"/>
    </w:p>
    <w:p w14:paraId="0512B18C" w14:textId="77777777" w:rsidR="00405732" w:rsidRPr="00E452F9" w:rsidRDefault="00405732" w:rsidP="00405732">
      <w:pPr>
        <w:pStyle w:val="Heading2"/>
        <w:spacing w:line="360" w:lineRule="auto"/>
        <w:jc w:val="both"/>
        <w:rPr>
          <w:rFonts w:ascii="Arial" w:hAnsi="Arial" w:cs="Arial"/>
          <w:szCs w:val="24"/>
        </w:rPr>
      </w:pPr>
      <w:bookmarkStart w:id="2" w:name="_Toc213243591"/>
      <w:r w:rsidRPr="00E452F9">
        <w:rPr>
          <w:rFonts w:ascii="Arial" w:hAnsi="Arial" w:cs="Arial"/>
          <w:szCs w:val="24"/>
        </w:rPr>
        <w:t>2.1 Introduction to Financial Analysis</w:t>
      </w:r>
      <w:bookmarkEnd w:id="2"/>
    </w:p>
    <w:p w14:paraId="3931FABD"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General Electric has been undergoing a radical drop in financial performance in the last five years. This section will have an elaborate comparison of ratios in six major categories, i.e.</w:t>
      </w:r>
      <w:r>
        <w:rPr>
          <w:rFonts w:ascii="Arial" w:hAnsi="Arial" w:cs="Arial"/>
          <w:lang w:bidi="th-TH"/>
        </w:rPr>
        <w:t>,</w:t>
      </w:r>
      <w:r w:rsidRPr="00E452F9">
        <w:rPr>
          <w:rFonts w:ascii="Arial" w:hAnsi="Arial" w:cs="Arial"/>
          <w:lang w:bidi="th-TH"/>
        </w:rPr>
        <w:t xml:space="preserve"> profitability, liquidity, efficiency, gearing, investment and cash flow ratios. The analysis shows that there are significant trends that jeopardize the viability of the company and on which the strategic intervention is based (Carreras Simó and </w:t>
      </w:r>
      <w:proofErr w:type="spellStart"/>
      <w:r w:rsidRPr="00E452F9">
        <w:rPr>
          <w:rFonts w:ascii="Arial" w:hAnsi="Arial" w:cs="Arial"/>
          <w:lang w:bidi="th-TH"/>
        </w:rPr>
        <w:t>Coenders</w:t>
      </w:r>
      <w:proofErr w:type="spellEnd"/>
      <w:r w:rsidRPr="00E452F9">
        <w:rPr>
          <w:rFonts w:ascii="Arial" w:hAnsi="Arial" w:cs="Arial"/>
          <w:lang w:bidi="th-TH"/>
        </w:rPr>
        <w:t>, 2020).</w:t>
      </w:r>
    </w:p>
    <w:p w14:paraId="4D6CE4F3" w14:textId="77777777" w:rsidR="00405732" w:rsidRPr="00E452F9" w:rsidRDefault="00405732" w:rsidP="00405732">
      <w:pPr>
        <w:pStyle w:val="Heading2"/>
        <w:spacing w:line="360" w:lineRule="auto"/>
        <w:jc w:val="both"/>
        <w:rPr>
          <w:rFonts w:ascii="Arial" w:hAnsi="Arial" w:cs="Arial"/>
          <w:szCs w:val="24"/>
        </w:rPr>
      </w:pPr>
      <w:bookmarkStart w:id="3" w:name="_Toc213243592"/>
      <w:r w:rsidRPr="00E452F9">
        <w:rPr>
          <w:rFonts w:ascii="Arial" w:hAnsi="Arial" w:cs="Arial"/>
          <w:szCs w:val="24"/>
        </w:rPr>
        <w:t>2.2 Ratio Analysis and Calculations</w:t>
      </w:r>
      <w:bookmarkEnd w:id="3"/>
    </w:p>
    <w:p w14:paraId="65981245" w14:textId="77777777" w:rsidR="00405732" w:rsidRDefault="00405732" w:rsidP="00405732">
      <w:pPr>
        <w:spacing w:line="360" w:lineRule="auto"/>
        <w:jc w:val="both"/>
        <w:rPr>
          <w:rFonts w:ascii="Arial" w:hAnsi="Arial" w:cs="Arial"/>
          <w:b/>
          <w:bCs/>
          <w:lang w:bidi="th-TH"/>
        </w:rPr>
      </w:pPr>
      <w:r w:rsidRPr="00E452F9">
        <w:rPr>
          <w:rFonts w:ascii="Arial" w:hAnsi="Arial" w:cs="Arial"/>
          <w:b/>
          <w:bCs/>
          <w:lang w:bidi="th-TH"/>
        </w:rPr>
        <w:t>1. Profitability Ratios</w:t>
      </w:r>
    </w:p>
    <w:p w14:paraId="1601D2A9" w14:textId="77777777" w:rsidR="00405732" w:rsidRPr="008031AC" w:rsidRDefault="00405732" w:rsidP="00405732">
      <w:pPr>
        <w:spacing w:line="360" w:lineRule="auto"/>
        <w:jc w:val="both"/>
        <w:rPr>
          <w:rFonts w:ascii="Arial" w:hAnsi="Arial" w:cs="Arial"/>
          <w:lang w:bidi="th-TH"/>
        </w:rPr>
      </w:pPr>
      <w:r w:rsidRPr="00405732">
        <w:rPr>
          <w:rFonts w:ascii="Arial" w:hAnsi="Arial" w:cs="Arial"/>
          <w:lang w:bidi="th-TH"/>
        </w:rPr>
        <w:t>The profitability ratios are applied in the calculation of the possible profitability of a firm in its operations. They indicate how the management has been effective in cost management and earnings conversion of the sales (</w:t>
      </w:r>
      <w:proofErr w:type="spellStart"/>
      <w:r w:rsidRPr="00405732">
        <w:rPr>
          <w:rFonts w:ascii="Arial" w:hAnsi="Arial" w:cs="Arial"/>
          <w:lang w:bidi="th-TH"/>
        </w:rPr>
        <w:t>Hasidi</w:t>
      </w:r>
      <w:proofErr w:type="spellEnd"/>
      <w:r w:rsidRPr="00405732">
        <w:rPr>
          <w:rFonts w:ascii="Arial" w:hAnsi="Arial" w:cs="Arial"/>
          <w:lang w:bidi="th-TH"/>
        </w:rPr>
        <w:t xml:space="preserve">, </w:t>
      </w:r>
      <w:proofErr w:type="spellStart"/>
      <w:r w:rsidRPr="00405732">
        <w:rPr>
          <w:rFonts w:ascii="Arial" w:hAnsi="Arial" w:cs="Arial"/>
          <w:lang w:bidi="th-TH"/>
        </w:rPr>
        <w:t>Baheri</w:t>
      </w:r>
      <w:proofErr w:type="spellEnd"/>
      <w:r w:rsidRPr="00405732">
        <w:rPr>
          <w:rFonts w:ascii="Arial" w:hAnsi="Arial" w:cs="Arial"/>
          <w:lang w:bidi="th-TH"/>
        </w:rPr>
        <w:t xml:space="preserve"> and Hajar, 2024). Such ratios are important because to survive in the long term, growth, and investor confidence, it is vital to make sure that the profits are regular.</w:t>
      </w:r>
    </w:p>
    <w:tbl>
      <w:tblPr>
        <w:tblStyle w:val="PlainTable1"/>
        <w:tblW w:w="0" w:type="auto"/>
        <w:tblLook w:val="04A0" w:firstRow="1" w:lastRow="0" w:firstColumn="1" w:lastColumn="0" w:noHBand="0" w:noVBand="1"/>
      </w:tblPr>
      <w:tblGrid>
        <w:gridCol w:w="750"/>
        <w:gridCol w:w="2897"/>
        <w:gridCol w:w="2590"/>
      </w:tblGrid>
      <w:tr w:rsidR="00405732" w:rsidRPr="00F75065" w14:paraId="101BEE27" w14:textId="77777777" w:rsidTr="006446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FB5EF5" w14:textId="77777777" w:rsidR="00405732" w:rsidRPr="00F75065" w:rsidRDefault="00405732" w:rsidP="006446E2">
            <w:pPr>
              <w:spacing w:line="360" w:lineRule="auto"/>
              <w:jc w:val="both"/>
              <w:rPr>
                <w:rFonts w:ascii="Arial" w:hAnsi="Arial" w:cs="Arial"/>
              </w:rPr>
            </w:pPr>
            <w:r w:rsidRPr="00F75065">
              <w:rPr>
                <w:rFonts w:ascii="Arial" w:hAnsi="Arial" w:cs="Arial"/>
              </w:rPr>
              <w:lastRenderedPageBreak/>
              <w:t>Year</w:t>
            </w:r>
          </w:p>
        </w:tc>
        <w:tc>
          <w:tcPr>
            <w:tcW w:w="0" w:type="auto"/>
            <w:hideMark/>
          </w:tcPr>
          <w:p w14:paraId="6C76B45E" w14:textId="77777777" w:rsidR="00405732" w:rsidRPr="00F75065" w:rsidRDefault="0040573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Gross Profit Margin (%)</w:t>
            </w:r>
          </w:p>
        </w:tc>
        <w:tc>
          <w:tcPr>
            <w:tcW w:w="0" w:type="auto"/>
            <w:hideMark/>
          </w:tcPr>
          <w:p w14:paraId="20F27269" w14:textId="77777777" w:rsidR="00405732" w:rsidRPr="00F75065" w:rsidRDefault="0040573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Net Profit Margin (%)</w:t>
            </w:r>
          </w:p>
        </w:tc>
      </w:tr>
      <w:tr w:rsidR="00405732" w:rsidRPr="00F75065" w14:paraId="7F26759C"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8C1700" w14:textId="77777777" w:rsidR="00405732" w:rsidRPr="00F75065" w:rsidRDefault="00405732" w:rsidP="006446E2">
            <w:pPr>
              <w:spacing w:line="360" w:lineRule="auto"/>
              <w:jc w:val="both"/>
              <w:rPr>
                <w:rFonts w:ascii="Arial" w:hAnsi="Arial" w:cs="Arial"/>
              </w:rPr>
            </w:pPr>
            <w:r w:rsidRPr="00F75065">
              <w:rPr>
                <w:rFonts w:ascii="Arial" w:hAnsi="Arial" w:cs="Arial"/>
              </w:rPr>
              <w:t>2020</w:t>
            </w:r>
          </w:p>
        </w:tc>
        <w:tc>
          <w:tcPr>
            <w:tcW w:w="0" w:type="auto"/>
            <w:hideMark/>
          </w:tcPr>
          <w:p w14:paraId="0B5B23C2"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28.67</w:t>
            </w:r>
          </w:p>
        </w:tc>
        <w:tc>
          <w:tcPr>
            <w:tcW w:w="0" w:type="auto"/>
            <w:hideMark/>
          </w:tcPr>
          <w:p w14:paraId="42778B44"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6.28</w:t>
            </w:r>
          </w:p>
        </w:tc>
      </w:tr>
      <w:tr w:rsidR="00405732" w:rsidRPr="00F75065" w14:paraId="0BE1C97E"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017ACD93" w14:textId="77777777" w:rsidR="00405732" w:rsidRPr="00F75065" w:rsidRDefault="00405732" w:rsidP="006446E2">
            <w:pPr>
              <w:spacing w:line="360" w:lineRule="auto"/>
              <w:jc w:val="both"/>
              <w:rPr>
                <w:rFonts w:ascii="Arial" w:hAnsi="Arial" w:cs="Arial"/>
              </w:rPr>
            </w:pPr>
            <w:r w:rsidRPr="00F75065">
              <w:rPr>
                <w:rFonts w:ascii="Arial" w:hAnsi="Arial" w:cs="Arial"/>
              </w:rPr>
              <w:t>2021</w:t>
            </w:r>
          </w:p>
        </w:tc>
        <w:tc>
          <w:tcPr>
            <w:tcW w:w="0" w:type="auto"/>
            <w:hideMark/>
          </w:tcPr>
          <w:p w14:paraId="5F2D2318"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28.76</w:t>
            </w:r>
          </w:p>
        </w:tc>
        <w:tc>
          <w:tcPr>
            <w:tcW w:w="0" w:type="auto"/>
            <w:hideMark/>
          </w:tcPr>
          <w:p w14:paraId="61A82D61"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0.88</w:t>
            </w:r>
          </w:p>
        </w:tc>
      </w:tr>
      <w:tr w:rsidR="00405732" w:rsidRPr="00F75065" w14:paraId="35417E14"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FBA5C9" w14:textId="77777777" w:rsidR="00405732" w:rsidRPr="00F75065" w:rsidRDefault="00405732" w:rsidP="006446E2">
            <w:pPr>
              <w:spacing w:line="360" w:lineRule="auto"/>
              <w:jc w:val="both"/>
              <w:rPr>
                <w:rFonts w:ascii="Arial" w:hAnsi="Arial" w:cs="Arial"/>
              </w:rPr>
            </w:pPr>
            <w:r w:rsidRPr="00F75065">
              <w:rPr>
                <w:rFonts w:ascii="Arial" w:hAnsi="Arial" w:cs="Arial"/>
              </w:rPr>
              <w:t>2022</w:t>
            </w:r>
          </w:p>
        </w:tc>
        <w:tc>
          <w:tcPr>
            <w:tcW w:w="0" w:type="auto"/>
            <w:hideMark/>
          </w:tcPr>
          <w:p w14:paraId="24140702"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28.06</w:t>
            </w:r>
          </w:p>
        </w:tc>
        <w:tc>
          <w:tcPr>
            <w:tcW w:w="0" w:type="auto"/>
            <w:hideMark/>
          </w:tcPr>
          <w:p w14:paraId="2F5D9C4A"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0.07</w:t>
            </w:r>
          </w:p>
        </w:tc>
      </w:tr>
      <w:tr w:rsidR="00405732" w:rsidRPr="00F75065" w14:paraId="359B9AE4"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2C8E8BC6" w14:textId="77777777" w:rsidR="00405732" w:rsidRPr="00F75065" w:rsidRDefault="00405732" w:rsidP="006446E2">
            <w:pPr>
              <w:spacing w:line="360" w:lineRule="auto"/>
              <w:jc w:val="both"/>
              <w:rPr>
                <w:rFonts w:ascii="Arial" w:hAnsi="Arial" w:cs="Arial"/>
              </w:rPr>
            </w:pPr>
            <w:r w:rsidRPr="00F75065">
              <w:rPr>
                <w:rFonts w:ascii="Arial" w:hAnsi="Arial" w:cs="Arial"/>
              </w:rPr>
              <w:t>2023</w:t>
            </w:r>
          </w:p>
        </w:tc>
        <w:tc>
          <w:tcPr>
            <w:tcW w:w="0" w:type="auto"/>
            <w:hideMark/>
          </w:tcPr>
          <w:p w14:paraId="739501D8"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23.20</w:t>
            </w:r>
          </w:p>
        </w:tc>
        <w:tc>
          <w:tcPr>
            <w:tcW w:w="0" w:type="auto"/>
            <w:hideMark/>
          </w:tcPr>
          <w:p w14:paraId="3674B048"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-23.36</w:t>
            </w:r>
          </w:p>
        </w:tc>
      </w:tr>
      <w:tr w:rsidR="00405732" w:rsidRPr="00F75065" w14:paraId="461120D4"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91E369" w14:textId="77777777" w:rsidR="00405732" w:rsidRPr="00F75065" w:rsidRDefault="00405732" w:rsidP="006446E2">
            <w:pPr>
              <w:spacing w:line="360" w:lineRule="auto"/>
              <w:jc w:val="both"/>
              <w:rPr>
                <w:rFonts w:ascii="Arial" w:hAnsi="Arial" w:cs="Arial"/>
              </w:rPr>
            </w:pPr>
            <w:r w:rsidRPr="00F75065">
              <w:rPr>
                <w:rFonts w:ascii="Arial" w:hAnsi="Arial" w:cs="Arial"/>
              </w:rPr>
              <w:t>2024</w:t>
            </w:r>
          </w:p>
        </w:tc>
        <w:tc>
          <w:tcPr>
            <w:tcW w:w="0" w:type="auto"/>
            <w:hideMark/>
          </w:tcPr>
          <w:p w14:paraId="50CE1107"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28.87</w:t>
            </w:r>
          </w:p>
        </w:tc>
        <w:tc>
          <w:tcPr>
            <w:tcW w:w="0" w:type="auto"/>
            <w:hideMark/>
          </w:tcPr>
          <w:p w14:paraId="0C702A3D"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-6.08</w:t>
            </w:r>
          </w:p>
        </w:tc>
      </w:tr>
    </w:tbl>
    <w:p w14:paraId="1A254779" w14:textId="77777777" w:rsidR="00405732" w:rsidRDefault="00405732" w:rsidP="00405732">
      <w:pPr>
        <w:spacing w:line="360" w:lineRule="auto"/>
        <w:jc w:val="both"/>
        <w:rPr>
          <w:rFonts w:ascii="Arial" w:hAnsi="Arial" w:cs="Arial"/>
          <w:lang w:bidi="th-TH"/>
        </w:rPr>
      </w:pPr>
      <w:r>
        <w:rPr>
          <w:rFonts w:ascii="Arial" w:hAnsi="Arial" w:cs="Arial"/>
          <w:noProof/>
          <w:lang w:bidi="th-TH"/>
        </w:rPr>
        <w:drawing>
          <wp:inline distT="0" distB="0" distL="0" distR="0" wp14:anchorId="3473EC4C" wp14:editId="5E3D00B7">
            <wp:extent cx="3629465" cy="2867025"/>
            <wp:effectExtent l="0" t="0" r="9525" b="0"/>
            <wp:docPr id="5023907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44415" cy="2878834"/>
                    </a:xfrm>
                    <a:prstGeom prst="rect">
                      <a:avLst/>
                    </a:prstGeom>
                    <a:noFill/>
                  </pic:spPr>
                </pic:pic>
              </a:graphicData>
            </a:graphic>
          </wp:inline>
        </w:drawing>
      </w:r>
    </w:p>
    <w:p w14:paraId="2333BA5C" w14:textId="77777777" w:rsidR="00405732" w:rsidRPr="007003FC" w:rsidRDefault="00405732" w:rsidP="00405732">
      <w:pPr>
        <w:spacing w:line="360" w:lineRule="auto"/>
        <w:jc w:val="both"/>
        <w:rPr>
          <w:rFonts w:ascii="Arial" w:hAnsi="Arial" w:cs="Arial"/>
          <w:lang w:bidi="th-TH"/>
        </w:rPr>
      </w:pPr>
      <w:r w:rsidRPr="00405732">
        <w:rPr>
          <w:rFonts w:ascii="Arial" w:hAnsi="Arial" w:cs="Arial"/>
          <w:lang w:bidi="th-TH"/>
        </w:rPr>
        <w:t>Graph 1. Profitability Graph</w:t>
      </w:r>
    </w:p>
    <w:p w14:paraId="12812741" w14:textId="77777777" w:rsidR="00405732" w:rsidRDefault="00405732" w:rsidP="00405732">
      <w:pPr>
        <w:spacing w:line="360" w:lineRule="auto"/>
        <w:jc w:val="both"/>
        <w:rPr>
          <w:rFonts w:ascii="Arial" w:hAnsi="Arial" w:cs="Arial"/>
          <w:b/>
          <w:bCs/>
          <w:lang w:bidi="th-TH"/>
        </w:rPr>
      </w:pPr>
      <w:r w:rsidRPr="00D85C6F">
        <w:rPr>
          <w:rFonts w:ascii="Arial" w:hAnsi="Arial" w:cs="Arial"/>
          <w:b/>
          <w:bCs/>
          <w:noProof/>
          <w:lang w:bidi="th-TH"/>
        </w:rPr>
        <w:drawing>
          <wp:inline distT="0" distB="0" distL="0" distR="0" wp14:anchorId="655155E7" wp14:editId="7C596E8F">
            <wp:extent cx="4505954" cy="3553321"/>
            <wp:effectExtent l="0" t="0" r="9525" b="9525"/>
            <wp:docPr id="61183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83493" name=""/>
                    <pic:cNvPicPr/>
                  </pic:nvPicPr>
                  <pic:blipFill>
                    <a:blip r:embed="rId6"/>
                    <a:stretch>
                      <a:fillRect/>
                    </a:stretch>
                  </pic:blipFill>
                  <pic:spPr>
                    <a:xfrm>
                      <a:off x="0" y="0"/>
                      <a:ext cx="4505954" cy="3553321"/>
                    </a:xfrm>
                    <a:prstGeom prst="rect">
                      <a:avLst/>
                    </a:prstGeom>
                  </pic:spPr>
                </pic:pic>
              </a:graphicData>
            </a:graphic>
          </wp:inline>
        </w:drawing>
      </w:r>
    </w:p>
    <w:p w14:paraId="7FCB9531" w14:textId="77777777" w:rsidR="00405732" w:rsidRDefault="00405732" w:rsidP="00405732">
      <w:pPr>
        <w:spacing w:line="360" w:lineRule="auto"/>
        <w:jc w:val="both"/>
        <w:rPr>
          <w:rFonts w:ascii="Arial" w:hAnsi="Arial" w:cs="Arial"/>
          <w:b/>
          <w:bCs/>
          <w:lang w:bidi="th-TH"/>
        </w:rPr>
      </w:pPr>
      <w:r w:rsidRPr="00E452F9">
        <w:rPr>
          <w:rFonts w:ascii="Arial" w:hAnsi="Arial" w:cs="Arial"/>
          <w:b/>
          <w:bCs/>
          <w:lang w:bidi="th-TH"/>
        </w:rPr>
        <w:t>2. Liquidity Ratios</w:t>
      </w:r>
    </w:p>
    <w:p w14:paraId="40277BED" w14:textId="380EB771" w:rsidR="00405732" w:rsidRPr="008031AC" w:rsidRDefault="00405732" w:rsidP="00405732">
      <w:pPr>
        <w:spacing w:line="360" w:lineRule="auto"/>
        <w:jc w:val="both"/>
        <w:rPr>
          <w:rFonts w:ascii="Arial" w:hAnsi="Arial" w:cs="Arial"/>
          <w:lang w:bidi="th-TH"/>
        </w:rPr>
      </w:pPr>
      <w:r w:rsidRPr="00405732">
        <w:rPr>
          <w:rFonts w:ascii="Arial" w:hAnsi="Arial" w:cs="Arial"/>
          <w:lang w:bidi="th-TH"/>
        </w:rPr>
        <w:lastRenderedPageBreak/>
        <w:t xml:space="preserve">The liquidity ratios ascertain the ability of a company to service its </w:t>
      </w:r>
      <w:proofErr w:type="gramStart"/>
      <w:r w:rsidRPr="00405732">
        <w:rPr>
          <w:rFonts w:ascii="Arial" w:hAnsi="Arial" w:cs="Arial"/>
          <w:lang w:bidi="th-TH"/>
        </w:rPr>
        <w:t>short term</w:t>
      </w:r>
      <w:proofErr w:type="gramEnd"/>
      <w:r w:rsidRPr="00405732">
        <w:rPr>
          <w:rFonts w:ascii="Arial" w:hAnsi="Arial" w:cs="Arial"/>
          <w:lang w:bidi="th-TH"/>
        </w:rPr>
        <w:t xml:space="preserve"> debt as they fall due. They provide the extent to which the current liabilities can be met using the available current assets (</w:t>
      </w:r>
      <w:proofErr w:type="spellStart"/>
      <w:r w:rsidRPr="00405732">
        <w:rPr>
          <w:rFonts w:ascii="Arial" w:hAnsi="Arial" w:cs="Arial"/>
          <w:lang w:bidi="th-TH"/>
        </w:rPr>
        <w:t>Hasidi</w:t>
      </w:r>
      <w:proofErr w:type="spellEnd"/>
      <w:r w:rsidRPr="00405732">
        <w:rPr>
          <w:rFonts w:ascii="Arial" w:hAnsi="Arial" w:cs="Arial"/>
          <w:lang w:bidi="th-TH"/>
        </w:rPr>
        <w:t xml:space="preserve">, </w:t>
      </w:r>
      <w:proofErr w:type="spellStart"/>
      <w:r w:rsidRPr="00405732">
        <w:rPr>
          <w:rFonts w:ascii="Arial" w:hAnsi="Arial" w:cs="Arial"/>
          <w:lang w:bidi="th-TH"/>
        </w:rPr>
        <w:t>Baheri</w:t>
      </w:r>
      <w:proofErr w:type="spellEnd"/>
      <w:r w:rsidRPr="00405732">
        <w:rPr>
          <w:rFonts w:ascii="Arial" w:hAnsi="Arial" w:cs="Arial"/>
          <w:lang w:bidi="th-TH"/>
        </w:rPr>
        <w:t xml:space="preserve"> and Hajar, 2024). The liquidity is also significant because lack of liquidity could lead to cash crunch, late payments and even bankruptcy</w:t>
      </w:r>
      <w:r>
        <w:rPr>
          <w:rFonts w:ascii="Arial" w:hAnsi="Arial" w:cs="Arial"/>
          <w:lang w:bidi="th-TH"/>
        </w:rPr>
        <w:t>.</w:t>
      </w:r>
    </w:p>
    <w:tbl>
      <w:tblPr>
        <w:tblStyle w:val="PlainTable1"/>
        <w:tblW w:w="0" w:type="auto"/>
        <w:tblLook w:val="04A0" w:firstRow="1" w:lastRow="0" w:firstColumn="1" w:lastColumn="0" w:noHBand="0" w:noVBand="1"/>
      </w:tblPr>
      <w:tblGrid>
        <w:gridCol w:w="750"/>
        <w:gridCol w:w="1750"/>
        <w:gridCol w:w="1550"/>
      </w:tblGrid>
      <w:tr w:rsidR="00405732" w:rsidRPr="00F75065" w14:paraId="23F6EF63" w14:textId="77777777" w:rsidTr="006446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CA0824" w14:textId="77777777" w:rsidR="00405732" w:rsidRPr="00F75065" w:rsidRDefault="00405732" w:rsidP="006446E2">
            <w:pPr>
              <w:spacing w:line="360" w:lineRule="auto"/>
              <w:jc w:val="both"/>
              <w:rPr>
                <w:rFonts w:ascii="Arial" w:hAnsi="Arial" w:cs="Arial"/>
              </w:rPr>
            </w:pPr>
            <w:r w:rsidRPr="00F75065">
              <w:rPr>
                <w:rFonts w:ascii="Arial" w:hAnsi="Arial" w:cs="Arial"/>
              </w:rPr>
              <w:t>Year</w:t>
            </w:r>
          </w:p>
        </w:tc>
        <w:tc>
          <w:tcPr>
            <w:tcW w:w="0" w:type="auto"/>
            <w:hideMark/>
          </w:tcPr>
          <w:p w14:paraId="72A72D22" w14:textId="77777777" w:rsidR="00405732" w:rsidRPr="00F75065" w:rsidRDefault="0040573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Current Ratio</w:t>
            </w:r>
          </w:p>
        </w:tc>
        <w:tc>
          <w:tcPr>
            <w:tcW w:w="0" w:type="auto"/>
            <w:hideMark/>
          </w:tcPr>
          <w:p w14:paraId="127B6C50" w14:textId="77777777" w:rsidR="00405732" w:rsidRPr="00F75065" w:rsidRDefault="0040573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Quick Ratio</w:t>
            </w:r>
          </w:p>
        </w:tc>
      </w:tr>
      <w:tr w:rsidR="00405732" w:rsidRPr="00F75065" w14:paraId="1836E963"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4A76E4" w14:textId="77777777" w:rsidR="00405732" w:rsidRPr="00F75065" w:rsidRDefault="00405732" w:rsidP="006446E2">
            <w:pPr>
              <w:spacing w:line="360" w:lineRule="auto"/>
              <w:jc w:val="both"/>
              <w:rPr>
                <w:rFonts w:ascii="Arial" w:hAnsi="Arial" w:cs="Arial"/>
              </w:rPr>
            </w:pPr>
            <w:r w:rsidRPr="00F75065">
              <w:rPr>
                <w:rFonts w:ascii="Arial" w:hAnsi="Arial" w:cs="Arial"/>
              </w:rPr>
              <w:t>2020</w:t>
            </w:r>
          </w:p>
        </w:tc>
        <w:tc>
          <w:tcPr>
            <w:tcW w:w="0" w:type="auto"/>
            <w:hideMark/>
          </w:tcPr>
          <w:p w14:paraId="6ABFDF11"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1.82</w:t>
            </w:r>
          </w:p>
        </w:tc>
        <w:tc>
          <w:tcPr>
            <w:tcW w:w="0" w:type="auto"/>
            <w:hideMark/>
          </w:tcPr>
          <w:p w14:paraId="5DDD9200"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1.15</w:t>
            </w:r>
          </w:p>
        </w:tc>
      </w:tr>
      <w:tr w:rsidR="00405732" w:rsidRPr="00F75065" w14:paraId="73AE13AE"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0DA43736" w14:textId="77777777" w:rsidR="00405732" w:rsidRPr="00F75065" w:rsidRDefault="00405732" w:rsidP="006446E2">
            <w:pPr>
              <w:spacing w:line="360" w:lineRule="auto"/>
              <w:jc w:val="both"/>
              <w:rPr>
                <w:rFonts w:ascii="Arial" w:hAnsi="Arial" w:cs="Arial"/>
              </w:rPr>
            </w:pPr>
            <w:r w:rsidRPr="00F75065">
              <w:rPr>
                <w:rFonts w:ascii="Arial" w:hAnsi="Arial" w:cs="Arial"/>
              </w:rPr>
              <w:t>2021</w:t>
            </w:r>
          </w:p>
        </w:tc>
        <w:tc>
          <w:tcPr>
            <w:tcW w:w="0" w:type="auto"/>
            <w:hideMark/>
          </w:tcPr>
          <w:p w14:paraId="6FE6C797"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1.56</w:t>
            </w:r>
          </w:p>
        </w:tc>
        <w:tc>
          <w:tcPr>
            <w:tcW w:w="0" w:type="auto"/>
            <w:hideMark/>
          </w:tcPr>
          <w:p w14:paraId="0383D5CF"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0.93</w:t>
            </w:r>
          </w:p>
        </w:tc>
      </w:tr>
      <w:tr w:rsidR="00405732" w:rsidRPr="00F75065" w14:paraId="2C384612"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35DDDD" w14:textId="77777777" w:rsidR="00405732" w:rsidRPr="00F75065" w:rsidRDefault="00405732" w:rsidP="006446E2">
            <w:pPr>
              <w:spacing w:line="360" w:lineRule="auto"/>
              <w:jc w:val="both"/>
              <w:rPr>
                <w:rFonts w:ascii="Arial" w:hAnsi="Arial" w:cs="Arial"/>
              </w:rPr>
            </w:pPr>
            <w:r w:rsidRPr="00F75065">
              <w:rPr>
                <w:rFonts w:ascii="Arial" w:hAnsi="Arial" w:cs="Arial"/>
              </w:rPr>
              <w:t>2022</w:t>
            </w:r>
          </w:p>
        </w:tc>
        <w:tc>
          <w:tcPr>
            <w:tcW w:w="0" w:type="auto"/>
            <w:hideMark/>
          </w:tcPr>
          <w:p w14:paraId="458D579A"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1.56</w:t>
            </w:r>
          </w:p>
        </w:tc>
        <w:tc>
          <w:tcPr>
            <w:tcW w:w="0" w:type="auto"/>
            <w:hideMark/>
          </w:tcPr>
          <w:p w14:paraId="5A669393"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0.91</w:t>
            </w:r>
          </w:p>
        </w:tc>
      </w:tr>
      <w:tr w:rsidR="00405732" w:rsidRPr="00F75065" w14:paraId="15DFD59E"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05E4E7F3" w14:textId="77777777" w:rsidR="00405732" w:rsidRPr="00F75065" w:rsidRDefault="00405732" w:rsidP="006446E2">
            <w:pPr>
              <w:spacing w:line="360" w:lineRule="auto"/>
              <w:jc w:val="both"/>
              <w:rPr>
                <w:rFonts w:ascii="Arial" w:hAnsi="Arial" w:cs="Arial"/>
              </w:rPr>
            </w:pPr>
            <w:r w:rsidRPr="00F75065">
              <w:rPr>
                <w:rFonts w:ascii="Arial" w:hAnsi="Arial" w:cs="Arial"/>
              </w:rPr>
              <w:t>2023</w:t>
            </w:r>
          </w:p>
        </w:tc>
        <w:tc>
          <w:tcPr>
            <w:tcW w:w="0" w:type="auto"/>
            <w:hideMark/>
          </w:tcPr>
          <w:p w14:paraId="39A30CBA"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1.61</w:t>
            </w:r>
          </w:p>
        </w:tc>
        <w:tc>
          <w:tcPr>
            <w:tcW w:w="0" w:type="auto"/>
            <w:hideMark/>
          </w:tcPr>
          <w:p w14:paraId="3F2BFEEE"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1.06</w:t>
            </w:r>
          </w:p>
        </w:tc>
      </w:tr>
      <w:tr w:rsidR="00405732" w:rsidRPr="00F75065" w14:paraId="176C7B48"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12CA1E" w14:textId="77777777" w:rsidR="00405732" w:rsidRPr="00F75065" w:rsidRDefault="00405732" w:rsidP="006446E2">
            <w:pPr>
              <w:spacing w:line="360" w:lineRule="auto"/>
              <w:jc w:val="both"/>
              <w:rPr>
                <w:rFonts w:ascii="Arial" w:hAnsi="Arial" w:cs="Arial"/>
              </w:rPr>
            </w:pPr>
            <w:r w:rsidRPr="00F75065">
              <w:rPr>
                <w:rFonts w:ascii="Arial" w:hAnsi="Arial" w:cs="Arial"/>
              </w:rPr>
              <w:t>2024</w:t>
            </w:r>
          </w:p>
        </w:tc>
        <w:tc>
          <w:tcPr>
            <w:tcW w:w="0" w:type="auto"/>
            <w:hideMark/>
          </w:tcPr>
          <w:p w14:paraId="36E0B1D2"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1.53</w:t>
            </w:r>
          </w:p>
        </w:tc>
        <w:tc>
          <w:tcPr>
            <w:tcW w:w="0" w:type="auto"/>
            <w:hideMark/>
          </w:tcPr>
          <w:p w14:paraId="6512A5B8"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1.03</w:t>
            </w:r>
          </w:p>
        </w:tc>
      </w:tr>
    </w:tbl>
    <w:p w14:paraId="37C2412A" w14:textId="77777777" w:rsidR="00405732" w:rsidRDefault="00405732" w:rsidP="00405732">
      <w:pPr>
        <w:spacing w:line="360" w:lineRule="auto"/>
        <w:jc w:val="both"/>
        <w:rPr>
          <w:rFonts w:ascii="Arial" w:hAnsi="Arial" w:cs="Arial"/>
          <w:lang w:bidi="th-TH"/>
        </w:rPr>
      </w:pPr>
      <w:r>
        <w:rPr>
          <w:rFonts w:ascii="Arial" w:hAnsi="Arial" w:cs="Arial"/>
          <w:noProof/>
          <w:lang w:bidi="th-TH"/>
        </w:rPr>
        <w:drawing>
          <wp:inline distT="0" distB="0" distL="0" distR="0" wp14:anchorId="0DF35685" wp14:editId="4B4AD574">
            <wp:extent cx="3457575" cy="2769712"/>
            <wp:effectExtent l="0" t="0" r="0" b="0"/>
            <wp:docPr id="929111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61910" cy="2773185"/>
                    </a:xfrm>
                    <a:prstGeom prst="rect">
                      <a:avLst/>
                    </a:prstGeom>
                    <a:noFill/>
                  </pic:spPr>
                </pic:pic>
              </a:graphicData>
            </a:graphic>
          </wp:inline>
        </w:drawing>
      </w:r>
    </w:p>
    <w:p w14:paraId="324AB117" w14:textId="77777777" w:rsidR="00405732" w:rsidRPr="007003FC" w:rsidRDefault="00405732" w:rsidP="00405732">
      <w:pPr>
        <w:spacing w:line="360" w:lineRule="auto"/>
        <w:jc w:val="both"/>
        <w:rPr>
          <w:rFonts w:ascii="Arial" w:hAnsi="Arial" w:cs="Arial"/>
          <w:lang w:bidi="th-TH"/>
        </w:rPr>
      </w:pPr>
      <w:r w:rsidRPr="00405732">
        <w:rPr>
          <w:rFonts w:ascii="Arial" w:hAnsi="Arial" w:cs="Arial"/>
          <w:lang w:bidi="th-TH"/>
        </w:rPr>
        <w:t>Graph 2. Liquidity graph</w:t>
      </w:r>
    </w:p>
    <w:p w14:paraId="7678881C" w14:textId="77777777" w:rsidR="00405732" w:rsidRPr="00E452F9" w:rsidRDefault="00405732" w:rsidP="00405732">
      <w:pPr>
        <w:spacing w:line="360" w:lineRule="auto"/>
        <w:jc w:val="both"/>
        <w:rPr>
          <w:rFonts w:ascii="Arial" w:hAnsi="Arial" w:cs="Arial"/>
          <w:lang w:bidi="th-TH"/>
        </w:rPr>
      </w:pPr>
      <w:r w:rsidRPr="00D85C6F">
        <w:rPr>
          <w:rFonts w:ascii="Arial" w:hAnsi="Arial" w:cs="Arial"/>
          <w:noProof/>
          <w:lang w:bidi="th-TH"/>
        </w:rPr>
        <w:lastRenderedPageBreak/>
        <w:drawing>
          <wp:inline distT="0" distB="0" distL="0" distR="0" wp14:anchorId="10EB9245" wp14:editId="38570D5A">
            <wp:extent cx="4477375" cy="3600953"/>
            <wp:effectExtent l="0" t="0" r="0" b="0"/>
            <wp:docPr id="1041329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329244" name=""/>
                    <pic:cNvPicPr/>
                  </pic:nvPicPr>
                  <pic:blipFill>
                    <a:blip r:embed="rId8"/>
                    <a:stretch>
                      <a:fillRect/>
                    </a:stretch>
                  </pic:blipFill>
                  <pic:spPr>
                    <a:xfrm>
                      <a:off x="0" y="0"/>
                      <a:ext cx="4477375" cy="3600953"/>
                    </a:xfrm>
                    <a:prstGeom prst="rect">
                      <a:avLst/>
                    </a:prstGeom>
                  </pic:spPr>
                </pic:pic>
              </a:graphicData>
            </a:graphic>
          </wp:inline>
        </w:drawing>
      </w:r>
    </w:p>
    <w:p w14:paraId="090A8253" w14:textId="77777777" w:rsidR="00405732" w:rsidRDefault="00405732" w:rsidP="00405732">
      <w:pPr>
        <w:spacing w:line="360" w:lineRule="auto"/>
        <w:jc w:val="both"/>
        <w:rPr>
          <w:rFonts w:ascii="Arial" w:hAnsi="Arial" w:cs="Arial"/>
          <w:b/>
          <w:bCs/>
          <w:lang w:bidi="th-TH"/>
        </w:rPr>
      </w:pPr>
      <w:r w:rsidRPr="00E452F9">
        <w:rPr>
          <w:rFonts w:ascii="Arial" w:hAnsi="Arial" w:cs="Arial"/>
          <w:b/>
          <w:bCs/>
          <w:lang w:bidi="th-TH"/>
        </w:rPr>
        <w:t>3. Efficiency Ratios</w:t>
      </w:r>
    </w:p>
    <w:p w14:paraId="73367035" w14:textId="77777777" w:rsidR="00405732" w:rsidRPr="008031AC" w:rsidRDefault="00405732" w:rsidP="00405732">
      <w:pPr>
        <w:spacing w:line="360" w:lineRule="auto"/>
        <w:jc w:val="both"/>
        <w:rPr>
          <w:rFonts w:ascii="Arial" w:hAnsi="Arial" w:cs="Arial"/>
          <w:lang w:bidi="th-TH"/>
        </w:rPr>
      </w:pPr>
      <w:r w:rsidRPr="00405732">
        <w:rPr>
          <w:rFonts w:ascii="Arial" w:hAnsi="Arial" w:cs="Arial"/>
          <w:lang w:bidi="th-TH"/>
        </w:rPr>
        <w:t>Efficiency ratios determine the degree of efficiency of the company with regard to its assets e.g. inventory, receivables etc. with regard to the revenue generation. They also focus on working capital management and performance on operations (Wahyuni, 2021). The ratios are important since any inefficiency can tie up cash and reduce the profitability.</w:t>
      </w:r>
    </w:p>
    <w:tbl>
      <w:tblPr>
        <w:tblStyle w:val="PlainTable1"/>
        <w:tblW w:w="0" w:type="auto"/>
        <w:tblLook w:val="04A0" w:firstRow="1" w:lastRow="0" w:firstColumn="1" w:lastColumn="0" w:noHBand="0" w:noVBand="1"/>
      </w:tblPr>
      <w:tblGrid>
        <w:gridCol w:w="750"/>
        <w:gridCol w:w="3239"/>
        <w:gridCol w:w="4418"/>
      </w:tblGrid>
      <w:tr w:rsidR="00405732" w:rsidRPr="00F75065" w14:paraId="745FFD6E" w14:textId="77777777" w:rsidTr="006446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7B9B17" w14:textId="77777777" w:rsidR="00405732" w:rsidRPr="00F75065" w:rsidRDefault="00405732" w:rsidP="006446E2">
            <w:pPr>
              <w:spacing w:line="360" w:lineRule="auto"/>
              <w:jc w:val="both"/>
              <w:rPr>
                <w:rFonts w:ascii="Arial" w:hAnsi="Arial" w:cs="Arial"/>
              </w:rPr>
            </w:pPr>
            <w:r w:rsidRPr="00F75065">
              <w:rPr>
                <w:rFonts w:ascii="Arial" w:hAnsi="Arial" w:cs="Arial"/>
              </w:rPr>
              <w:t>Year</w:t>
            </w:r>
          </w:p>
        </w:tc>
        <w:tc>
          <w:tcPr>
            <w:tcW w:w="0" w:type="auto"/>
            <w:hideMark/>
          </w:tcPr>
          <w:p w14:paraId="42F98252" w14:textId="77777777" w:rsidR="00405732" w:rsidRPr="00F75065" w:rsidRDefault="0040573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Inventory Turnover (times)</w:t>
            </w:r>
          </w:p>
        </w:tc>
        <w:tc>
          <w:tcPr>
            <w:tcW w:w="0" w:type="auto"/>
            <w:hideMark/>
          </w:tcPr>
          <w:p w14:paraId="790949C5" w14:textId="77777777" w:rsidR="00405732" w:rsidRPr="00F75065" w:rsidRDefault="0040573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Receivables Collection Period (days)</w:t>
            </w:r>
          </w:p>
        </w:tc>
      </w:tr>
      <w:tr w:rsidR="00405732" w:rsidRPr="00F75065" w14:paraId="4FEF56F1"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8A5056" w14:textId="77777777" w:rsidR="00405732" w:rsidRPr="00F75065" w:rsidRDefault="00405732" w:rsidP="006446E2">
            <w:pPr>
              <w:spacing w:line="360" w:lineRule="auto"/>
              <w:jc w:val="both"/>
              <w:rPr>
                <w:rFonts w:ascii="Arial" w:hAnsi="Arial" w:cs="Arial"/>
              </w:rPr>
            </w:pPr>
            <w:r w:rsidRPr="00F75065">
              <w:rPr>
                <w:rFonts w:ascii="Arial" w:hAnsi="Arial" w:cs="Arial"/>
              </w:rPr>
              <w:t>2020</w:t>
            </w:r>
          </w:p>
        </w:tc>
        <w:tc>
          <w:tcPr>
            <w:tcW w:w="0" w:type="auto"/>
            <w:hideMark/>
          </w:tcPr>
          <w:p w14:paraId="5238B1F5"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3.64</w:t>
            </w:r>
          </w:p>
        </w:tc>
        <w:tc>
          <w:tcPr>
            <w:tcW w:w="0" w:type="auto"/>
            <w:hideMark/>
          </w:tcPr>
          <w:p w14:paraId="640FDF1D"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76.88</w:t>
            </w:r>
          </w:p>
        </w:tc>
      </w:tr>
      <w:tr w:rsidR="00405732" w:rsidRPr="00F75065" w14:paraId="16916763"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2BE73B9C" w14:textId="77777777" w:rsidR="00405732" w:rsidRPr="00F75065" w:rsidRDefault="00405732" w:rsidP="006446E2">
            <w:pPr>
              <w:spacing w:line="360" w:lineRule="auto"/>
              <w:jc w:val="both"/>
              <w:rPr>
                <w:rFonts w:ascii="Arial" w:hAnsi="Arial" w:cs="Arial"/>
              </w:rPr>
            </w:pPr>
            <w:r w:rsidRPr="00F75065">
              <w:rPr>
                <w:rFonts w:ascii="Arial" w:hAnsi="Arial" w:cs="Arial"/>
              </w:rPr>
              <w:t>2021</w:t>
            </w:r>
          </w:p>
        </w:tc>
        <w:tc>
          <w:tcPr>
            <w:tcW w:w="0" w:type="auto"/>
            <w:hideMark/>
          </w:tcPr>
          <w:p w14:paraId="60E6A444"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3.36</w:t>
            </w:r>
          </w:p>
        </w:tc>
        <w:tc>
          <w:tcPr>
            <w:tcW w:w="0" w:type="auto"/>
            <w:hideMark/>
          </w:tcPr>
          <w:p w14:paraId="0B38A151"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78.41</w:t>
            </w:r>
          </w:p>
        </w:tc>
      </w:tr>
      <w:tr w:rsidR="00405732" w:rsidRPr="00F75065" w14:paraId="59767B3A"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37F4F7" w14:textId="77777777" w:rsidR="00405732" w:rsidRPr="00F75065" w:rsidRDefault="00405732" w:rsidP="006446E2">
            <w:pPr>
              <w:spacing w:line="360" w:lineRule="auto"/>
              <w:jc w:val="both"/>
              <w:rPr>
                <w:rFonts w:ascii="Arial" w:hAnsi="Arial" w:cs="Arial"/>
              </w:rPr>
            </w:pPr>
            <w:r w:rsidRPr="00F75065">
              <w:rPr>
                <w:rFonts w:ascii="Arial" w:hAnsi="Arial" w:cs="Arial"/>
              </w:rPr>
              <w:t>2022</w:t>
            </w:r>
          </w:p>
        </w:tc>
        <w:tc>
          <w:tcPr>
            <w:tcW w:w="0" w:type="auto"/>
            <w:hideMark/>
          </w:tcPr>
          <w:p w14:paraId="74BD83D0"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2.84</w:t>
            </w:r>
          </w:p>
        </w:tc>
        <w:tc>
          <w:tcPr>
            <w:tcW w:w="0" w:type="auto"/>
            <w:hideMark/>
          </w:tcPr>
          <w:p w14:paraId="2576CBD5"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75.52</w:t>
            </w:r>
          </w:p>
        </w:tc>
      </w:tr>
      <w:tr w:rsidR="00405732" w:rsidRPr="00F75065" w14:paraId="20E3D424"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31623989" w14:textId="77777777" w:rsidR="00405732" w:rsidRPr="00F75065" w:rsidRDefault="00405732" w:rsidP="006446E2">
            <w:pPr>
              <w:spacing w:line="360" w:lineRule="auto"/>
              <w:jc w:val="both"/>
              <w:rPr>
                <w:rFonts w:ascii="Arial" w:hAnsi="Arial" w:cs="Arial"/>
              </w:rPr>
            </w:pPr>
            <w:r w:rsidRPr="00F75065">
              <w:rPr>
                <w:rFonts w:ascii="Arial" w:hAnsi="Arial" w:cs="Arial"/>
              </w:rPr>
              <w:t>2023</w:t>
            </w:r>
          </w:p>
        </w:tc>
        <w:tc>
          <w:tcPr>
            <w:tcW w:w="0" w:type="auto"/>
            <w:hideMark/>
          </w:tcPr>
          <w:p w14:paraId="204611F7"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2.83</w:t>
            </w:r>
          </w:p>
        </w:tc>
        <w:tc>
          <w:tcPr>
            <w:tcW w:w="0" w:type="auto"/>
            <w:hideMark/>
          </w:tcPr>
          <w:p w14:paraId="3B2BF85D"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97.76</w:t>
            </w:r>
          </w:p>
        </w:tc>
      </w:tr>
      <w:tr w:rsidR="00405732" w:rsidRPr="00F75065" w14:paraId="050F73E8"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4E2013" w14:textId="77777777" w:rsidR="00405732" w:rsidRPr="00F75065" w:rsidRDefault="00405732" w:rsidP="006446E2">
            <w:pPr>
              <w:spacing w:line="360" w:lineRule="auto"/>
              <w:jc w:val="both"/>
              <w:rPr>
                <w:rFonts w:ascii="Arial" w:hAnsi="Arial" w:cs="Arial"/>
              </w:rPr>
            </w:pPr>
            <w:r w:rsidRPr="00F75065">
              <w:rPr>
                <w:rFonts w:ascii="Arial" w:hAnsi="Arial" w:cs="Arial"/>
              </w:rPr>
              <w:t>2024</w:t>
            </w:r>
          </w:p>
        </w:tc>
        <w:tc>
          <w:tcPr>
            <w:tcW w:w="0" w:type="auto"/>
            <w:hideMark/>
          </w:tcPr>
          <w:p w14:paraId="53315F2E"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3.35</w:t>
            </w:r>
          </w:p>
        </w:tc>
        <w:tc>
          <w:tcPr>
            <w:tcW w:w="0" w:type="auto"/>
            <w:hideMark/>
          </w:tcPr>
          <w:p w14:paraId="281D3F3B"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105.56</w:t>
            </w:r>
          </w:p>
        </w:tc>
      </w:tr>
    </w:tbl>
    <w:p w14:paraId="3CDE4AF9" w14:textId="77777777" w:rsidR="00405732" w:rsidRDefault="00405732" w:rsidP="00405732">
      <w:pPr>
        <w:spacing w:line="360" w:lineRule="auto"/>
        <w:jc w:val="both"/>
        <w:rPr>
          <w:rFonts w:ascii="Arial" w:hAnsi="Arial" w:cs="Arial"/>
          <w:lang w:bidi="th-TH"/>
        </w:rPr>
      </w:pPr>
      <w:r>
        <w:rPr>
          <w:rFonts w:ascii="Arial" w:hAnsi="Arial" w:cs="Arial"/>
          <w:noProof/>
          <w:lang w:bidi="th-TH"/>
        </w:rPr>
        <w:lastRenderedPageBreak/>
        <w:drawing>
          <wp:inline distT="0" distB="0" distL="0" distR="0" wp14:anchorId="7EA7F694" wp14:editId="0CAB9783">
            <wp:extent cx="3476625" cy="2760671"/>
            <wp:effectExtent l="0" t="0" r="0" b="1905"/>
            <wp:docPr id="5626767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81599" cy="2764620"/>
                    </a:xfrm>
                    <a:prstGeom prst="rect">
                      <a:avLst/>
                    </a:prstGeom>
                    <a:noFill/>
                  </pic:spPr>
                </pic:pic>
              </a:graphicData>
            </a:graphic>
          </wp:inline>
        </w:drawing>
      </w:r>
    </w:p>
    <w:p w14:paraId="36EEF512" w14:textId="77777777" w:rsidR="00405732" w:rsidRDefault="00405732" w:rsidP="00405732">
      <w:pPr>
        <w:spacing w:line="360" w:lineRule="auto"/>
        <w:jc w:val="both"/>
        <w:rPr>
          <w:rFonts w:ascii="Arial" w:hAnsi="Arial" w:cs="Arial"/>
          <w:lang w:bidi="th-TH"/>
        </w:rPr>
      </w:pPr>
      <w:r w:rsidRPr="00405732">
        <w:rPr>
          <w:rFonts w:ascii="Arial" w:hAnsi="Arial" w:cs="Arial"/>
          <w:lang w:bidi="th-TH"/>
        </w:rPr>
        <w:t>Graph 3. Efficiency ratio</w:t>
      </w:r>
    </w:p>
    <w:p w14:paraId="083C7960" w14:textId="77777777" w:rsidR="00405732" w:rsidRPr="00E452F9" w:rsidRDefault="00405732" w:rsidP="00405732">
      <w:pPr>
        <w:spacing w:line="360" w:lineRule="auto"/>
        <w:jc w:val="both"/>
        <w:rPr>
          <w:rFonts w:ascii="Arial" w:hAnsi="Arial" w:cs="Arial"/>
          <w:lang w:bidi="th-TH"/>
        </w:rPr>
      </w:pPr>
      <w:r w:rsidRPr="00D85C6F">
        <w:rPr>
          <w:rFonts w:ascii="Arial" w:hAnsi="Arial" w:cs="Arial"/>
          <w:noProof/>
          <w:lang w:bidi="th-TH"/>
        </w:rPr>
        <w:drawing>
          <wp:inline distT="0" distB="0" distL="0" distR="0" wp14:anchorId="2DE026ED" wp14:editId="0B421DA1">
            <wp:extent cx="4591691" cy="3591426"/>
            <wp:effectExtent l="0" t="0" r="0" b="9525"/>
            <wp:docPr id="47341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41888" name=""/>
                    <pic:cNvPicPr/>
                  </pic:nvPicPr>
                  <pic:blipFill>
                    <a:blip r:embed="rId10"/>
                    <a:stretch>
                      <a:fillRect/>
                    </a:stretch>
                  </pic:blipFill>
                  <pic:spPr>
                    <a:xfrm>
                      <a:off x="0" y="0"/>
                      <a:ext cx="4591691" cy="3591426"/>
                    </a:xfrm>
                    <a:prstGeom prst="rect">
                      <a:avLst/>
                    </a:prstGeom>
                  </pic:spPr>
                </pic:pic>
              </a:graphicData>
            </a:graphic>
          </wp:inline>
        </w:drawing>
      </w:r>
    </w:p>
    <w:p w14:paraId="13091671" w14:textId="77777777" w:rsidR="00405732" w:rsidRDefault="00405732" w:rsidP="00405732">
      <w:pPr>
        <w:spacing w:line="360" w:lineRule="auto"/>
        <w:jc w:val="both"/>
        <w:rPr>
          <w:rFonts w:ascii="Arial" w:hAnsi="Arial" w:cs="Arial"/>
          <w:b/>
          <w:bCs/>
          <w:lang w:bidi="th-TH"/>
        </w:rPr>
      </w:pPr>
      <w:r w:rsidRPr="00E452F9">
        <w:rPr>
          <w:rFonts w:ascii="Arial" w:hAnsi="Arial" w:cs="Arial"/>
          <w:b/>
          <w:bCs/>
          <w:lang w:bidi="th-TH"/>
        </w:rPr>
        <w:t>4. Gearing Ratios</w:t>
      </w:r>
    </w:p>
    <w:p w14:paraId="5EAEBA3A" w14:textId="77777777" w:rsidR="00405732" w:rsidRPr="008031AC" w:rsidRDefault="00405732" w:rsidP="00405732">
      <w:pPr>
        <w:spacing w:line="360" w:lineRule="auto"/>
        <w:jc w:val="both"/>
        <w:rPr>
          <w:rFonts w:ascii="Arial" w:hAnsi="Arial" w:cs="Arial"/>
          <w:lang w:bidi="th-TH"/>
        </w:rPr>
      </w:pPr>
      <w:r w:rsidRPr="00405732">
        <w:rPr>
          <w:rFonts w:ascii="Arial" w:hAnsi="Arial" w:cs="Arial"/>
          <w:lang w:bidi="th-TH"/>
        </w:rPr>
        <w:t>Gearing ratio is calculated to find out the degree of debt financing to equity financing. These are financial risk and long-term stability. Increased gearing levels increase interest and bankruptcy expenses especially at a period where the profits are minimal (Wahyuni, 2021).</w:t>
      </w:r>
    </w:p>
    <w:tbl>
      <w:tblPr>
        <w:tblStyle w:val="PlainTable1"/>
        <w:tblW w:w="0" w:type="auto"/>
        <w:tblLook w:val="04A0" w:firstRow="1" w:lastRow="0" w:firstColumn="1" w:lastColumn="0" w:noHBand="0" w:noVBand="1"/>
      </w:tblPr>
      <w:tblGrid>
        <w:gridCol w:w="750"/>
        <w:gridCol w:w="2536"/>
        <w:gridCol w:w="3764"/>
      </w:tblGrid>
      <w:tr w:rsidR="00405732" w:rsidRPr="00F75065" w14:paraId="0D5C3D7B" w14:textId="77777777" w:rsidTr="006446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2B205A" w14:textId="77777777" w:rsidR="00405732" w:rsidRPr="00F75065" w:rsidRDefault="00405732" w:rsidP="006446E2">
            <w:pPr>
              <w:spacing w:line="360" w:lineRule="auto"/>
              <w:jc w:val="both"/>
              <w:rPr>
                <w:rFonts w:ascii="Arial" w:hAnsi="Arial" w:cs="Arial"/>
              </w:rPr>
            </w:pPr>
            <w:r w:rsidRPr="00F75065">
              <w:rPr>
                <w:rFonts w:ascii="Arial" w:hAnsi="Arial" w:cs="Arial"/>
              </w:rPr>
              <w:t>Year</w:t>
            </w:r>
          </w:p>
        </w:tc>
        <w:tc>
          <w:tcPr>
            <w:tcW w:w="0" w:type="auto"/>
            <w:hideMark/>
          </w:tcPr>
          <w:p w14:paraId="4185225E" w14:textId="77777777" w:rsidR="00405732" w:rsidRPr="00F75065" w:rsidRDefault="0040573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Debt-to-Equity Ratio</w:t>
            </w:r>
          </w:p>
        </w:tc>
        <w:tc>
          <w:tcPr>
            <w:tcW w:w="0" w:type="auto"/>
            <w:hideMark/>
          </w:tcPr>
          <w:p w14:paraId="2B844BCA" w14:textId="77777777" w:rsidR="00405732" w:rsidRPr="00F75065" w:rsidRDefault="0040573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Interest Coverage Ratio (times)</w:t>
            </w:r>
          </w:p>
        </w:tc>
      </w:tr>
      <w:tr w:rsidR="00405732" w:rsidRPr="00F75065" w14:paraId="1DB685FC"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AF5AE5" w14:textId="77777777" w:rsidR="00405732" w:rsidRPr="00F75065" w:rsidRDefault="00405732" w:rsidP="006446E2">
            <w:pPr>
              <w:spacing w:line="360" w:lineRule="auto"/>
              <w:jc w:val="both"/>
              <w:rPr>
                <w:rFonts w:ascii="Arial" w:hAnsi="Arial" w:cs="Arial"/>
              </w:rPr>
            </w:pPr>
            <w:r w:rsidRPr="00F75065">
              <w:rPr>
                <w:rFonts w:ascii="Arial" w:hAnsi="Arial" w:cs="Arial"/>
              </w:rPr>
              <w:t>2020</w:t>
            </w:r>
          </w:p>
        </w:tc>
        <w:tc>
          <w:tcPr>
            <w:tcW w:w="0" w:type="auto"/>
            <w:hideMark/>
          </w:tcPr>
          <w:p w14:paraId="303EDA69"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0.63</w:t>
            </w:r>
          </w:p>
        </w:tc>
        <w:tc>
          <w:tcPr>
            <w:tcW w:w="0" w:type="auto"/>
            <w:hideMark/>
          </w:tcPr>
          <w:p w14:paraId="764DB21A"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26.21</w:t>
            </w:r>
          </w:p>
        </w:tc>
      </w:tr>
      <w:tr w:rsidR="00405732" w:rsidRPr="00F75065" w14:paraId="5D7D38C4"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7E3ED5CE" w14:textId="77777777" w:rsidR="00405732" w:rsidRPr="00F75065" w:rsidRDefault="00405732" w:rsidP="006446E2">
            <w:pPr>
              <w:spacing w:line="360" w:lineRule="auto"/>
              <w:jc w:val="both"/>
              <w:rPr>
                <w:rFonts w:ascii="Arial" w:hAnsi="Arial" w:cs="Arial"/>
              </w:rPr>
            </w:pPr>
            <w:r w:rsidRPr="00F75065">
              <w:rPr>
                <w:rFonts w:ascii="Arial" w:hAnsi="Arial" w:cs="Arial"/>
              </w:rPr>
              <w:lastRenderedPageBreak/>
              <w:t>2021</w:t>
            </w:r>
          </w:p>
        </w:tc>
        <w:tc>
          <w:tcPr>
            <w:tcW w:w="0" w:type="auto"/>
            <w:hideMark/>
          </w:tcPr>
          <w:p w14:paraId="4B9D480E"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0.85</w:t>
            </w:r>
          </w:p>
        </w:tc>
        <w:tc>
          <w:tcPr>
            <w:tcW w:w="0" w:type="auto"/>
            <w:hideMark/>
          </w:tcPr>
          <w:p w14:paraId="6BE2239D"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41.08</w:t>
            </w:r>
          </w:p>
        </w:tc>
      </w:tr>
      <w:tr w:rsidR="00405732" w:rsidRPr="00F75065" w14:paraId="1879DFF8"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F7A56D" w14:textId="77777777" w:rsidR="00405732" w:rsidRPr="00F75065" w:rsidRDefault="00405732" w:rsidP="006446E2">
            <w:pPr>
              <w:spacing w:line="360" w:lineRule="auto"/>
              <w:jc w:val="both"/>
              <w:rPr>
                <w:rFonts w:ascii="Arial" w:hAnsi="Arial" w:cs="Arial"/>
              </w:rPr>
            </w:pPr>
            <w:r w:rsidRPr="00F75065">
              <w:rPr>
                <w:rFonts w:ascii="Arial" w:hAnsi="Arial" w:cs="Arial"/>
              </w:rPr>
              <w:t>2022</w:t>
            </w:r>
          </w:p>
        </w:tc>
        <w:tc>
          <w:tcPr>
            <w:tcW w:w="0" w:type="auto"/>
            <w:hideMark/>
          </w:tcPr>
          <w:p w14:paraId="6292017D"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0.88</w:t>
            </w:r>
          </w:p>
        </w:tc>
        <w:tc>
          <w:tcPr>
            <w:tcW w:w="0" w:type="auto"/>
            <w:hideMark/>
          </w:tcPr>
          <w:p w14:paraId="16500FC6"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6.61</w:t>
            </w:r>
          </w:p>
        </w:tc>
      </w:tr>
      <w:tr w:rsidR="00405732" w:rsidRPr="00F75065" w14:paraId="10293378"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1691FA0C" w14:textId="77777777" w:rsidR="00405732" w:rsidRPr="00F75065" w:rsidRDefault="00405732" w:rsidP="006446E2">
            <w:pPr>
              <w:spacing w:line="360" w:lineRule="auto"/>
              <w:jc w:val="both"/>
              <w:rPr>
                <w:rFonts w:ascii="Arial" w:hAnsi="Arial" w:cs="Arial"/>
              </w:rPr>
            </w:pPr>
            <w:r w:rsidRPr="00F75065">
              <w:rPr>
                <w:rFonts w:ascii="Arial" w:hAnsi="Arial" w:cs="Arial"/>
              </w:rPr>
              <w:t>2023</w:t>
            </w:r>
          </w:p>
        </w:tc>
        <w:tc>
          <w:tcPr>
            <w:tcW w:w="0" w:type="auto"/>
            <w:hideMark/>
          </w:tcPr>
          <w:p w14:paraId="793266BD"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0.99</w:t>
            </w:r>
          </w:p>
        </w:tc>
        <w:tc>
          <w:tcPr>
            <w:tcW w:w="0" w:type="auto"/>
            <w:hideMark/>
          </w:tcPr>
          <w:p w14:paraId="1D9C4C56"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-19.69</w:t>
            </w:r>
          </w:p>
        </w:tc>
      </w:tr>
      <w:tr w:rsidR="00405732" w:rsidRPr="00F75065" w14:paraId="1AA7289C"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A84D3A" w14:textId="77777777" w:rsidR="00405732" w:rsidRPr="00F75065" w:rsidRDefault="00405732" w:rsidP="006446E2">
            <w:pPr>
              <w:spacing w:line="360" w:lineRule="auto"/>
              <w:jc w:val="both"/>
              <w:rPr>
                <w:rFonts w:ascii="Arial" w:hAnsi="Arial" w:cs="Arial"/>
              </w:rPr>
            </w:pPr>
            <w:r w:rsidRPr="00F75065">
              <w:rPr>
                <w:rFonts w:ascii="Arial" w:hAnsi="Arial" w:cs="Arial"/>
              </w:rPr>
              <w:t>2024</w:t>
            </w:r>
          </w:p>
        </w:tc>
        <w:tc>
          <w:tcPr>
            <w:tcW w:w="0" w:type="auto"/>
            <w:hideMark/>
          </w:tcPr>
          <w:p w14:paraId="2EA75A40"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1.11</w:t>
            </w:r>
          </w:p>
        </w:tc>
        <w:tc>
          <w:tcPr>
            <w:tcW w:w="0" w:type="auto"/>
            <w:hideMark/>
          </w:tcPr>
          <w:p w14:paraId="653E1B38"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-4.55</w:t>
            </w:r>
          </w:p>
        </w:tc>
      </w:tr>
    </w:tbl>
    <w:p w14:paraId="19CDA66A" w14:textId="77777777" w:rsidR="00405732" w:rsidRDefault="00405732" w:rsidP="00405732">
      <w:pPr>
        <w:spacing w:line="360" w:lineRule="auto"/>
        <w:jc w:val="both"/>
        <w:rPr>
          <w:rFonts w:ascii="Arial" w:hAnsi="Arial" w:cs="Arial"/>
          <w:lang w:bidi="th-TH"/>
        </w:rPr>
      </w:pPr>
      <w:r>
        <w:rPr>
          <w:rFonts w:ascii="Arial" w:hAnsi="Arial" w:cs="Arial"/>
          <w:noProof/>
          <w:lang w:bidi="th-TH"/>
        </w:rPr>
        <w:drawing>
          <wp:inline distT="0" distB="0" distL="0" distR="0" wp14:anchorId="02776091" wp14:editId="38C03B32">
            <wp:extent cx="3695700" cy="2919346"/>
            <wp:effectExtent l="0" t="0" r="0" b="0"/>
            <wp:docPr id="8808495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04450" cy="2926258"/>
                    </a:xfrm>
                    <a:prstGeom prst="rect">
                      <a:avLst/>
                    </a:prstGeom>
                    <a:noFill/>
                  </pic:spPr>
                </pic:pic>
              </a:graphicData>
            </a:graphic>
          </wp:inline>
        </w:drawing>
      </w:r>
    </w:p>
    <w:p w14:paraId="0175FDC3" w14:textId="77777777" w:rsidR="00405732" w:rsidRPr="00806983" w:rsidRDefault="00405732" w:rsidP="00405732">
      <w:pPr>
        <w:spacing w:line="360" w:lineRule="auto"/>
        <w:jc w:val="both"/>
        <w:rPr>
          <w:rFonts w:ascii="Arial" w:hAnsi="Arial" w:cs="Arial"/>
          <w:lang w:bidi="th-TH"/>
        </w:rPr>
      </w:pPr>
      <w:r w:rsidRPr="00405732">
        <w:rPr>
          <w:rFonts w:ascii="Arial" w:hAnsi="Arial" w:cs="Arial"/>
          <w:lang w:bidi="th-TH"/>
        </w:rPr>
        <w:t>Graph 4. Gearing ratio</w:t>
      </w:r>
    </w:p>
    <w:p w14:paraId="2694DFBC" w14:textId="77777777" w:rsidR="00405732" w:rsidRPr="00E452F9" w:rsidRDefault="00405732" w:rsidP="00405732">
      <w:pPr>
        <w:spacing w:line="360" w:lineRule="auto"/>
        <w:jc w:val="both"/>
        <w:rPr>
          <w:rFonts w:ascii="Arial" w:hAnsi="Arial" w:cs="Arial"/>
          <w:lang w:bidi="th-TH"/>
        </w:rPr>
      </w:pPr>
      <w:r w:rsidRPr="00D85C6F">
        <w:rPr>
          <w:rFonts w:ascii="Arial" w:hAnsi="Arial" w:cs="Arial"/>
          <w:noProof/>
          <w:lang w:bidi="th-TH"/>
        </w:rPr>
        <w:drawing>
          <wp:inline distT="0" distB="0" distL="0" distR="0" wp14:anchorId="41ABC090" wp14:editId="75072528">
            <wp:extent cx="4620270" cy="3553321"/>
            <wp:effectExtent l="0" t="0" r="8890" b="9525"/>
            <wp:docPr id="1277614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614186" name=""/>
                    <pic:cNvPicPr/>
                  </pic:nvPicPr>
                  <pic:blipFill>
                    <a:blip r:embed="rId12"/>
                    <a:stretch>
                      <a:fillRect/>
                    </a:stretch>
                  </pic:blipFill>
                  <pic:spPr>
                    <a:xfrm>
                      <a:off x="0" y="0"/>
                      <a:ext cx="4620270" cy="3553321"/>
                    </a:xfrm>
                    <a:prstGeom prst="rect">
                      <a:avLst/>
                    </a:prstGeom>
                  </pic:spPr>
                </pic:pic>
              </a:graphicData>
            </a:graphic>
          </wp:inline>
        </w:drawing>
      </w:r>
    </w:p>
    <w:p w14:paraId="3857E420" w14:textId="77777777" w:rsidR="00405732" w:rsidRDefault="00405732" w:rsidP="00405732">
      <w:pPr>
        <w:spacing w:line="360" w:lineRule="auto"/>
        <w:jc w:val="both"/>
        <w:rPr>
          <w:rFonts w:ascii="Arial" w:hAnsi="Arial" w:cs="Arial"/>
          <w:b/>
          <w:bCs/>
          <w:lang w:bidi="th-TH"/>
        </w:rPr>
      </w:pPr>
      <w:r w:rsidRPr="00E452F9">
        <w:rPr>
          <w:rFonts w:ascii="Arial" w:hAnsi="Arial" w:cs="Arial"/>
          <w:b/>
          <w:bCs/>
          <w:lang w:bidi="th-TH"/>
        </w:rPr>
        <w:t>5. Investment Ratios</w:t>
      </w:r>
    </w:p>
    <w:p w14:paraId="1ED760C7" w14:textId="77777777" w:rsidR="00405732" w:rsidRDefault="00405732" w:rsidP="00405732">
      <w:pPr>
        <w:spacing w:line="360" w:lineRule="auto"/>
        <w:jc w:val="both"/>
        <w:rPr>
          <w:rFonts w:ascii="Arial" w:hAnsi="Arial" w:cs="Arial"/>
          <w:b/>
          <w:bCs/>
          <w:lang w:bidi="th-TH"/>
        </w:rPr>
      </w:pPr>
      <w:r w:rsidRPr="00405732">
        <w:rPr>
          <w:rFonts w:ascii="Arial" w:hAnsi="Arial" w:cs="Arial"/>
          <w:lang w:bidi="th-TH"/>
        </w:rPr>
        <w:t xml:space="preserve">The investment ratios are interested in the returns made by the shareholders such as returns on equity and earnings (Wahyuni, 2021). They help the investors in knowing </w:t>
      </w:r>
      <w:r w:rsidRPr="00405732">
        <w:rPr>
          <w:rFonts w:ascii="Arial" w:hAnsi="Arial" w:cs="Arial"/>
          <w:lang w:bidi="th-TH"/>
        </w:rPr>
        <w:lastRenderedPageBreak/>
        <w:t>whether the company is creating shareholder value and are also very instrumental in attracting and retaining investment.</w:t>
      </w:r>
    </w:p>
    <w:tbl>
      <w:tblPr>
        <w:tblStyle w:val="PlainTable1"/>
        <w:tblW w:w="0" w:type="auto"/>
        <w:tblLook w:val="04A0" w:firstRow="1" w:lastRow="0" w:firstColumn="1" w:lastColumn="0" w:noHBand="0" w:noVBand="1"/>
      </w:tblPr>
      <w:tblGrid>
        <w:gridCol w:w="750"/>
        <w:gridCol w:w="3176"/>
        <w:gridCol w:w="3338"/>
      </w:tblGrid>
      <w:tr w:rsidR="00405732" w:rsidRPr="00F75065" w14:paraId="48D1FDAA" w14:textId="77777777" w:rsidTr="006446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A8767A" w14:textId="77777777" w:rsidR="00405732" w:rsidRPr="00F75065" w:rsidRDefault="00405732" w:rsidP="006446E2">
            <w:pPr>
              <w:spacing w:line="360" w:lineRule="auto"/>
              <w:jc w:val="both"/>
              <w:rPr>
                <w:rFonts w:ascii="Arial" w:hAnsi="Arial" w:cs="Arial"/>
              </w:rPr>
            </w:pPr>
            <w:r w:rsidRPr="00F75065">
              <w:rPr>
                <w:rFonts w:ascii="Arial" w:hAnsi="Arial" w:cs="Arial"/>
              </w:rPr>
              <w:t>Year</w:t>
            </w:r>
          </w:p>
        </w:tc>
        <w:tc>
          <w:tcPr>
            <w:tcW w:w="0" w:type="auto"/>
            <w:hideMark/>
          </w:tcPr>
          <w:p w14:paraId="24D60B67" w14:textId="77777777" w:rsidR="00405732" w:rsidRPr="00F75065" w:rsidRDefault="0040573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Return on Equity (ROE %)</w:t>
            </w:r>
          </w:p>
        </w:tc>
        <w:tc>
          <w:tcPr>
            <w:tcW w:w="0" w:type="auto"/>
            <w:hideMark/>
          </w:tcPr>
          <w:p w14:paraId="4280232B" w14:textId="77777777" w:rsidR="00405732" w:rsidRPr="00F75065" w:rsidRDefault="0040573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Earnings Per Share (EPS £)</w:t>
            </w:r>
          </w:p>
        </w:tc>
      </w:tr>
      <w:tr w:rsidR="00405732" w:rsidRPr="00F75065" w14:paraId="044FF36C"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FD42D1" w14:textId="77777777" w:rsidR="00405732" w:rsidRPr="00F75065" w:rsidRDefault="00405732" w:rsidP="006446E2">
            <w:pPr>
              <w:spacing w:line="360" w:lineRule="auto"/>
              <w:jc w:val="both"/>
              <w:rPr>
                <w:rFonts w:ascii="Arial" w:hAnsi="Arial" w:cs="Arial"/>
              </w:rPr>
            </w:pPr>
            <w:r w:rsidRPr="00F75065">
              <w:rPr>
                <w:rFonts w:ascii="Arial" w:hAnsi="Arial" w:cs="Arial"/>
              </w:rPr>
              <w:t>2020</w:t>
            </w:r>
          </w:p>
        </w:tc>
        <w:tc>
          <w:tcPr>
            <w:tcW w:w="0" w:type="auto"/>
            <w:hideMark/>
          </w:tcPr>
          <w:p w14:paraId="20F92086"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12.31</w:t>
            </w:r>
          </w:p>
        </w:tc>
        <w:tc>
          <w:tcPr>
            <w:tcW w:w="0" w:type="auto"/>
            <w:hideMark/>
          </w:tcPr>
          <w:p w14:paraId="10616AEE"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2.78</w:t>
            </w:r>
          </w:p>
        </w:tc>
      </w:tr>
      <w:tr w:rsidR="00405732" w:rsidRPr="00F75065" w14:paraId="79FE6D92"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0A3A2A3D" w14:textId="77777777" w:rsidR="00405732" w:rsidRPr="00F75065" w:rsidRDefault="00405732" w:rsidP="006446E2">
            <w:pPr>
              <w:spacing w:line="360" w:lineRule="auto"/>
              <w:jc w:val="both"/>
              <w:rPr>
                <w:rFonts w:ascii="Arial" w:hAnsi="Arial" w:cs="Arial"/>
              </w:rPr>
            </w:pPr>
            <w:r w:rsidRPr="00F75065">
              <w:rPr>
                <w:rFonts w:ascii="Arial" w:hAnsi="Arial" w:cs="Arial"/>
              </w:rPr>
              <w:t>2021</w:t>
            </w:r>
          </w:p>
        </w:tc>
        <w:tc>
          <w:tcPr>
            <w:tcW w:w="0" w:type="auto"/>
            <w:hideMark/>
          </w:tcPr>
          <w:p w14:paraId="74731BE2"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1.80</w:t>
            </w:r>
          </w:p>
        </w:tc>
        <w:tc>
          <w:tcPr>
            <w:tcW w:w="0" w:type="auto"/>
            <w:hideMark/>
          </w:tcPr>
          <w:p w14:paraId="7F019001"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0.39</w:t>
            </w:r>
          </w:p>
        </w:tc>
      </w:tr>
      <w:tr w:rsidR="00405732" w:rsidRPr="00F75065" w14:paraId="239537E5"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BE79F1" w14:textId="77777777" w:rsidR="00405732" w:rsidRPr="00F75065" w:rsidRDefault="00405732" w:rsidP="006446E2">
            <w:pPr>
              <w:spacing w:line="360" w:lineRule="auto"/>
              <w:jc w:val="both"/>
              <w:rPr>
                <w:rFonts w:ascii="Arial" w:hAnsi="Arial" w:cs="Arial"/>
              </w:rPr>
            </w:pPr>
            <w:r w:rsidRPr="00F75065">
              <w:rPr>
                <w:rFonts w:ascii="Arial" w:hAnsi="Arial" w:cs="Arial"/>
              </w:rPr>
              <w:t>2022</w:t>
            </w:r>
          </w:p>
        </w:tc>
        <w:tc>
          <w:tcPr>
            <w:tcW w:w="0" w:type="auto"/>
            <w:hideMark/>
          </w:tcPr>
          <w:p w14:paraId="1658EECA"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0.15</w:t>
            </w:r>
          </w:p>
        </w:tc>
        <w:tc>
          <w:tcPr>
            <w:tcW w:w="0" w:type="auto"/>
            <w:hideMark/>
          </w:tcPr>
          <w:p w14:paraId="6CCD85DC"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0.03</w:t>
            </w:r>
          </w:p>
        </w:tc>
      </w:tr>
      <w:tr w:rsidR="00405732" w:rsidRPr="00F75065" w14:paraId="006BB329"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2E8E001E" w14:textId="77777777" w:rsidR="00405732" w:rsidRPr="00F75065" w:rsidRDefault="00405732" w:rsidP="006446E2">
            <w:pPr>
              <w:spacing w:line="360" w:lineRule="auto"/>
              <w:jc w:val="both"/>
              <w:rPr>
                <w:rFonts w:ascii="Arial" w:hAnsi="Arial" w:cs="Arial"/>
              </w:rPr>
            </w:pPr>
            <w:r w:rsidRPr="00F75065">
              <w:rPr>
                <w:rFonts w:ascii="Arial" w:hAnsi="Arial" w:cs="Arial"/>
              </w:rPr>
              <w:t>2023</w:t>
            </w:r>
          </w:p>
        </w:tc>
        <w:tc>
          <w:tcPr>
            <w:tcW w:w="0" w:type="auto"/>
            <w:hideMark/>
          </w:tcPr>
          <w:p w14:paraId="18A75405"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-43.95</w:t>
            </w:r>
          </w:p>
        </w:tc>
        <w:tc>
          <w:tcPr>
            <w:tcW w:w="0" w:type="auto"/>
            <w:hideMark/>
          </w:tcPr>
          <w:p w14:paraId="664F047A"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-7.64</w:t>
            </w:r>
          </w:p>
        </w:tc>
      </w:tr>
      <w:tr w:rsidR="00405732" w:rsidRPr="00F75065" w14:paraId="7A11C52F"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C4E285" w14:textId="77777777" w:rsidR="00405732" w:rsidRPr="00F75065" w:rsidRDefault="00405732" w:rsidP="006446E2">
            <w:pPr>
              <w:spacing w:line="360" w:lineRule="auto"/>
              <w:jc w:val="both"/>
              <w:rPr>
                <w:rFonts w:ascii="Arial" w:hAnsi="Arial" w:cs="Arial"/>
              </w:rPr>
            </w:pPr>
            <w:r w:rsidRPr="00F75065">
              <w:rPr>
                <w:rFonts w:ascii="Arial" w:hAnsi="Arial" w:cs="Arial"/>
              </w:rPr>
              <w:t>2024</w:t>
            </w:r>
          </w:p>
        </w:tc>
        <w:tc>
          <w:tcPr>
            <w:tcW w:w="0" w:type="auto"/>
            <w:hideMark/>
          </w:tcPr>
          <w:p w14:paraId="2232CBC1"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-14.47</w:t>
            </w:r>
          </w:p>
        </w:tc>
        <w:tc>
          <w:tcPr>
            <w:tcW w:w="0" w:type="auto"/>
            <w:hideMark/>
          </w:tcPr>
          <w:p w14:paraId="11BF7C57"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-1.85</w:t>
            </w:r>
          </w:p>
        </w:tc>
      </w:tr>
    </w:tbl>
    <w:p w14:paraId="16C68307" w14:textId="77777777" w:rsidR="00405732" w:rsidRDefault="00405732" w:rsidP="00405732">
      <w:pPr>
        <w:spacing w:line="360" w:lineRule="auto"/>
        <w:jc w:val="both"/>
        <w:rPr>
          <w:rFonts w:ascii="Arial" w:hAnsi="Arial" w:cs="Arial"/>
          <w:lang w:bidi="th-TH"/>
        </w:rPr>
      </w:pPr>
      <w:r>
        <w:rPr>
          <w:rFonts w:ascii="Arial" w:hAnsi="Arial" w:cs="Arial"/>
          <w:noProof/>
          <w:lang w:bidi="th-TH"/>
        </w:rPr>
        <w:drawing>
          <wp:inline distT="0" distB="0" distL="0" distR="0" wp14:anchorId="2E296F5C" wp14:editId="06A1F1C5">
            <wp:extent cx="3364188" cy="2657475"/>
            <wp:effectExtent l="0" t="0" r="8255" b="0"/>
            <wp:docPr id="13599424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69071" cy="2661332"/>
                    </a:xfrm>
                    <a:prstGeom prst="rect">
                      <a:avLst/>
                    </a:prstGeom>
                    <a:noFill/>
                  </pic:spPr>
                </pic:pic>
              </a:graphicData>
            </a:graphic>
          </wp:inline>
        </w:drawing>
      </w:r>
    </w:p>
    <w:p w14:paraId="589D6D32" w14:textId="77777777" w:rsidR="00405732" w:rsidRPr="00EC0CE6" w:rsidRDefault="00405732" w:rsidP="00405732">
      <w:pPr>
        <w:spacing w:line="360" w:lineRule="auto"/>
        <w:jc w:val="both"/>
        <w:rPr>
          <w:rFonts w:ascii="Arial" w:hAnsi="Arial" w:cs="Arial"/>
          <w:lang w:bidi="th-TH"/>
        </w:rPr>
      </w:pPr>
      <w:r w:rsidRPr="00405732">
        <w:rPr>
          <w:rFonts w:ascii="Arial" w:hAnsi="Arial" w:cs="Arial"/>
          <w:lang w:bidi="th-TH"/>
        </w:rPr>
        <w:t>Graph 5. Investment ratio</w:t>
      </w:r>
    </w:p>
    <w:p w14:paraId="2A730636" w14:textId="77777777" w:rsidR="00405732" w:rsidRPr="00E452F9" w:rsidRDefault="00405732" w:rsidP="00405732">
      <w:pPr>
        <w:spacing w:line="360" w:lineRule="auto"/>
        <w:jc w:val="both"/>
        <w:rPr>
          <w:rFonts w:ascii="Arial" w:hAnsi="Arial" w:cs="Arial"/>
          <w:lang w:bidi="th-TH"/>
        </w:rPr>
      </w:pPr>
      <w:r w:rsidRPr="00D85C6F">
        <w:rPr>
          <w:rFonts w:ascii="Arial" w:hAnsi="Arial" w:cs="Arial"/>
          <w:noProof/>
          <w:lang w:bidi="th-TH"/>
        </w:rPr>
        <w:drawing>
          <wp:inline distT="0" distB="0" distL="0" distR="0" wp14:anchorId="0DC4C1C6" wp14:editId="504A8D0A">
            <wp:extent cx="4582164" cy="3658111"/>
            <wp:effectExtent l="0" t="0" r="0" b="0"/>
            <wp:docPr id="787559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559832" name=""/>
                    <pic:cNvPicPr/>
                  </pic:nvPicPr>
                  <pic:blipFill>
                    <a:blip r:embed="rId14"/>
                    <a:stretch>
                      <a:fillRect/>
                    </a:stretch>
                  </pic:blipFill>
                  <pic:spPr>
                    <a:xfrm>
                      <a:off x="0" y="0"/>
                      <a:ext cx="4582164" cy="3658111"/>
                    </a:xfrm>
                    <a:prstGeom prst="rect">
                      <a:avLst/>
                    </a:prstGeom>
                  </pic:spPr>
                </pic:pic>
              </a:graphicData>
            </a:graphic>
          </wp:inline>
        </w:drawing>
      </w:r>
    </w:p>
    <w:p w14:paraId="19C20070" w14:textId="77777777" w:rsidR="00405732" w:rsidRDefault="00405732" w:rsidP="00405732">
      <w:pPr>
        <w:spacing w:line="360" w:lineRule="auto"/>
        <w:jc w:val="both"/>
        <w:rPr>
          <w:rFonts w:ascii="Arial" w:hAnsi="Arial" w:cs="Arial"/>
          <w:b/>
          <w:bCs/>
          <w:lang w:bidi="th-TH"/>
        </w:rPr>
      </w:pPr>
      <w:r w:rsidRPr="00E452F9">
        <w:rPr>
          <w:rFonts w:ascii="Arial" w:hAnsi="Arial" w:cs="Arial"/>
          <w:b/>
          <w:bCs/>
          <w:lang w:bidi="th-TH"/>
        </w:rPr>
        <w:lastRenderedPageBreak/>
        <w:t>6. Cash Flow Ratios</w:t>
      </w:r>
    </w:p>
    <w:tbl>
      <w:tblPr>
        <w:tblStyle w:val="PlainTable1"/>
        <w:tblW w:w="0" w:type="auto"/>
        <w:tblLook w:val="04A0" w:firstRow="1" w:lastRow="0" w:firstColumn="1" w:lastColumn="0" w:noHBand="0" w:noVBand="1"/>
      </w:tblPr>
      <w:tblGrid>
        <w:gridCol w:w="750"/>
        <w:gridCol w:w="3283"/>
        <w:gridCol w:w="2564"/>
      </w:tblGrid>
      <w:tr w:rsidR="00405732" w:rsidRPr="00F75065" w14:paraId="2B7BC574" w14:textId="77777777" w:rsidTr="006446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9792B8" w14:textId="77777777" w:rsidR="00405732" w:rsidRPr="00F75065" w:rsidRDefault="00405732" w:rsidP="006446E2">
            <w:pPr>
              <w:spacing w:line="360" w:lineRule="auto"/>
              <w:jc w:val="both"/>
              <w:rPr>
                <w:rFonts w:ascii="Arial" w:hAnsi="Arial" w:cs="Arial"/>
              </w:rPr>
            </w:pPr>
            <w:r w:rsidRPr="00F75065">
              <w:rPr>
                <w:rFonts w:ascii="Arial" w:hAnsi="Arial" w:cs="Arial"/>
              </w:rPr>
              <w:t>Year</w:t>
            </w:r>
          </w:p>
        </w:tc>
        <w:tc>
          <w:tcPr>
            <w:tcW w:w="0" w:type="auto"/>
            <w:hideMark/>
          </w:tcPr>
          <w:p w14:paraId="4BE46201" w14:textId="77777777" w:rsidR="00405732" w:rsidRPr="00F75065" w:rsidRDefault="0040573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Operating Cash Flow Ratio</w:t>
            </w:r>
          </w:p>
        </w:tc>
        <w:tc>
          <w:tcPr>
            <w:tcW w:w="0" w:type="auto"/>
            <w:hideMark/>
          </w:tcPr>
          <w:p w14:paraId="13908CF1" w14:textId="77777777" w:rsidR="00405732" w:rsidRPr="00F75065" w:rsidRDefault="0040573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Free Cash Flow (£m)</w:t>
            </w:r>
          </w:p>
        </w:tc>
      </w:tr>
      <w:tr w:rsidR="00405732" w:rsidRPr="00F75065" w14:paraId="201CA4DB"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52CD0E" w14:textId="77777777" w:rsidR="00405732" w:rsidRPr="00F75065" w:rsidRDefault="00405732" w:rsidP="006446E2">
            <w:pPr>
              <w:spacing w:line="360" w:lineRule="auto"/>
              <w:jc w:val="both"/>
              <w:rPr>
                <w:rFonts w:ascii="Arial" w:hAnsi="Arial" w:cs="Arial"/>
              </w:rPr>
            </w:pPr>
            <w:r w:rsidRPr="00F75065">
              <w:rPr>
                <w:rFonts w:ascii="Arial" w:hAnsi="Arial" w:cs="Arial"/>
              </w:rPr>
              <w:t>2020</w:t>
            </w:r>
          </w:p>
        </w:tc>
        <w:tc>
          <w:tcPr>
            <w:tcW w:w="0" w:type="auto"/>
            <w:hideMark/>
          </w:tcPr>
          <w:p w14:paraId="71916AB9"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0.41</w:t>
            </w:r>
          </w:p>
        </w:tc>
        <w:tc>
          <w:tcPr>
            <w:tcW w:w="0" w:type="auto"/>
            <w:hideMark/>
          </w:tcPr>
          <w:p w14:paraId="72B836D6"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50,158</w:t>
            </w:r>
          </w:p>
        </w:tc>
      </w:tr>
      <w:tr w:rsidR="00405732" w:rsidRPr="00F75065" w14:paraId="381A1EEF"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05ED3BCE" w14:textId="77777777" w:rsidR="00405732" w:rsidRPr="00F75065" w:rsidRDefault="00405732" w:rsidP="006446E2">
            <w:pPr>
              <w:spacing w:line="360" w:lineRule="auto"/>
              <w:jc w:val="both"/>
              <w:rPr>
                <w:rFonts w:ascii="Arial" w:hAnsi="Arial" w:cs="Arial"/>
              </w:rPr>
            </w:pPr>
            <w:r w:rsidRPr="00F75065">
              <w:rPr>
                <w:rFonts w:ascii="Arial" w:hAnsi="Arial" w:cs="Arial"/>
              </w:rPr>
              <w:t>2021</w:t>
            </w:r>
          </w:p>
        </w:tc>
        <w:tc>
          <w:tcPr>
            <w:tcW w:w="0" w:type="auto"/>
            <w:hideMark/>
          </w:tcPr>
          <w:p w14:paraId="791C03EE"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0.19</w:t>
            </w:r>
          </w:p>
        </w:tc>
        <w:tc>
          <w:tcPr>
            <w:tcW w:w="0" w:type="auto"/>
            <w:hideMark/>
          </w:tcPr>
          <w:p w14:paraId="42CFC735"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23,242</w:t>
            </w:r>
          </w:p>
        </w:tc>
      </w:tr>
      <w:tr w:rsidR="00405732" w:rsidRPr="00F75065" w14:paraId="09A745FD"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219921" w14:textId="77777777" w:rsidR="00405732" w:rsidRPr="00F75065" w:rsidRDefault="00405732" w:rsidP="006446E2">
            <w:pPr>
              <w:spacing w:line="360" w:lineRule="auto"/>
              <w:jc w:val="both"/>
              <w:rPr>
                <w:rFonts w:ascii="Arial" w:hAnsi="Arial" w:cs="Arial"/>
              </w:rPr>
            </w:pPr>
            <w:r w:rsidRPr="00F75065">
              <w:rPr>
                <w:rFonts w:ascii="Arial" w:hAnsi="Arial" w:cs="Arial"/>
              </w:rPr>
              <w:t>2022</w:t>
            </w:r>
          </w:p>
        </w:tc>
        <w:tc>
          <w:tcPr>
            <w:tcW w:w="0" w:type="auto"/>
            <w:hideMark/>
          </w:tcPr>
          <w:p w14:paraId="6CFC6CD0"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0.05</w:t>
            </w:r>
          </w:p>
        </w:tc>
        <w:tc>
          <w:tcPr>
            <w:tcW w:w="0" w:type="auto"/>
            <w:hideMark/>
          </w:tcPr>
          <w:p w14:paraId="2AE761FF"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-9,659</w:t>
            </w:r>
          </w:p>
        </w:tc>
      </w:tr>
      <w:tr w:rsidR="00405732" w:rsidRPr="00F75065" w14:paraId="17856446"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71349FEC" w14:textId="77777777" w:rsidR="00405732" w:rsidRPr="00F75065" w:rsidRDefault="00405732" w:rsidP="006446E2">
            <w:pPr>
              <w:spacing w:line="360" w:lineRule="auto"/>
              <w:jc w:val="both"/>
              <w:rPr>
                <w:rFonts w:ascii="Arial" w:hAnsi="Arial" w:cs="Arial"/>
              </w:rPr>
            </w:pPr>
            <w:r w:rsidRPr="00F75065">
              <w:rPr>
                <w:rFonts w:ascii="Arial" w:hAnsi="Arial" w:cs="Arial"/>
              </w:rPr>
              <w:t>2023</w:t>
            </w:r>
          </w:p>
        </w:tc>
        <w:tc>
          <w:tcPr>
            <w:tcW w:w="0" w:type="auto"/>
            <w:hideMark/>
          </w:tcPr>
          <w:p w14:paraId="0AE8169A"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0.16</w:t>
            </w:r>
          </w:p>
        </w:tc>
        <w:tc>
          <w:tcPr>
            <w:tcW w:w="0" w:type="auto"/>
            <w:hideMark/>
          </w:tcPr>
          <w:p w14:paraId="04B7BAC9" w14:textId="77777777" w:rsidR="00405732" w:rsidRPr="00F75065"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11,313</w:t>
            </w:r>
          </w:p>
        </w:tc>
      </w:tr>
      <w:tr w:rsidR="00405732" w:rsidRPr="00F75065" w14:paraId="232DAD18"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648E32" w14:textId="77777777" w:rsidR="00405732" w:rsidRPr="00F75065" w:rsidRDefault="00405732" w:rsidP="006446E2">
            <w:pPr>
              <w:spacing w:line="360" w:lineRule="auto"/>
              <w:jc w:val="both"/>
              <w:rPr>
                <w:rFonts w:ascii="Arial" w:hAnsi="Arial" w:cs="Arial"/>
              </w:rPr>
            </w:pPr>
            <w:r w:rsidRPr="00F75065">
              <w:rPr>
                <w:rFonts w:ascii="Arial" w:hAnsi="Arial" w:cs="Arial"/>
              </w:rPr>
              <w:t>2024</w:t>
            </w:r>
          </w:p>
        </w:tc>
        <w:tc>
          <w:tcPr>
            <w:tcW w:w="0" w:type="auto"/>
            <w:hideMark/>
          </w:tcPr>
          <w:p w14:paraId="73AFF9EA"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0.09</w:t>
            </w:r>
          </w:p>
        </w:tc>
        <w:tc>
          <w:tcPr>
            <w:tcW w:w="0" w:type="auto"/>
            <w:hideMark/>
          </w:tcPr>
          <w:p w14:paraId="4113799F" w14:textId="77777777" w:rsidR="00405732" w:rsidRPr="00F75065"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6,394</w:t>
            </w:r>
          </w:p>
        </w:tc>
      </w:tr>
    </w:tbl>
    <w:p w14:paraId="2A562D83" w14:textId="77777777" w:rsidR="00405732" w:rsidRPr="00352753" w:rsidRDefault="00405732" w:rsidP="00405732">
      <w:pPr>
        <w:spacing w:line="360" w:lineRule="auto"/>
        <w:jc w:val="both"/>
        <w:rPr>
          <w:rFonts w:ascii="Arial" w:hAnsi="Arial" w:cs="Arial"/>
          <w:highlight w:val="yellow"/>
          <w:lang w:bidi="th-TH"/>
        </w:rPr>
      </w:pPr>
      <w:r w:rsidRPr="00352753">
        <w:rPr>
          <w:rFonts w:ascii="Arial" w:hAnsi="Arial" w:cs="Arial"/>
          <w:noProof/>
          <w:highlight w:val="yellow"/>
          <w:lang w:bidi="th-TH"/>
        </w:rPr>
        <w:drawing>
          <wp:inline distT="0" distB="0" distL="0" distR="0" wp14:anchorId="571196BE" wp14:editId="58D0D642">
            <wp:extent cx="3629025" cy="2742868"/>
            <wp:effectExtent l="0" t="0" r="0" b="635"/>
            <wp:docPr id="27510179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35611" cy="2747846"/>
                    </a:xfrm>
                    <a:prstGeom prst="rect">
                      <a:avLst/>
                    </a:prstGeom>
                    <a:noFill/>
                  </pic:spPr>
                </pic:pic>
              </a:graphicData>
            </a:graphic>
          </wp:inline>
        </w:drawing>
      </w:r>
    </w:p>
    <w:p w14:paraId="471CD27B" w14:textId="77777777" w:rsidR="00405732" w:rsidRPr="00405732" w:rsidRDefault="00405732" w:rsidP="00405732">
      <w:pPr>
        <w:spacing w:line="360" w:lineRule="auto"/>
        <w:jc w:val="both"/>
        <w:rPr>
          <w:rFonts w:ascii="Arial" w:hAnsi="Arial" w:cs="Arial"/>
          <w:lang w:bidi="th-TH"/>
        </w:rPr>
      </w:pPr>
      <w:r w:rsidRPr="00405732">
        <w:rPr>
          <w:rFonts w:ascii="Arial" w:hAnsi="Arial" w:cs="Arial"/>
          <w:lang w:bidi="th-TH"/>
        </w:rPr>
        <w:t>Graph 6. Cash Flow ratio</w:t>
      </w:r>
    </w:p>
    <w:p w14:paraId="37C394FF" w14:textId="77777777" w:rsidR="00405732" w:rsidRPr="00CC742D" w:rsidRDefault="00405732" w:rsidP="00405732">
      <w:pPr>
        <w:spacing w:line="360" w:lineRule="auto"/>
        <w:jc w:val="both"/>
        <w:rPr>
          <w:rFonts w:ascii="Arial" w:hAnsi="Arial" w:cs="Arial"/>
          <w:lang w:bidi="th-TH"/>
        </w:rPr>
      </w:pPr>
      <w:r w:rsidRPr="00405732">
        <w:rPr>
          <w:rFonts w:ascii="Arial" w:hAnsi="Arial" w:cs="Arial"/>
          <w:lang w:bidi="th-TH"/>
        </w:rPr>
        <w:t xml:space="preserve">The cash flow ratios explore the way through which the firm can generate cash flow. Cash is important as compared to profit because the debt must be cleared using cash and not profit to invest and still operate on </w:t>
      </w:r>
      <w:proofErr w:type="gramStart"/>
      <w:r w:rsidRPr="00405732">
        <w:rPr>
          <w:rFonts w:ascii="Arial" w:hAnsi="Arial" w:cs="Arial"/>
          <w:lang w:bidi="th-TH"/>
        </w:rPr>
        <w:t>day to day</w:t>
      </w:r>
      <w:proofErr w:type="gramEnd"/>
      <w:r w:rsidRPr="00405732">
        <w:rPr>
          <w:rFonts w:ascii="Arial" w:hAnsi="Arial" w:cs="Arial"/>
          <w:lang w:bidi="th-TH"/>
        </w:rPr>
        <w:t xml:space="preserve"> basis (Wahyuni, 2021).</w:t>
      </w:r>
    </w:p>
    <w:p w14:paraId="6537CC15" w14:textId="77777777" w:rsidR="00405732" w:rsidRPr="00E452F9" w:rsidRDefault="00405732" w:rsidP="00405732">
      <w:pPr>
        <w:spacing w:line="360" w:lineRule="auto"/>
        <w:jc w:val="both"/>
        <w:rPr>
          <w:rFonts w:ascii="Arial" w:hAnsi="Arial" w:cs="Arial"/>
          <w:lang w:bidi="th-TH"/>
        </w:rPr>
      </w:pPr>
      <w:r w:rsidRPr="00D85C6F">
        <w:rPr>
          <w:rFonts w:ascii="Arial" w:hAnsi="Arial" w:cs="Arial"/>
          <w:noProof/>
          <w:lang w:bidi="th-TH"/>
        </w:rPr>
        <w:lastRenderedPageBreak/>
        <w:drawing>
          <wp:inline distT="0" distB="0" distL="0" distR="0" wp14:anchorId="5EB876A5" wp14:editId="65AC7B85">
            <wp:extent cx="4572638" cy="3591426"/>
            <wp:effectExtent l="0" t="0" r="0" b="9525"/>
            <wp:docPr id="1900841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841545" name=""/>
                    <pic:cNvPicPr/>
                  </pic:nvPicPr>
                  <pic:blipFill>
                    <a:blip r:embed="rId16"/>
                    <a:stretch>
                      <a:fillRect/>
                    </a:stretch>
                  </pic:blipFill>
                  <pic:spPr>
                    <a:xfrm>
                      <a:off x="0" y="0"/>
                      <a:ext cx="4572638" cy="3591426"/>
                    </a:xfrm>
                    <a:prstGeom prst="rect">
                      <a:avLst/>
                    </a:prstGeom>
                  </pic:spPr>
                </pic:pic>
              </a:graphicData>
            </a:graphic>
          </wp:inline>
        </w:drawing>
      </w:r>
    </w:p>
    <w:p w14:paraId="289D2C7A" w14:textId="77777777" w:rsidR="00405732" w:rsidRPr="00E452F9" w:rsidRDefault="00405732" w:rsidP="00405732">
      <w:pPr>
        <w:pStyle w:val="Heading2"/>
        <w:spacing w:line="360" w:lineRule="auto"/>
        <w:jc w:val="both"/>
        <w:rPr>
          <w:rFonts w:ascii="Arial" w:hAnsi="Arial" w:cs="Arial"/>
          <w:szCs w:val="24"/>
        </w:rPr>
      </w:pPr>
      <w:bookmarkStart w:id="4" w:name="_Toc213243593"/>
      <w:r w:rsidRPr="00E452F9">
        <w:rPr>
          <w:rFonts w:ascii="Arial" w:hAnsi="Arial" w:cs="Arial"/>
          <w:szCs w:val="24"/>
        </w:rPr>
        <w:t>2.3 Analysis of Financial Trends</w:t>
      </w:r>
      <w:bookmarkEnd w:id="4"/>
    </w:p>
    <w:p w14:paraId="30C01EE9" w14:textId="77777777" w:rsidR="00405732" w:rsidRDefault="00405732" w:rsidP="00405732">
      <w:pPr>
        <w:spacing w:line="360" w:lineRule="auto"/>
        <w:jc w:val="both"/>
        <w:rPr>
          <w:rFonts w:ascii="Arial" w:hAnsi="Arial" w:cs="Arial"/>
          <w:lang w:bidi="th-TH"/>
        </w:rPr>
      </w:pPr>
      <w:r w:rsidRPr="00E452F9">
        <w:rPr>
          <w:rFonts w:ascii="Arial" w:hAnsi="Arial" w:cs="Arial"/>
          <w:b/>
          <w:bCs/>
          <w:lang w:bidi="th-TH"/>
        </w:rPr>
        <w:t>Deterioration in Profitability:</w:t>
      </w:r>
      <w:r w:rsidRPr="00E452F9">
        <w:rPr>
          <w:rFonts w:ascii="Arial" w:hAnsi="Arial" w:cs="Arial"/>
          <w:lang w:bidi="th-TH"/>
        </w:rPr>
        <w:t xml:space="preserve"> </w:t>
      </w:r>
    </w:p>
    <w:p w14:paraId="556E9B46"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General Electric has suffered a devastating profitability. The gross profit margin was relatively stable, ranging between twenty-eight and twenty-nine percent in 2020 to 2022, and then considerably reduced to twenty-three percent in 2023 and returned to twenty-nine percent in 2024. Nonetheless, this regaining of the gross margin has not been translated to bottom-line profits (</w:t>
      </w:r>
      <w:proofErr w:type="spellStart"/>
      <w:r w:rsidRPr="00E452F9">
        <w:rPr>
          <w:rFonts w:ascii="Arial" w:hAnsi="Arial" w:cs="Arial"/>
          <w:lang w:bidi="th-TH"/>
        </w:rPr>
        <w:t>Hasidi</w:t>
      </w:r>
      <w:proofErr w:type="spellEnd"/>
      <w:r w:rsidRPr="00E452F9">
        <w:rPr>
          <w:rFonts w:ascii="Arial" w:hAnsi="Arial" w:cs="Arial"/>
          <w:lang w:bidi="th-TH"/>
        </w:rPr>
        <w:t xml:space="preserve">, </w:t>
      </w:r>
      <w:proofErr w:type="spellStart"/>
      <w:r w:rsidRPr="00E452F9">
        <w:rPr>
          <w:rFonts w:ascii="Arial" w:hAnsi="Arial" w:cs="Arial"/>
          <w:lang w:bidi="th-TH"/>
        </w:rPr>
        <w:t>Baheri</w:t>
      </w:r>
      <w:proofErr w:type="spellEnd"/>
      <w:r w:rsidRPr="00E452F9">
        <w:rPr>
          <w:rFonts w:ascii="Arial" w:hAnsi="Arial" w:cs="Arial"/>
          <w:lang w:bidi="th-TH"/>
        </w:rPr>
        <w:t xml:space="preserve"> and Hajar, 2024). After a good 6.28 percent net profit margin in 2020, the net profit margin turned to almost zero in 2022, and then dropped to negative twenty-three percent in 2023. Despite the improvement in 2024 which registered negative six percent in its losses, the company is unprofitable. This trend shows that its operations are facing serious operational challenges, other than cost of goods sold, especially in the management of operating expenses that increased to £182.9 million in 2023 (Carreras Simó and </w:t>
      </w:r>
      <w:proofErr w:type="spellStart"/>
      <w:r w:rsidRPr="00E452F9">
        <w:rPr>
          <w:rFonts w:ascii="Arial" w:hAnsi="Arial" w:cs="Arial"/>
          <w:lang w:bidi="th-TH"/>
        </w:rPr>
        <w:t>Coenders</w:t>
      </w:r>
      <w:proofErr w:type="spellEnd"/>
      <w:r w:rsidRPr="00E452F9">
        <w:rPr>
          <w:rFonts w:ascii="Arial" w:hAnsi="Arial" w:cs="Arial"/>
          <w:lang w:bidi="th-TH"/>
        </w:rPr>
        <w:t>, 2020).</w:t>
      </w:r>
    </w:p>
    <w:p w14:paraId="0F47A2FA" w14:textId="77777777" w:rsidR="00405732" w:rsidRDefault="00405732" w:rsidP="00405732">
      <w:pPr>
        <w:spacing w:line="360" w:lineRule="auto"/>
        <w:jc w:val="both"/>
        <w:rPr>
          <w:rFonts w:ascii="Arial" w:hAnsi="Arial" w:cs="Arial"/>
          <w:lang w:bidi="th-TH"/>
        </w:rPr>
      </w:pPr>
      <w:r w:rsidRPr="00E452F9">
        <w:rPr>
          <w:rFonts w:ascii="Arial" w:hAnsi="Arial" w:cs="Arial"/>
          <w:b/>
          <w:bCs/>
          <w:lang w:bidi="th-TH"/>
        </w:rPr>
        <w:t>Liquidity Concerns:</w:t>
      </w:r>
      <w:r w:rsidRPr="00E452F9">
        <w:rPr>
          <w:rFonts w:ascii="Arial" w:hAnsi="Arial" w:cs="Arial"/>
          <w:lang w:bidi="th-TH"/>
        </w:rPr>
        <w:t xml:space="preserve"> </w:t>
      </w:r>
    </w:p>
    <w:p w14:paraId="4A43FC6E"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 xml:space="preserve">Compared to 2020, the current ratio has dropped to 1.53 in 2024 with the current ratio declining below 1.0 but with a decreasing capacity to settle short-term debts. The quick ratio decreased to 1.03 in 2024 and has a worrying low point of 0.91 in 2022, which means that it can cause some difficulties in fulfilling the short-term liabilities without </w:t>
      </w:r>
      <w:r w:rsidRPr="00E452F9">
        <w:rPr>
          <w:rFonts w:ascii="Arial" w:hAnsi="Arial" w:cs="Arial"/>
          <w:lang w:bidi="th-TH"/>
        </w:rPr>
        <w:lastRenderedPageBreak/>
        <w:t>selling the inventory. The cash position of the company has been dwindled by sixty percent since 2022 to 2024 with a loss of 66.7 million to 26.8 million (</w:t>
      </w:r>
      <w:proofErr w:type="spellStart"/>
      <w:r w:rsidRPr="00E452F9">
        <w:rPr>
          <w:rFonts w:ascii="Arial" w:hAnsi="Arial" w:cs="Arial"/>
          <w:lang w:bidi="th-TH"/>
        </w:rPr>
        <w:t>Hasidi</w:t>
      </w:r>
      <w:proofErr w:type="spellEnd"/>
      <w:r w:rsidRPr="00E452F9">
        <w:rPr>
          <w:rFonts w:ascii="Arial" w:hAnsi="Arial" w:cs="Arial"/>
          <w:lang w:bidi="th-TH"/>
        </w:rPr>
        <w:t xml:space="preserve">, </w:t>
      </w:r>
      <w:proofErr w:type="spellStart"/>
      <w:r w:rsidRPr="00E452F9">
        <w:rPr>
          <w:rFonts w:ascii="Arial" w:hAnsi="Arial" w:cs="Arial"/>
          <w:lang w:bidi="th-TH"/>
        </w:rPr>
        <w:t>Baheri</w:t>
      </w:r>
      <w:proofErr w:type="spellEnd"/>
      <w:r w:rsidRPr="00E452F9">
        <w:rPr>
          <w:rFonts w:ascii="Arial" w:hAnsi="Arial" w:cs="Arial"/>
          <w:lang w:bidi="th-TH"/>
        </w:rPr>
        <w:t xml:space="preserve"> and Hajar, 2024). This cash drainage together with the growing dependence on lines of credit is an indicator of acute liquidity stress.</w:t>
      </w:r>
    </w:p>
    <w:p w14:paraId="2D37D6DD" w14:textId="77777777" w:rsidR="00405732" w:rsidRDefault="00405732" w:rsidP="00405732">
      <w:pPr>
        <w:spacing w:line="360" w:lineRule="auto"/>
        <w:jc w:val="both"/>
        <w:rPr>
          <w:rFonts w:ascii="Arial" w:hAnsi="Arial" w:cs="Arial"/>
          <w:lang w:bidi="th-TH"/>
        </w:rPr>
      </w:pPr>
      <w:r w:rsidRPr="00E452F9">
        <w:rPr>
          <w:rFonts w:ascii="Arial" w:hAnsi="Arial" w:cs="Arial"/>
          <w:b/>
          <w:bCs/>
          <w:lang w:bidi="th-TH"/>
        </w:rPr>
        <w:t>Operational Inefficiency:</w:t>
      </w:r>
      <w:r w:rsidRPr="00E452F9">
        <w:rPr>
          <w:rFonts w:ascii="Arial" w:hAnsi="Arial" w:cs="Arial"/>
          <w:lang w:bidi="th-TH"/>
        </w:rPr>
        <w:t xml:space="preserve"> </w:t>
      </w:r>
    </w:p>
    <w:p w14:paraId="523A9A06"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The receivables collection period has gotten out of control and is alarming worsening to 106 days in 2024, which shows credit control being weak as well as future receivables quality problems. This thirty eight percent escalation in the time taken to collect amounts to tied up working capital and bad debt risk. The first indicator that there is a problem with inventory management and a possible obsolescence is that the inventory turnover decreased in 2023 to 2.83 times, while compared to 2020, it was 3.64 times, however, it slightly improved in 2024 to 3.35 times (Wahyuni, 2021). The working capital is extremely stretched by a combination of the worsening receivables and inefficient inventory management.</w:t>
      </w:r>
    </w:p>
    <w:p w14:paraId="2D33CBCC" w14:textId="77777777" w:rsidR="00405732" w:rsidRPr="00806983" w:rsidRDefault="00405732" w:rsidP="00405732">
      <w:pPr>
        <w:spacing w:line="360" w:lineRule="auto"/>
        <w:jc w:val="both"/>
        <w:rPr>
          <w:rFonts w:ascii="Arial" w:hAnsi="Arial" w:cs="Arial"/>
          <w:b/>
          <w:bCs/>
          <w:lang w:bidi="th-TH"/>
        </w:rPr>
      </w:pPr>
      <w:r w:rsidRPr="00E452F9">
        <w:rPr>
          <w:rFonts w:ascii="Arial" w:hAnsi="Arial" w:cs="Arial"/>
          <w:b/>
          <w:bCs/>
          <w:lang w:bidi="th-TH"/>
        </w:rPr>
        <w:t xml:space="preserve">Growing Financial Risk: </w:t>
      </w:r>
    </w:p>
    <w:p w14:paraId="371E0F00"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The debt/equity ratio improved by a considerable margin, being 0.63 in 2020 and 1.11 in 2024, which means that more debt than equity is present at the company now, and financial risk greatly increases (Wahyuni, 2021). More importantly, interest coverage ratio has become negative in 2023 and 2024, that is, the company is not able to cover its interest payments using operating income. It is an extreme caution of possible default and puts the company in a very vulnerable position to creditor pressure and covenants breach.</w:t>
      </w:r>
    </w:p>
    <w:p w14:paraId="17324E31" w14:textId="77777777" w:rsidR="00405732" w:rsidRDefault="00405732" w:rsidP="00405732">
      <w:pPr>
        <w:spacing w:line="360" w:lineRule="auto"/>
        <w:jc w:val="both"/>
        <w:rPr>
          <w:rFonts w:ascii="Arial" w:hAnsi="Arial" w:cs="Arial"/>
          <w:lang w:bidi="th-TH"/>
        </w:rPr>
      </w:pPr>
      <w:r w:rsidRPr="00E452F9">
        <w:rPr>
          <w:rFonts w:ascii="Arial" w:hAnsi="Arial" w:cs="Arial"/>
          <w:b/>
          <w:bCs/>
          <w:lang w:bidi="th-TH"/>
        </w:rPr>
        <w:t>Investment Unattractiveness:</w:t>
      </w:r>
      <w:r w:rsidRPr="00E452F9">
        <w:rPr>
          <w:rFonts w:ascii="Arial" w:hAnsi="Arial" w:cs="Arial"/>
          <w:lang w:bidi="th-TH"/>
        </w:rPr>
        <w:t xml:space="preserve"> </w:t>
      </w:r>
    </w:p>
    <w:p w14:paraId="7FEE6372"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This ratio has been recorded to have decreased by 12.31 percent in 2020 to negative 14.47 percent in 2024, which indicates that shareholders have lost value. The trends of earnings per share also reacted the same way, decreasing to negative values (1.85) in 2024, after being at a negative value in 2021 (1.99). Those two indicators suggest that the company is demolishing the shareholder wealth and would not be able to attract new equity capital in the current circumstances.</w:t>
      </w:r>
    </w:p>
    <w:p w14:paraId="776A0EB6" w14:textId="77777777" w:rsidR="00405732" w:rsidRDefault="00405732" w:rsidP="00405732">
      <w:pPr>
        <w:spacing w:line="360" w:lineRule="auto"/>
        <w:jc w:val="both"/>
        <w:rPr>
          <w:rFonts w:ascii="Arial" w:hAnsi="Arial" w:cs="Arial"/>
          <w:lang w:bidi="th-TH"/>
        </w:rPr>
      </w:pPr>
      <w:r w:rsidRPr="00E452F9">
        <w:rPr>
          <w:rFonts w:ascii="Arial" w:hAnsi="Arial" w:cs="Arial"/>
          <w:b/>
          <w:bCs/>
          <w:lang w:bidi="th-TH"/>
        </w:rPr>
        <w:t>Cash Generation Weakness:</w:t>
      </w:r>
      <w:r w:rsidRPr="00E452F9">
        <w:rPr>
          <w:rFonts w:ascii="Arial" w:hAnsi="Arial" w:cs="Arial"/>
          <w:lang w:bidi="th-TH"/>
        </w:rPr>
        <w:t xml:space="preserve"> </w:t>
      </w:r>
    </w:p>
    <w:p w14:paraId="3AC35786"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 xml:space="preserve">The operating cash flow has decreased by eighty percent in 2024 compared to 2020, even though the company tried to maximize working capital by reducing inventories. The operating cash flow ratio declined in 2024 to 0.09 as compared with the 2020 figure of 0.41, suggesting the declining capacity of fulfilling current liabilities through </w:t>
      </w:r>
      <w:r w:rsidRPr="00E452F9">
        <w:rPr>
          <w:rFonts w:ascii="Arial" w:hAnsi="Arial" w:cs="Arial"/>
          <w:lang w:bidi="th-TH"/>
        </w:rPr>
        <w:lastRenderedPageBreak/>
        <w:t>its operations (Wahyuni, 2021). In 2022, it became negative at a value of -9.7 million pounds and then positive in 2024 at 6.4 million pounds, which is still considerably lower than the historic levels. This poor cash flow is a major limitation to the possibility of the company investing in growth or service debt.</w:t>
      </w:r>
    </w:p>
    <w:p w14:paraId="73018FCF" w14:textId="77777777" w:rsidR="00405732" w:rsidRPr="00E452F9" w:rsidRDefault="00405732" w:rsidP="00405732">
      <w:pPr>
        <w:pStyle w:val="Heading2"/>
        <w:spacing w:line="360" w:lineRule="auto"/>
        <w:jc w:val="both"/>
        <w:rPr>
          <w:rFonts w:ascii="Arial" w:hAnsi="Arial" w:cs="Arial"/>
          <w:szCs w:val="24"/>
        </w:rPr>
      </w:pPr>
      <w:bookmarkStart w:id="5" w:name="_Toc213243594"/>
      <w:r w:rsidRPr="00E452F9">
        <w:rPr>
          <w:rFonts w:ascii="Arial" w:hAnsi="Arial" w:cs="Arial"/>
          <w:szCs w:val="24"/>
        </w:rPr>
        <w:t>2.4 Corporate Failure Prediction: Altman Z-Score Analysis</w:t>
      </w:r>
      <w:bookmarkEnd w:id="5"/>
    </w:p>
    <w:p w14:paraId="1DF6FA21" w14:textId="77777777" w:rsidR="00405732" w:rsidRDefault="00405732" w:rsidP="00405732">
      <w:pPr>
        <w:spacing w:line="360" w:lineRule="auto"/>
        <w:jc w:val="both"/>
        <w:rPr>
          <w:rFonts w:ascii="Arial" w:hAnsi="Arial" w:cs="Arial"/>
          <w:lang w:bidi="th-TH"/>
        </w:rPr>
      </w:pPr>
      <w:r w:rsidRPr="00E452F9">
        <w:rPr>
          <w:rFonts w:ascii="Arial" w:hAnsi="Arial" w:cs="Arial"/>
          <w:lang w:bidi="th-TH"/>
        </w:rPr>
        <w:t xml:space="preserve">The Altman Z-Score is also a </w:t>
      </w:r>
      <w:proofErr w:type="spellStart"/>
      <w:proofErr w:type="gramStart"/>
      <w:r w:rsidRPr="00E452F9">
        <w:rPr>
          <w:rFonts w:ascii="Arial" w:hAnsi="Arial" w:cs="Arial"/>
          <w:lang w:bidi="th-TH"/>
        </w:rPr>
        <w:t>well known</w:t>
      </w:r>
      <w:proofErr w:type="spellEnd"/>
      <w:proofErr w:type="gramEnd"/>
      <w:r w:rsidRPr="00E452F9">
        <w:rPr>
          <w:rFonts w:ascii="Arial" w:hAnsi="Arial" w:cs="Arial"/>
          <w:lang w:bidi="th-TH"/>
        </w:rPr>
        <w:t xml:space="preserve"> model of forecasting the bankruptcy of the corporate especially in case of manufacturing companies such as General Electronics. The model is an amalgamation of five financial ratios with relative weightings to generate a score that is used to signify likelihood of financial distress (</w:t>
      </w:r>
      <w:proofErr w:type="spellStart"/>
      <w:r w:rsidRPr="00E452F9">
        <w:rPr>
          <w:rFonts w:ascii="Arial" w:hAnsi="Arial" w:cs="Arial"/>
          <w:lang w:bidi="th-TH"/>
        </w:rPr>
        <w:t>Rochmah</w:t>
      </w:r>
      <w:proofErr w:type="spellEnd"/>
      <w:r w:rsidRPr="00E452F9">
        <w:rPr>
          <w:rFonts w:ascii="Arial" w:hAnsi="Arial" w:cs="Arial"/>
          <w:lang w:bidi="th-TH"/>
        </w:rPr>
        <w:t xml:space="preserve"> Ika et al., 2020).</w:t>
      </w:r>
    </w:p>
    <w:p w14:paraId="31ABDBC1" w14:textId="77777777" w:rsidR="006A6F24" w:rsidRPr="00E452F9" w:rsidRDefault="006A6F24" w:rsidP="006A6F24">
      <w:pPr>
        <w:spacing w:line="360" w:lineRule="auto"/>
        <w:jc w:val="both"/>
        <w:rPr>
          <w:rFonts w:ascii="Arial" w:hAnsi="Arial" w:cs="Arial"/>
          <w:lang w:bidi="th-TH"/>
        </w:rPr>
      </w:pPr>
      <w:r w:rsidRPr="00E452F9">
        <w:rPr>
          <w:rFonts w:ascii="Arial" w:hAnsi="Arial" w:cs="Arial"/>
          <w:lang w:bidi="th-TH"/>
        </w:rPr>
        <w:t>Z = 1.2(X1) + 1.4(X2) + 3.3(X3) + 0.6(X4) + 1.0(X5)</w:t>
      </w:r>
    </w:p>
    <w:p w14:paraId="291A4E5C" w14:textId="77777777" w:rsidR="006A6F24" w:rsidRPr="00E452F9" w:rsidRDefault="006A6F24" w:rsidP="006A6F24">
      <w:pPr>
        <w:spacing w:line="360" w:lineRule="auto"/>
        <w:jc w:val="both"/>
        <w:rPr>
          <w:rFonts w:ascii="Arial" w:hAnsi="Arial" w:cs="Arial"/>
          <w:lang w:bidi="th-TH"/>
        </w:rPr>
      </w:pPr>
      <w:r w:rsidRPr="00E452F9">
        <w:rPr>
          <w:rFonts w:ascii="Arial" w:hAnsi="Arial" w:cs="Arial"/>
          <w:lang w:bidi="th-TH"/>
        </w:rPr>
        <w:t>Where:</w:t>
      </w:r>
    </w:p>
    <w:p w14:paraId="713CF1B1" w14:textId="77777777" w:rsidR="006A6F24" w:rsidRPr="00E452F9" w:rsidRDefault="006A6F24" w:rsidP="006A6F24">
      <w:pPr>
        <w:spacing w:line="360" w:lineRule="auto"/>
        <w:jc w:val="both"/>
        <w:rPr>
          <w:rFonts w:ascii="Arial" w:hAnsi="Arial" w:cs="Arial"/>
          <w:lang w:bidi="th-TH"/>
        </w:rPr>
      </w:pPr>
      <w:r w:rsidRPr="00E452F9">
        <w:rPr>
          <w:rFonts w:ascii="Arial" w:hAnsi="Arial" w:cs="Arial"/>
          <w:lang w:bidi="th-TH"/>
        </w:rPr>
        <w:t>X1 = Working Capital / Total Assets</w:t>
      </w:r>
    </w:p>
    <w:p w14:paraId="4A10FE13" w14:textId="77777777" w:rsidR="006A6F24" w:rsidRPr="00E452F9" w:rsidRDefault="006A6F24" w:rsidP="006A6F24">
      <w:pPr>
        <w:spacing w:line="360" w:lineRule="auto"/>
        <w:jc w:val="both"/>
        <w:rPr>
          <w:rFonts w:ascii="Arial" w:hAnsi="Arial" w:cs="Arial"/>
          <w:lang w:bidi="th-TH"/>
        </w:rPr>
      </w:pPr>
      <w:r w:rsidRPr="00E452F9">
        <w:rPr>
          <w:rFonts w:ascii="Arial" w:hAnsi="Arial" w:cs="Arial"/>
          <w:lang w:bidi="th-TH"/>
        </w:rPr>
        <w:t>X2 = Retained Earnings / Total Assets</w:t>
      </w:r>
    </w:p>
    <w:p w14:paraId="08EFF29A" w14:textId="77777777" w:rsidR="006A6F24" w:rsidRPr="00E452F9" w:rsidRDefault="006A6F24" w:rsidP="006A6F24">
      <w:pPr>
        <w:spacing w:line="360" w:lineRule="auto"/>
        <w:jc w:val="both"/>
        <w:rPr>
          <w:rFonts w:ascii="Arial" w:hAnsi="Arial" w:cs="Arial"/>
          <w:lang w:bidi="th-TH"/>
        </w:rPr>
      </w:pPr>
      <w:r w:rsidRPr="00E452F9">
        <w:rPr>
          <w:rFonts w:ascii="Arial" w:hAnsi="Arial" w:cs="Arial"/>
          <w:lang w:bidi="th-TH"/>
        </w:rPr>
        <w:t>X3 = EBIT / Total Assets</w:t>
      </w:r>
    </w:p>
    <w:p w14:paraId="783AAD4C" w14:textId="77777777" w:rsidR="006A6F24" w:rsidRPr="00E452F9" w:rsidRDefault="006A6F24" w:rsidP="006A6F24">
      <w:pPr>
        <w:spacing w:line="360" w:lineRule="auto"/>
        <w:jc w:val="both"/>
        <w:rPr>
          <w:rFonts w:ascii="Arial" w:hAnsi="Arial" w:cs="Arial"/>
          <w:lang w:bidi="th-TH"/>
        </w:rPr>
      </w:pPr>
      <w:r w:rsidRPr="00E452F9">
        <w:rPr>
          <w:rFonts w:ascii="Arial" w:hAnsi="Arial" w:cs="Arial"/>
          <w:lang w:bidi="th-TH"/>
        </w:rPr>
        <w:t>X4 = Market Value of Equity / Total Liabilities</w:t>
      </w:r>
    </w:p>
    <w:p w14:paraId="59EE9A8C" w14:textId="7E173504" w:rsidR="006A6F24" w:rsidRPr="00E452F9" w:rsidRDefault="006A6F24" w:rsidP="006A6F24">
      <w:pPr>
        <w:spacing w:line="360" w:lineRule="auto"/>
        <w:jc w:val="both"/>
        <w:rPr>
          <w:rFonts w:ascii="Arial" w:hAnsi="Arial" w:cs="Arial"/>
          <w:lang w:bidi="th-TH"/>
        </w:rPr>
      </w:pPr>
      <w:r w:rsidRPr="00E452F9">
        <w:rPr>
          <w:rFonts w:ascii="Arial" w:hAnsi="Arial" w:cs="Arial"/>
          <w:lang w:bidi="th-TH"/>
        </w:rPr>
        <w:t>X5 = Sales / Total Assets</w:t>
      </w:r>
    </w:p>
    <w:p w14:paraId="26E67644" w14:textId="77777777" w:rsidR="00405732" w:rsidRDefault="00405732" w:rsidP="00405732">
      <w:pPr>
        <w:spacing w:line="360" w:lineRule="auto"/>
        <w:jc w:val="both"/>
        <w:rPr>
          <w:rFonts w:ascii="Arial" w:hAnsi="Arial" w:cs="Arial"/>
          <w:highlight w:val="yellow"/>
          <w:lang w:bidi="th-TH"/>
        </w:rPr>
      </w:pPr>
      <w:r w:rsidRPr="00FC2BDF">
        <w:rPr>
          <w:rFonts w:ascii="Arial" w:hAnsi="Arial" w:cs="Arial"/>
          <w:noProof/>
          <w:lang w:bidi="th-TH"/>
        </w:rPr>
        <w:drawing>
          <wp:inline distT="0" distB="0" distL="0" distR="0" wp14:anchorId="250B8685" wp14:editId="463450B1">
            <wp:extent cx="4982270" cy="2629267"/>
            <wp:effectExtent l="0" t="0" r="8890" b="0"/>
            <wp:docPr id="1207855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855935" name=""/>
                    <pic:cNvPicPr/>
                  </pic:nvPicPr>
                  <pic:blipFill>
                    <a:blip r:embed="rId17"/>
                    <a:stretch>
                      <a:fillRect/>
                    </a:stretch>
                  </pic:blipFill>
                  <pic:spPr>
                    <a:xfrm>
                      <a:off x="0" y="0"/>
                      <a:ext cx="4982270" cy="2629267"/>
                    </a:xfrm>
                    <a:prstGeom prst="rect">
                      <a:avLst/>
                    </a:prstGeom>
                  </pic:spPr>
                </pic:pic>
              </a:graphicData>
            </a:graphic>
          </wp:inline>
        </w:drawing>
      </w:r>
    </w:p>
    <w:p w14:paraId="7253E3F8" w14:textId="77777777" w:rsidR="00405732" w:rsidRPr="00E452F9" w:rsidRDefault="00405732" w:rsidP="00405732">
      <w:pPr>
        <w:spacing w:line="360" w:lineRule="auto"/>
        <w:jc w:val="both"/>
        <w:rPr>
          <w:rFonts w:ascii="Arial" w:hAnsi="Arial" w:cs="Arial"/>
          <w:lang w:bidi="th-TH"/>
        </w:rPr>
      </w:pPr>
      <w:r w:rsidRPr="00405732">
        <w:rPr>
          <w:rFonts w:ascii="Arial" w:hAnsi="Arial" w:cs="Arial"/>
          <w:lang w:bidi="th-TH"/>
        </w:rPr>
        <w:t>Table 2. Altman Z-Score Analysis</w:t>
      </w:r>
    </w:p>
    <w:p w14:paraId="175D960F"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 xml:space="preserve">The financial health of General Electronics has been deteriorating dramatically within the five years using the Altman Z-Score. The company continued to have a healthy Z-Score of 3.64 in the year 2020, which places it squarely in the safe zone with minimal </w:t>
      </w:r>
      <w:r w:rsidRPr="00E452F9">
        <w:rPr>
          <w:rFonts w:ascii="Arial" w:hAnsi="Arial" w:cs="Arial"/>
          <w:lang w:bidi="th-TH"/>
        </w:rPr>
        <w:lastRenderedPageBreak/>
        <w:t>risk of bankruptcy. This was indicative of high profitability (EBIT margin of 7.3), good retained earnings and good equity-to-debt ratio of 1.59 (</w:t>
      </w:r>
      <w:proofErr w:type="spellStart"/>
      <w:r w:rsidRPr="00E452F9">
        <w:rPr>
          <w:rFonts w:ascii="Arial" w:hAnsi="Arial" w:cs="Arial"/>
          <w:lang w:bidi="th-TH"/>
        </w:rPr>
        <w:t>Rochmah</w:t>
      </w:r>
      <w:proofErr w:type="spellEnd"/>
      <w:r w:rsidRPr="00E452F9">
        <w:rPr>
          <w:rFonts w:ascii="Arial" w:hAnsi="Arial" w:cs="Arial"/>
          <w:lang w:bidi="th-TH"/>
        </w:rPr>
        <w:t xml:space="preserve"> Ika et al., 2020).</w:t>
      </w:r>
    </w:p>
    <w:p w14:paraId="7C5285C0"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It started to decline in 2021 when it dropped to 3.23, then 3.06 in 2021 and 2022 respectively, both of which were only above the critical safety zone of 2.99. This slow decline was associated with decreasing operational profitability and rising financial leverage. In 2022, the company entered the grey zone, an indicator of the developing financial distress. Things reached a new level in 2023 when the Z-Score has dropped to 2.24, in the deep grey zone (Rahman, 2022). The cause of this disastrous fall was mainly due to huge losses in the operations (EBIT of negative 85.3 million) which added a negative 0.792 to the total score. The profitability factor (X3) of the company fell out of negative 0.792 in 2023 to positive 0.241 in 2020, and it is the only factor that influenced the deterioration of the Z-Score the most dramatically.</w:t>
      </w:r>
    </w:p>
    <w:p w14:paraId="04E221D2"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The 2024 score of 2.82 indicates a slight improvement but still squarely in the grey zone which suggests a moderate-high probability of bankruptcy. Although the operational losses decreased by a large margin, the company is still unprofitable with negative EBIT still pulling the score. The better working capital management and less loss than operational recovery itself is reflected in the improvement (Rahman, 2022).</w:t>
      </w:r>
    </w:p>
    <w:p w14:paraId="72382D8F" w14:textId="77777777" w:rsidR="00405732" w:rsidRPr="00E452F9" w:rsidRDefault="00405732" w:rsidP="00405732">
      <w:pPr>
        <w:pStyle w:val="Heading1"/>
        <w:spacing w:line="360" w:lineRule="auto"/>
        <w:jc w:val="both"/>
        <w:rPr>
          <w:rFonts w:ascii="Arial" w:hAnsi="Arial" w:cs="Arial"/>
          <w:szCs w:val="24"/>
        </w:rPr>
      </w:pPr>
      <w:bookmarkStart w:id="6" w:name="_Toc213243595"/>
      <w:r w:rsidRPr="00E452F9">
        <w:rPr>
          <w:rFonts w:ascii="Arial" w:hAnsi="Arial" w:cs="Arial"/>
          <w:szCs w:val="24"/>
        </w:rPr>
        <w:t>3. Working Capital Management Analysis</w:t>
      </w:r>
      <w:bookmarkEnd w:id="6"/>
    </w:p>
    <w:p w14:paraId="7038B098" w14:textId="77777777" w:rsidR="00405732" w:rsidRPr="00E452F9" w:rsidRDefault="00405732" w:rsidP="00405732">
      <w:pPr>
        <w:pStyle w:val="Heading2"/>
        <w:spacing w:line="360" w:lineRule="auto"/>
        <w:jc w:val="both"/>
        <w:rPr>
          <w:rFonts w:ascii="Arial" w:hAnsi="Arial" w:cs="Arial"/>
          <w:szCs w:val="24"/>
        </w:rPr>
      </w:pPr>
      <w:bookmarkStart w:id="7" w:name="_Toc213243596"/>
      <w:r w:rsidRPr="00E452F9">
        <w:rPr>
          <w:rFonts w:ascii="Arial" w:hAnsi="Arial" w:cs="Arial"/>
          <w:szCs w:val="24"/>
        </w:rPr>
        <w:t>3.1 Cash Operating Cycle Assessment</w:t>
      </w:r>
      <w:bookmarkEnd w:id="7"/>
    </w:p>
    <w:p w14:paraId="49DBBBEB"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Formula Components:</w:t>
      </w:r>
    </w:p>
    <w:p w14:paraId="0DC4F43A"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Inventory Days = (Inventory / Cost of Sales) × 365 Receivables Days = (Accounts Receivable / Sales) × 365</w:t>
      </w:r>
      <w:r w:rsidRPr="00E452F9">
        <w:rPr>
          <w:rFonts w:ascii="Arial" w:hAnsi="Arial" w:cs="Arial"/>
          <w:lang w:bidi="th-TH"/>
        </w:rPr>
        <w:br/>
        <w:t>Payables Days = (Accounts Payable / Cost of Sales) × 365 Cash Operating Cycle = Inventory Days + Receivables Days - Payables Days</w:t>
      </w:r>
    </w:p>
    <w:p w14:paraId="57D9FDFB" w14:textId="77777777" w:rsidR="00405732" w:rsidRPr="00E452F9" w:rsidRDefault="00405732" w:rsidP="00405732">
      <w:pPr>
        <w:spacing w:line="360" w:lineRule="auto"/>
        <w:jc w:val="both"/>
        <w:rPr>
          <w:rFonts w:ascii="Arial" w:hAnsi="Arial" w:cs="Arial"/>
          <w:b/>
          <w:bCs/>
          <w:lang w:bidi="th-TH"/>
        </w:rPr>
      </w:pPr>
      <w:r w:rsidRPr="00E452F9">
        <w:rPr>
          <w:rFonts w:ascii="Arial" w:hAnsi="Arial" w:cs="Arial"/>
          <w:b/>
          <w:bCs/>
          <w:lang w:bidi="th-TH"/>
        </w:rPr>
        <w:t>Calculations:</w:t>
      </w:r>
    </w:p>
    <w:p w14:paraId="60F166C4" w14:textId="77777777" w:rsidR="00405732" w:rsidRPr="00E452F9" w:rsidRDefault="00405732" w:rsidP="00405732">
      <w:pPr>
        <w:spacing w:line="360" w:lineRule="auto"/>
        <w:jc w:val="both"/>
        <w:rPr>
          <w:rFonts w:ascii="Arial" w:hAnsi="Arial" w:cs="Arial"/>
          <w:lang w:bidi="th-TH"/>
        </w:rPr>
      </w:pPr>
      <w:r w:rsidRPr="000339A0">
        <w:rPr>
          <w:rFonts w:ascii="Arial" w:hAnsi="Arial" w:cs="Arial"/>
          <w:noProof/>
          <w:lang w:bidi="th-TH"/>
        </w:rPr>
        <w:lastRenderedPageBreak/>
        <w:drawing>
          <wp:inline distT="0" distB="0" distL="0" distR="0" wp14:anchorId="60086EDD" wp14:editId="3E9208F3">
            <wp:extent cx="3153215" cy="3877216"/>
            <wp:effectExtent l="0" t="0" r="9525" b="9525"/>
            <wp:docPr id="471424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424963" name=""/>
                    <pic:cNvPicPr/>
                  </pic:nvPicPr>
                  <pic:blipFill>
                    <a:blip r:embed="rId18"/>
                    <a:stretch>
                      <a:fillRect/>
                    </a:stretch>
                  </pic:blipFill>
                  <pic:spPr>
                    <a:xfrm>
                      <a:off x="0" y="0"/>
                      <a:ext cx="3153215" cy="3877216"/>
                    </a:xfrm>
                    <a:prstGeom prst="rect">
                      <a:avLst/>
                    </a:prstGeom>
                  </pic:spPr>
                </pic:pic>
              </a:graphicData>
            </a:graphic>
          </wp:inline>
        </w:drawing>
      </w:r>
    </w:p>
    <w:p w14:paraId="28004C37" w14:textId="77777777" w:rsidR="00405732" w:rsidRPr="00E452F9" w:rsidRDefault="00405732" w:rsidP="00405732">
      <w:pPr>
        <w:pStyle w:val="Heading2"/>
        <w:spacing w:line="360" w:lineRule="auto"/>
        <w:jc w:val="both"/>
        <w:rPr>
          <w:rFonts w:ascii="Arial" w:hAnsi="Arial" w:cs="Arial"/>
          <w:szCs w:val="24"/>
        </w:rPr>
      </w:pPr>
      <w:bookmarkStart w:id="8" w:name="_Toc213243597"/>
      <w:r w:rsidRPr="00E452F9">
        <w:rPr>
          <w:rFonts w:ascii="Arial" w:hAnsi="Arial" w:cs="Arial"/>
          <w:szCs w:val="24"/>
        </w:rPr>
        <w:t>3.2 Working Capital Trends and Issues</w:t>
      </w:r>
      <w:bookmarkEnd w:id="8"/>
    </w:p>
    <w:p w14:paraId="2E7899BF"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 xml:space="preserve">The cash operating cycle analysis demonstrates that there is a high working capital inefficiency that has been experienced over </w:t>
      </w:r>
      <w:r>
        <w:rPr>
          <w:rFonts w:ascii="Arial" w:hAnsi="Arial" w:cs="Arial"/>
          <w:lang w:bidi="th-TH"/>
        </w:rPr>
        <w:t>the five years</w:t>
      </w:r>
      <w:r w:rsidRPr="00E452F9">
        <w:rPr>
          <w:rFonts w:ascii="Arial" w:hAnsi="Arial" w:cs="Arial"/>
          <w:lang w:bidi="th-TH"/>
        </w:rPr>
        <w:t>. It increased the cycle to 108 days in 2020 to peak at 140 days in 2022 and then reducing to 115 days in 2024. Nevertheless, this enhancement transfers underlying challenges, which are still putting liquidity under pressure. The worst of all is the extreme worsening in the collection of receivables (Wang, Akbar and Akbar, 2020). The number of days of collection went up to 106 days on 2024, the number of days of collection increased by thirty-eight percent, which was a setback. This extension would commit the company to an extra working capital of about 11.8 million in other words than to remain at the 2020 efficiency of collection. The decelerating collections may indicate lax credit conditions to spur declining sales, worsening credit quality among its customers, or may reflect a weakness in its collection procedures. As the company is losing its market share, the customers might be withholding payments because of defects in quality or in relationship issues (Wang, Akbar and Akbar, 2020).</w:t>
      </w:r>
    </w:p>
    <w:p w14:paraId="63AEFDF7"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 xml:space="preserve">There are positive and negative indicators on inventory management. The highest inventory days were 131 days in 2022, which means that there is a high overstock or obsolescence problem. The increase to 103 days in 2024 is an enhancement of </w:t>
      </w:r>
      <w:r w:rsidRPr="00E452F9">
        <w:rPr>
          <w:rFonts w:ascii="Arial" w:hAnsi="Arial" w:cs="Arial"/>
          <w:lang w:bidi="th-TH"/>
        </w:rPr>
        <w:lastRenderedPageBreak/>
        <w:t>inventory control which was in part done through aggressive destocking that earned the company £51.5 million cash in 2023. Still, the inventory turnover of 3.35 times is lower than the 3.64 times of 2020, which means that the company still has surplus or slow-moving inventory. Payables management discloses harsh strategies of payment to suppliers that could ruin supplier relationships (Asman et al., 2022). The payables days increased to 94 days in 2024 as compared to the 69 days payables days in 2020, which practically utilizes the suppliers as a funding source. Although it is a temporary solution to the cash conversion cycle, the strategy can lead to worsening the relationships with suppliers, possible supply delays, and the loss of early payment discounts. The fact that it is increased by almost 64 days in 2023 to 94 days in 2024 shows that the company is lengthening the payables because of liquidity pressure and not strategic decision (Asman et al., 2022).</w:t>
      </w:r>
    </w:p>
    <w:p w14:paraId="4B51D4CE" w14:textId="77777777" w:rsidR="00405732" w:rsidRPr="00E452F9" w:rsidRDefault="00405732" w:rsidP="00405732">
      <w:pPr>
        <w:pStyle w:val="Heading2"/>
        <w:spacing w:line="360" w:lineRule="auto"/>
        <w:jc w:val="both"/>
        <w:rPr>
          <w:rFonts w:ascii="Arial" w:hAnsi="Arial" w:cs="Arial"/>
          <w:szCs w:val="24"/>
        </w:rPr>
      </w:pPr>
      <w:bookmarkStart w:id="9" w:name="_Toc213243598"/>
      <w:r w:rsidRPr="00E452F9">
        <w:rPr>
          <w:rFonts w:ascii="Arial" w:hAnsi="Arial" w:cs="Arial"/>
          <w:szCs w:val="24"/>
        </w:rPr>
        <w:t>3.3 Liquidity Improvement Strategies</w:t>
      </w:r>
      <w:bookmarkEnd w:id="9"/>
    </w:p>
    <w:p w14:paraId="1D5DC824"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Accelerating Receivables Collection:</w:t>
      </w:r>
      <w:r w:rsidRPr="00E452F9">
        <w:rPr>
          <w:rFonts w:ascii="Arial" w:hAnsi="Arial" w:cs="Arial"/>
          <w:lang w:bidi="th-TH"/>
        </w:rPr>
        <w:t xml:space="preserve"> To lower the number of collection days, General Electronics should adopt a vigorous programme of receivables management that will lower the 106 collection days to 85 days and this will free up about 21.3 million in working capital (Effiong and Enya, 2020). This must involve tightening of credit policy by tightening credit approval policies, offering of early payment discounts of two percent on payment within a period of ten days, specific account collection teams which handle accounts above sixty days and automatic reminder. Factoring or invoice discounts on the current accounts that are slow moving should be considered by the company but this is at a cost.</w:t>
      </w:r>
    </w:p>
    <w:p w14:paraId="31D3D6BC"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Inventory Optimization:</w:t>
      </w:r>
      <w:r w:rsidRPr="00E452F9">
        <w:rPr>
          <w:rFonts w:ascii="Arial" w:hAnsi="Arial" w:cs="Arial"/>
          <w:lang w:bidi="th-TH"/>
        </w:rPr>
        <w:t xml:space="preserve"> Another area of inventory optimization would be to decrease inventory further to 90 days without further harm to the service levels by 103 days. This involves adopting just-in-time procurement where possible, vendor-managed inventory where possible, enhanced demand forecasting through a modern analytics solution and intensive clearance of obsolete inventory even at discounted prices (Effiong and Enya, 2020).</w:t>
      </w:r>
    </w:p>
    <w:p w14:paraId="26E1B2FB"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Strategic Supplier Management:</w:t>
      </w:r>
      <w:r w:rsidRPr="00E452F9">
        <w:rPr>
          <w:rFonts w:ascii="Arial" w:hAnsi="Arial" w:cs="Arial"/>
          <w:lang w:bidi="th-TH"/>
        </w:rPr>
        <w:t xml:space="preserve"> General Electronics should negotiate win-win extended terms instead of going on with its aggressive extension of the payables. The supply agreements with volume commitments might ensure the terms of sixty to seventy-five days without relationship damage (</w:t>
      </w:r>
      <w:proofErr w:type="spellStart"/>
      <w:r w:rsidRPr="00E452F9">
        <w:rPr>
          <w:rFonts w:ascii="Arial" w:hAnsi="Arial" w:cs="Arial"/>
          <w:lang w:bidi="th-TH"/>
        </w:rPr>
        <w:t>Alalade</w:t>
      </w:r>
      <w:proofErr w:type="spellEnd"/>
      <w:r w:rsidRPr="00E452F9">
        <w:rPr>
          <w:rFonts w:ascii="Arial" w:hAnsi="Arial" w:cs="Arial"/>
          <w:lang w:bidi="th-TH"/>
        </w:rPr>
        <w:t>, 2024).</w:t>
      </w:r>
    </w:p>
    <w:p w14:paraId="3B9C0201" w14:textId="77777777" w:rsidR="00405732" w:rsidRPr="00E452F9" w:rsidRDefault="00405732" w:rsidP="00405732">
      <w:pPr>
        <w:pStyle w:val="Heading2"/>
        <w:spacing w:line="360" w:lineRule="auto"/>
        <w:jc w:val="both"/>
        <w:rPr>
          <w:rFonts w:ascii="Arial" w:hAnsi="Arial" w:cs="Arial"/>
          <w:szCs w:val="24"/>
        </w:rPr>
      </w:pPr>
      <w:bookmarkStart w:id="10" w:name="_Toc213243599"/>
      <w:r w:rsidRPr="00E452F9">
        <w:rPr>
          <w:rFonts w:ascii="Arial" w:hAnsi="Arial" w:cs="Arial"/>
          <w:szCs w:val="24"/>
        </w:rPr>
        <w:lastRenderedPageBreak/>
        <w:t>3.4 Short-term versus Long-term Financing</w:t>
      </w:r>
      <w:bookmarkEnd w:id="10"/>
    </w:p>
    <w:p w14:paraId="6B05AA64"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Recent Financing Standing: In 2024, the General Electric has obtained short-term lines of credit of up to £37.0 million, a decrease compared to 2022 when the amount obtained was 88.0 million. This is a short-term debt that needs to be renewed consistently and it exposes the business to refinancing risk and fluctuation of interest rates (Mustafina et al., 2020). The company is also not heavily indebted on a long-term basis as there is an operating lease obligation of only 9.2 million and other long-term liabilities of insignificance.</w:t>
      </w:r>
    </w:p>
    <w:p w14:paraId="5366A9D9"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Advantages and Disadvantages of Short-term Financing:</w:t>
      </w:r>
      <w:r w:rsidRPr="00E452F9">
        <w:rPr>
          <w:rFonts w:ascii="Arial" w:hAnsi="Arial" w:cs="Arial"/>
          <w:lang w:bidi="th-TH"/>
        </w:rPr>
        <w:t xml:space="preserve"> Short-term financing is very flexible and usually the interest rates are lower than on long-term debt. It enables the company to align the working capital based on the seasons with the financing period. Nevertheless, the drawbacks are awful to a company that is in financial distress. The level of refinancing risk is quite high because the lenders will not renew it or may give punitive conditions (Wagner and Walstad, 2018). Exposure to interest rates is high and rates may go up by a great extent. Current liabilities consist of short-term debt, which negatively affects liquidity ratios and may cause the occurrence of covenant violations. Most importantly, the short-term financing and long-term asset mismatch causes chronic pressures on refinancing.</w:t>
      </w:r>
    </w:p>
    <w:p w14:paraId="248EDCD9"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Financing Structure recommendation:</w:t>
      </w:r>
      <w:r w:rsidRPr="00E452F9">
        <w:rPr>
          <w:rFonts w:ascii="Arial" w:hAnsi="Arial" w:cs="Arial"/>
          <w:lang w:bidi="th-TH"/>
        </w:rPr>
        <w:t xml:space="preserve"> General Electronics should seek to take a balanced financing approach which changes the short-term (i.e. 30 days) lines of credit amounting to UK 20 million into </w:t>
      </w:r>
      <w:proofErr w:type="gramStart"/>
      <w:r w:rsidRPr="00E452F9">
        <w:rPr>
          <w:rFonts w:ascii="Arial" w:hAnsi="Arial" w:cs="Arial"/>
          <w:lang w:bidi="th-TH"/>
        </w:rPr>
        <w:t>3 to 5 year</w:t>
      </w:r>
      <w:proofErr w:type="gramEnd"/>
      <w:r w:rsidRPr="00E452F9">
        <w:rPr>
          <w:rFonts w:ascii="Arial" w:hAnsi="Arial" w:cs="Arial"/>
          <w:lang w:bidi="th-TH"/>
        </w:rPr>
        <w:t xml:space="preserve"> term loans. This would decrease the current liabilities by twelve six percent and the current ratio would be enhanced by 1.53 to 1.73 and the operation would have the breathing room to restructure its operations (Ahmad, 2020). The enterprise ought to come up with a dedicated revolving credit line of 30 million pounds are real working capital variations so that they can have access to liquidity without the constant uncertainty of renewing. As a permanent working capital requirement of about 15 million, which is higher than the historical requirement, the company ought to consider the asset</w:t>
      </w:r>
      <w:r>
        <w:rPr>
          <w:rFonts w:ascii="Arial" w:hAnsi="Arial" w:cs="Arial"/>
          <w:lang w:bidi="th-TH"/>
        </w:rPr>
        <w:t>-</w:t>
      </w:r>
      <w:r w:rsidRPr="00E452F9">
        <w:rPr>
          <w:rFonts w:ascii="Arial" w:hAnsi="Arial" w:cs="Arial"/>
          <w:lang w:bidi="th-TH"/>
        </w:rPr>
        <w:t>based lending on the terms of receivables and inventory, a move that provides the company with stability and flexibility (Ahmad, 2020).</w:t>
      </w:r>
      <w:r w:rsidRPr="00E452F9">
        <w:rPr>
          <w:rFonts w:ascii="Arial" w:hAnsi="Arial" w:cs="Arial"/>
          <w:lang w:bidi="th-TH"/>
        </w:rPr>
        <w:tab/>
      </w:r>
    </w:p>
    <w:p w14:paraId="17BB43B5" w14:textId="77777777" w:rsidR="00405732" w:rsidRPr="00E452F9" w:rsidRDefault="00405732" w:rsidP="00405732">
      <w:pPr>
        <w:pStyle w:val="Heading1"/>
        <w:spacing w:line="360" w:lineRule="auto"/>
        <w:jc w:val="both"/>
        <w:rPr>
          <w:rFonts w:ascii="Arial" w:hAnsi="Arial" w:cs="Arial"/>
          <w:szCs w:val="24"/>
        </w:rPr>
      </w:pPr>
      <w:bookmarkStart w:id="11" w:name="_Toc213243600"/>
      <w:r w:rsidRPr="00E452F9">
        <w:rPr>
          <w:rFonts w:ascii="Arial" w:hAnsi="Arial" w:cs="Arial"/>
          <w:szCs w:val="24"/>
        </w:rPr>
        <w:lastRenderedPageBreak/>
        <w:t>4. Strategic Financial Restructuring Plan</w:t>
      </w:r>
      <w:bookmarkEnd w:id="11"/>
    </w:p>
    <w:p w14:paraId="06212630" w14:textId="77777777" w:rsidR="00405732" w:rsidRPr="00E452F9" w:rsidRDefault="00405732" w:rsidP="00405732">
      <w:pPr>
        <w:pStyle w:val="Heading2"/>
        <w:spacing w:line="360" w:lineRule="auto"/>
        <w:jc w:val="both"/>
        <w:rPr>
          <w:rFonts w:ascii="Arial" w:hAnsi="Arial" w:cs="Arial"/>
          <w:szCs w:val="24"/>
        </w:rPr>
      </w:pPr>
      <w:bookmarkStart w:id="12" w:name="_Toc213243601"/>
      <w:r w:rsidRPr="00E452F9">
        <w:rPr>
          <w:rFonts w:ascii="Arial" w:hAnsi="Arial" w:cs="Arial"/>
          <w:szCs w:val="24"/>
        </w:rPr>
        <w:t>3.1 Restructuring Options Evaluation</w:t>
      </w:r>
      <w:bookmarkEnd w:id="12"/>
    </w:p>
    <w:p w14:paraId="40C2B217" w14:textId="77777777" w:rsidR="00405732" w:rsidRPr="00E452F9" w:rsidRDefault="00405732" w:rsidP="00405732">
      <w:pPr>
        <w:spacing w:line="360" w:lineRule="auto"/>
        <w:jc w:val="both"/>
        <w:rPr>
          <w:rFonts w:ascii="Arial" w:hAnsi="Arial" w:cs="Arial"/>
          <w:lang w:bidi="th-TH"/>
        </w:rPr>
      </w:pPr>
      <w:r w:rsidRPr="004F6630">
        <w:rPr>
          <w:rFonts w:ascii="Arial" w:hAnsi="Arial" w:cs="Arial"/>
          <w:b/>
          <w:bCs/>
          <w:lang w:bidi="th-TH"/>
        </w:rPr>
        <w:t>Option A: Operational Divestiture Strategy</w:t>
      </w:r>
    </w:p>
    <w:p w14:paraId="0836EE1B"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 xml:space="preserve">This strategy entails the sale of non-core business units or low performing regional business operations to raise cash, simplify, and concentrate on profitable core businesses. General Electronics ought to undertake an overall portfolio analysis in the effort to find areas that have negative contribution margins or those that demand excessive management focus (Pearce and Patel, 2021). </w:t>
      </w:r>
    </w:p>
    <w:p w14:paraId="3E593BCE"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 xml:space="preserve">These have the advantages of immediate cash generation to decrease debt, reduced operations so the management can concentrate on the core competencies, removal of profit-losing activities enhancing consolidated profitability, and possibly tax benefits because of the sale of units with tax loss </w:t>
      </w:r>
      <w:proofErr w:type="spellStart"/>
      <w:r w:rsidRPr="00E452F9">
        <w:rPr>
          <w:rFonts w:ascii="Arial" w:hAnsi="Arial" w:cs="Arial"/>
          <w:lang w:bidi="th-TH"/>
        </w:rPr>
        <w:t>carryforwards</w:t>
      </w:r>
      <w:proofErr w:type="spellEnd"/>
      <w:r w:rsidRPr="00E452F9">
        <w:rPr>
          <w:rFonts w:ascii="Arial" w:hAnsi="Arial" w:cs="Arial"/>
          <w:lang w:bidi="th-TH"/>
        </w:rPr>
        <w:t xml:space="preserve"> (Pearce and Patel, 2021). It is however accompanied by drawbacks such as possible sale of assets at depressed prices in the present market environment, less scale of revenues which may have effect on supplier negotiation, employee morale and customer doubt about the existence of the company. In the case of General Electronics, reducing operations that produce ten to fifteen percent of revenue and cause twenty to thirty percent of the losses may increase by £40-50 million and operating margins by three to four percentage points.</w:t>
      </w:r>
    </w:p>
    <w:p w14:paraId="005817F2" w14:textId="77777777" w:rsidR="00405732" w:rsidRPr="00E452F9" w:rsidRDefault="00405732" w:rsidP="00405732">
      <w:pPr>
        <w:spacing w:line="360" w:lineRule="auto"/>
        <w:jc w:val="both"/>
        <w:rPr>
          <w:rFonts w:ascii="Arial" w:hAnsi="Arial" w:cs="Arial"/>
          <w:b/>
          <w:bCs/>
          <w:lang w:bidi="th-TH"/>
        </w:rPr>
      </w:pPr>
      <w:r w:rsidRPr="00E452F9">
        <w:rPr>
          <w:rFonts w:ascii="Arial" w:hAnsi="Arial" w:cs="Arial"/>
          <w:b/>
          <w:bCs/>
          <w:lang w:bidi="th-TH"/>
        </w:rPr>
        <w:t>Option B: Equity Injection from Strategic Investor</w:t>
      </w:r>
    </w:p>
    <w:p w14:paraId="4E9B44AD"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Seeking an equity investment by a strategic partner in the technology or consumer electronics industry may offer capital, operating experience and market access. A strategic investor with twenty to thirty percent ownership at the cost of £50-75 million would greatly enhance the balance sheet with the added advantage of intangible value such as the transfer of technology and efficient supply chain and access to distribution channels (</w:t>
      </w:r>
      <w:proofErr w:type="spellStart"/>
      <w:r w:rsidRPr="00E452F9">
        <w:rPr>
          <w:rFonts w:ascii="Arial" w:hAnsi="Arial" w:cs="Arial"/>
          <w:lang w:bidi="th-TH"/>
        </w:rPr>
        <w:t>Butticè</w:t>
      </w:r>
      <w:proofErr w:type="spellEnd"/>
      <w:r w:rsidRPr="00E452F9">
        <w:rPr>
          <w:rFonts w:ascii="Arial" w:hAnsi="Arial" w:cs="Arial"/>
          <w:lang w:bidi="th-TH"/>
        </w:rPr>
        <w:t xml:space="preserve">, Di Pietro and </w:t>
      </w:r>
      <w:proofErr w:type="spellStart"/>
      <w:r w:rsidRPr="00E452F9">
        <w:rPr>
          <w:rFonts w:ascii="Arial" w:hAnsi="Arial" w:cs="Arial"/>
          <w:lang w:bidi="th-TH"/>
        </w:rPr>
        <w:t>Tenca</w:t>
      </w:r>
      <w:proofErr w:type="spellEnd"/>
      <w:r w:rsidRPr="00E452F9">
        <w:rPr>
          <w:rFonts w:ascii="Arial" w:hAnsi="Arial" w:cs="Arial"/>
          <w:lang w:bidi="th-TH"/>
        </w:rPr>
        <w:t xml:space="preserve">, 2020). Benefits are that it will strengthen the balance sheet without adding debt burden, allows the firm access to the resources and markets of strategic partners, is more credible to the suppliers and customers, and patient capital does not need returns immediately. Some of the disadvantages are the dilution of ownership of the current shareholders, it may lead to loss of operational independence, strategic investor may extract value by use of the transfer pricing or </w:t>
      </w:r>
      <w:r w:rsidRPr="00E452F9">
        <w:rPr>
          <w:rFonts w:ascii="Arial" w:hAnsi="Arial" w:cs="Arial"/>
          <w:lang w:bidi="th-TH"/>
        </w:rPr>
        <w:lastRenderedPageBreak/>
        <w:t>related party transaction and difficulty in finding investors who are willing to invest in the distressed situation without control over it (</w:t>
      </w:r>
      <w:proofErr w:type="spellStart"/>
      <w:r w:rsidRPr="00E452F9">
        <w:rPr>
          <w:rFonts w:ascii="Arial" w:hAnsi="Arial" w:cs="Arial"/>
          <w:lang w:bidi="th-TH"/>
        </w:rPr>
        <w:t>Butticè</w:t>
      </w:r>
      <w:proofErr w:type="spellEnd"/>
      <w:r w:rsidRPr="00E452F9">
        <w:rPr>
          <w:rFonts w:ascii="Arial" w:hAnsi="Arial" w:cs="Arial"/>
          <w:lang w:bidi="th-TH"/>
        </w:rPr>
        <w:t xml:space="preserve">, Di Pietro and </w:t>
      </w:r>
      <w:proofErr w:type="spellStart"/>
      <w:r w:rsidRPr="00E452F9">
        <w:rPr>
          <w:rFonts w:ascii="Arial" w:hAnsi="Arial" w:cs="Arial"/>
          <w:lang w:bidi="th-TH"/>
        </w:rPr>
        <w:t>Tenca</w:t>
      </w:r>
      <w:proofErr w:type="spellEnd"/>
      <w:r w:rsidRPr="00E452F9">
        <w:rPr>
          <w:rFonts w:ascii="Arial" w:hAnsi="Arial" w:cs="Arial"/>
          <w:lang w:bidi="th-TH"/>
        </w:rPr>
        <w:t>, 2020).</w:t>
      </w:r>
    </w:p>
    <w:p w14:paraId="35A68FAB"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Option C:</w:t>
      </w:r>
      <w:r w:rsidRPr="00E452F9">
        <w:rPr>
          <w:rFonts w:ascii="Arial" w:hAnsi="Arial" w:cs="Arial"/>
          <w:lang w:bidi="th-TH"/>
        </w:rPr>
        <w:t xml:space="preserve"> </w:t>
      </w:r>
      <w:r w:rsidRPr="00E452F9">
        <w:rPr>
          <w:rFonts w:ascii="Arial" w:hAnsi="Arial" w:cs="Arial"/>
          <w:b/>
          <w:bCs/>
          <w:lang w:bidi="th-TH"/>
        </w:rPr>
        <w:t>Debt-to-Equity Swap with Financial Restructuring</w:t>
      </w:r>
    </w:p>
    <w:p w14:paraId="51E26DC9"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 xml:space="preserve">To lessen immediate liquidity strain and interest payments negotiating with creditors to change short-term debt into equity or subordinated </w:t>
      </w:r>
      <w:proofErr w:type="gramStart"/>
      <w:r w:rsidRPr="00E452F9">
        <w:rPr>
          <w:rFonts w:ascii="Arial" w:hAnsi="Arial" w:cs="Arial"/>
          <w:lang w:bidi="th-TH"/>
        </w:rPr>
        <w:t>long term</w:t>
      </w:r>
      <w:proofErr w:type="gramEnd"/>
      <w:r w:rsidRPr="00E452F9">
        <w:rPr>
          <w:rFonts w:ascii="Arial" w:hAnsi="Arial" w:cs="Arial"/>
          <w:lang w:bidi="th-TH"/>
        </w:rPr>
        <w:t xml:space="preserve"> debt would do so. Turning short-term debt of between 20 -25million into preferred shares that pay cumulative dividends would change the balance sheet and provide creditors with upside participation. Its benefits are that it will lower cash interest liabilities immediately, enhance liquidity ratios and minimize the default risk, align creditor interests with company success as well as avoid formality of insolvency procedures (Jiang, 2024). Among the drawbacks are dilution of the existing shareholders who have a major share to very small ownership percentages, creditors becoming board members and having presence and voice in the running of the business, covenants that limit flexibility of the operations of the business and financial distress to the business which would lead to supplier and customer responses (Jiang, 2024).</w:t>
      </w:r>
    </w:p>
    <w:p w14:paraId="769A899D" w14:textId="77777777" w:rsidR="00405732" w:rsidRPr="00E452F9" w:rsidRDefault="00405732" w:rsidP="00405732">
      <w:pPr>
        <w:spacing w:line="360" w:lineRule="auto"/>
        <w:jc w:val="both"/>
        <w:rPr>
          <w:rFonts w:ascii="Arial" w:hAnsi="Arial" w:cs="Arial"/>
          <w:b/>
          <w:bCs/>
          <w:lang w:bidi="th-TH"/>
        </w:rPr>
      </w:pPr>
      <w:r w:rsidRPr="00E452F9">
        <w:rPr>
          <w:rFonts w:ascii="Arial" w:hAnsi="Arial" w:cs="Arial"/>
          <w:b/>
          <w:bCs/>
          <w:lang w:bidi="th-TH"/>
        </w:rPr>
        <w:t>Recommendation of Strategy of Restructuring</w:t>
      </w:r>
    </w:p>
    <w:p w14:paraId="219E44D2"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General Electronics ought to seek a mixed restructuring that would incorporate the aspects of each of the three in a well-timed programme. The proposed plan comprises of three stages:</w:t>
      </w:r>
    </w:p>
    <w:p w14:paraId="4FC2FEA2"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Phase One - Immediate Stabilization (Months 0-6):</w:t>
      </w:r>
      <w:r w:rsidRPr="00E452F9">
        <w:rPr>
          <w:rFonts w:ascii="Arial" w:hAnsi="Arial" w:cs="Arial"/>
          <w:lang w:bidi="th-TH"/>
        </w:rPr>
        <w:t xml:space="preserve"> Agree on covenant waivers and swap the short-term debt (£15 million) into 3-year subordinated notes paying only interest over a period of twelve months. This offers breathing space at once (Mme et al., 2023). At the same time, embark on a divestiture process of determined non-core operations of proceeds of between £35-45 million within 6 months. Divestiture proceeds are used to settle short-term outstanding debt and cash reserves are restored.</w:t>
      </w:r>
    </w:p>
    <w:p w14:paraId="06AF7E99"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 xml:space="preserve">Phase Two - Operational Restructuring (Months 6-12): </w:t>
      </w:r>
      <w:r w:rsidRPr="00E452F9">
        <w:rPr>
          <w:rFonts w:ascii="Arial" w:hAnsi="Arial" w:cs="Arial"/>
          <w:lang w:bidi="th-TH"/>
        </w:rPr>
        <w:t>Realize aggressive cost saving of at least £30-40 million of annual savings by optimizing the headcount, consolidating facilities, and discretionary spending reduction. Initiate working capital projects to roll out between £25-30 million in section two (Mme et al., 2023). Negotiate strategic investment discussions out of strength position and not out of desperation using improved operating performance and stabilized balance sheet.</w:t>
      </w:r>
    </w:p>
    <w:p w14:paraId="15985CB8"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Phase Three - Strategic Investment (Month 12-18):</w:t>
      </w:r>
      <w:r w:rsidRPr="00E452F9">
        <w:rPr>
          <w:rFonts w:ascii="Arial" w:hAnsi="Arial" w:cs="Arial"/>
          <w:lang w:bidi="th-TH"/>
        </w:rPr>
        <w:t xml:space="preserve"> Phase One and Two successful implementation </w:t>
      </w:r>
      <w:proofErr w:type="gramStart"/>
      <w:r w:rsidRPr="00E452F9">
        <w:rPr>
          <w:rFonts w:ascii="Arial" w:hAnsi="Arial" w:cs="Arial"/>
          <w:lang w:bidi="th-TH"/>
        </w:rPr>
        <w:t>secures</w:t>
      </w:r>
      <w:proofErr w:type="gramEnd"/>
      <w:r w:rsidRPr="00E452F9">
        <w:rPr>
          <w:rFonts w:ascii="Arial" w:hAnsi="Arial" w:cs="Arial"/>
          <w:lang w:bidi="th-TH"/>
        </w:rPr>
        <w:t xml:space="preserve"> strategic equity investment of the company of £50 million at </w:t>
      </w:r>
      <w:r w:rsidRPr="00E452F9">
        <w:rPr>
          <w:rFonts w:ascii="Arial" w:hAnsi="Arial" w:cs="Arial"/>
          <w:lang w:bidi="th-TH"/>
        </w:rPr>
        <w:lastRenderedPageBreak/>
        <w:t>a better valuation. The investment will be structured as convertible preferred shares that would reduce the dilution and offer protection against the downside to the investor (</w:t>
      </w:r>
      <w:proofErr w:type="spellStart"/>
      <w:r w:rsidRPr="00E452F9">
        <w:rPr>
          <w:rFonts w:ascii="Arial" w:hAnsi="Arial" w:cs="Arial"/>
          <w:lang w:bidi="th-TH"/>
        </w:rPr>
        <w:t>Widiyastuti</w:t>
      </w:r>
      <w:proofErr w:type="spellEnd"/>
      <w:r w:rsidRPr="00E452F9">
        <w:rPr>
          <w:rFonts w:ascii="Arial" w:hAnsi="Arial" w:cs="Arial"/>
          <w:lang w:bidi="th-TH"/>
        </w:rPr>
        <w:t xml:space="preserve"> et al., 2025). Apply strategic investment in organic growth programs, technology upgrades and market share recoup.</w:t>
      </w:r>
    </w:p>
    <w:p w14:paraId="1129CDF9" w14:textId="77777777" w:rsidR="00405732" w:rsidRPr="00E452F9" w:rsidRDefault="00405732" w:rsidP="00405732">
      <w:pPr>
        <w:pStyle w:val="Heading2"/>
        <w:spacing w:line="360" w:lineRule="auto"/>
        <w:jc w:val="both"/>
        <w:rPr>
          <w:rFonts w:ascii="Arial" w:hAnsi="Arial" w:cs="Arial"/>
          <w:szCs w:val="24"/>
        </w:rPr>
      </w:pPr>
      <w:bookmarkStart w:id="13" w:name="_Toc213243602"/>
      <w:r w:rsidRPr="00E452F9">
        <w:rPr>
          <w:rFonts w:ascii="Arial" w:hAnsi="Arial" w:cs="Arial"/>
          <w:szCs w:val="24"/>
        </w:rPr>
        <w:t>3.2 Impact on Shareholder Value</w:t>
      </w:r>
      <w:bookmarkEnd w:id="13"/>
    </w:p>
    <w:p w14:paraId="0BCF75BE"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The proposed restructuring proposal should serve to maintain and eventually increase the shareholder value even though the dilution is likely to be experienced in the near future. The combined debt-to-equity conversion and strategic investment would cause a dilution of forty percent on the current shareholders. Nevertheless, in the absence of restructuring, the company will be at a high risk of insolvency leading to the destruction of its shareholders values (Aggarwal and Garg, 2019). The reorganization would cut the interest cost per annum by about £2.5 million, which would directly boost net revenue. By the end of the second year, the operations should be improved to regain positive EBIT of between 15-20 million a year. Together with a decrease in debt, the ratio of the returns on equity will rise to eight to ten percent in three years, ensuring the restoration of share prices (Aggarwal and Garg, 2019).</w:t>
      </w:r>
    </w:p>
    <w:p w14:paraId="30E4BAEA" w14:textId="77777777" w:rsidR="00405732" w:rsidRPr="00E452F9" w:rsidRDefault="00405732" w:rsidP="00405732">
      <w:pPr>
        <w:pStyle w:val="Heading2"/>
        <w:spacing w:line="360" w:lineRule="auto"/>
        <w:jc w:val="both"/>
        <w:rPr>
          <w:rFonts w:ascii="Arial" w:hAnsi="Arial" w:cs="Arial"/>
          <w:szCs w:val="24"/>
        </w:rPr>
      </w:pPr>
      <w:bookmarkStart w:id="14" w:name="_Toc213243603"/>
      <w:r w:rsidRPr="00E452F9">
        <w:rPr>
          <w:rFonts w:ascii="Arial" w:hAnsi="Arial" w:cs="Arial"/>
          <w:szCs w:val="24"/>
        </w:rPr>
        <w:t>3.3 International and Ethical Considerations</w:t>
      </w:r>
      <w:bookmarkEnd w:id="14"/>
    </w:p>
    <w:p w14:paraId="51E36206"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Taxation Implications:</w:t>
      </w:r>
      <w:r w:rsidRPr="00E452F9">
        <w:rPr>
          <w:rFonts w:ascii="Arial" w:hAnsi="Arial" w:cs="Arial"/>
          <w:lang w:bidi="th-TH"/>
        </w:rPr>
        <w:t xml:space="preserve"> The restructuring should be very keen on international taxation. Conversions of debts into equity can attract debt forgiveness income which is subject to tax in the jurisdictions of relevance, but losses can nullify this. The structure of divestitures must be designed to reduce tax leakage, which may make use of tax-loss </w:t>
      </w:r>
      <w:proofErr w:type="spellStart"/>
      <w:r w:rsidRPr="00E452F9">
        <w:rPr>
          <w:rFonts w:ascii="Arial" w:hAnsi="Arial" w:cs="Arial"/>
          <w:lang w:bidi="th-TH"/>
        </w:rPr>
        <w:t>carryforwards</w:t>
      </w:r>
      <w:proofErr w:type="spellEnd"/>
      <w:r w:rsidRPr="00E452F9">
        <w:rPr>
          <w:rFonts w:ascii="Arial" w:hAnsi="Arial" w:cs="Arial"/>
          <w:lang w:bidi="th-TH"/>
        </w:rPr>
        <w:t>. Strategic transfer pricing policies with strategic investors should be effective to resist the regulatory scrutiny to thwart the possibility of multiple taxation or punishment (</w:t>
      </w:r>
      <w:proofErr w:type="spellStart"/>
      <w:r w:rsidRPr="00E452F9">
        <w:rPr>
          <w:rFonts w:ascii="Arial" w:hAnsi="Arial" w:cs="Arial"/>
          <w:lang w:bidi="th-TH"/>
        </w:rPr>
        <w:t>Dubrovski</w:t>
      </w:r>
      <w:proofErr w:type="spellEnd"/>
      <w:r w:rsidRPr="00E452F9">
        <w:rPr>
          <w:rFonts w:ascii="Arial" w:hAnsi="Arial" w:cs="Arial"/>
          <w:lang w:bidi="th-TH"/>
        </w:rPr>
        <w:t>, 2021). International tax advisors should be made to optimize the restructuring structure by the company.</w:t>
      </w:r>
    </w:p>
    <w:p w14:paraId="1B3450CE"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Currency Risk Management:</w:t>
      </w:r>
      <w:r w:rsidRPr="00E452F9">
        <w:rPr>
          <w:rFonts w:ascii="Arial" w:hAnsi="Arial" w:cs="Arial"/>
          <w:lang w:bidi="th-TH"/>
        </w:rPr>
        <w:t xml:space="preserve"> General Electronics is an international company, and thus, has a high currency exposure. It should be restructured with a total hedging policy that involves using forward contracts to hedge the expected transaction exposures and taking into consideration the natural hedges that involve balancing the currency of debt with the currency of operations (</w:t>
      </w:r>
      <w:proofErr w:type="spellStart"/>
      <w:r w:rsidRPr="00E452F9">
        <w:rPr>
          <w:rFonts w:ascii="Arial" w:hAnsi="Arial" w:cs="Arial"/>
          <w:lang w:bidi="th-TH"/>
        </w:rPr>
        <w:t>Dubrovski</w:t>
      </w:r>
      <w:proofErr w:type="spellEnd"/>
      <w:r w:rsidRPr="00E452F9">
        <w:rPr>
          <w:rFonts w:ascii="Arial" w:hAnsi="Arial" w:cs="Arial"/>
          <w:lang w:bidi="th-TH"/>
        </w:rPr>
        <w:t>, 2021). The treasury role needs to be enhanced to take an active control of the currency risk and not passively accept unhedged exposure.</w:t>
      </w:r>
    </w:p>
    <w:p w14:paraId="410CB365"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lastRenderedPageBreak/>
        <w:t>Inflation Consideration:</w:t>
      </w:r>
      <w:r w:rsidRPr="00E452F9">
        <w:rPr>
          <w:rFonts w:ascii="Arial" w:hAnsi="Arial" w:cs="Arial"/>
          <w:lang w:bidi="th-TH"/>
        </w:rPr>
        <w:t xml:space="preserve"> The existing inflationary situation has an impact on the operations and financing. The firm ought to strike bargain deals with the </w:t>
      </w:r>
      <w:proofErr w:type="gramStart"/>
      <w:r w:rsidRPr="00E452F9">
        <w:rPr>
          <w:rFonts w:ascii="Arial" w:hAnsi="Arial" w:cs="Arial"/>
          <w:lang w:bidi="th-TH"/>
        </w:rPr>
        <w:t>long term</w:t>
      </w:r>
      <w:proofErr w:type="gramEnd"/>
      <w:r w:rsidRPr="00E452F9">
        <w:rPr>
          <w:rFonts w:ascii="Arial" w:hAnsi="Arial" w:cs="Arial"/>
          <w:lang w:bidi="th-TH"/>
        </w:rPr>
        <w:t xml:space="preserve"> debt on the basis of fixed rates to prevent the rise of interest rates (</w:t>
      </w:r>
      <w:proofErr w:type="spellStart"/>
      <w:r w:rsidRPr="00E452F9">
        <w:rPr>
          <w:rFonts w:ascii="Arial" w:hAnsi="Arial" w:cs="Arial"/>
          <w:lang w:bidi="th-TH"/>
        </w:rPr>
        <w:t>Владика</w:t>
      </w:r>
      <w:proofErr w:type="spellEnd"/>
      <w:r w:rsidRPr="00E452F9">
        <w:rPr>
          <w:rFonts w:ascii="Arial" w:hAnsi="Arial" w:cs="Arial"/>
          <w:lang w:bidi="th-TH"/>
        </w:rPr>
        <w:t xml:space="preserve">, </w:t>
      </w:r>
      <w:proofErr w:type="spellStart"/>
      <w:r w:rsidRPr="00E452F9">
        <w:rPr>
          <w:rFonts w:ascii="Arial" w:hAnsi="Arial" w:cs="Arial"/>
          <w:lang w:bidi="th-TH"/>
        </w:rPr>
        <w:t>Скиба</w:t>
      </w:r>
      <w:proofErr w:type="spellEnd"/>
      <w:r w:rsidRPr="00E452F9">
        <w:rPr>
          <w:rFonts w:ascii="Arial" w:hAnsi="Arial" w:cs="Arial"/>
          <w:lang w:bidi="th-TH"/>
        </w:rPr>
        <w:t xml:space="preserve"> and </w:t>
      </w:r>
      <w:proofErr w:type="spellStart"/>
      <w:r w:rsidRPr="00E452F9">
        <w:rPr>
          <w:rFonts w:ascii="Arial" w:hAnsi="Arial" w:cs="Arial"/>
          <w:lang w:bidi="th-TH"/>
        </w:rPr>
        <w:t>Турова</w:t>
      </w:r>
      <w:proofErr w:type="spellEnd"/>
      <w:r w:rsidRPr="00E452F9">
        <w:rPr>
          <w:rFonts w:ascii="Arial" w:hAnsi="Arial" w:cs="Arial"/>
          <w:lang w:bidi="th-TH"/>
        </w:rPr>
        <w:t>, 2025). Operationally, the company should adopt dynamic pricing strategies in order to absorb cost increments and stay competitive. Inflation adjustment clauses should be contained in supply agreements.</w:t>
      </w:r>
    </w:p>
    <w:p w14:paraId="1F4B0B40"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Corporate Social Responsibility:</w:t>
      </w:r>
      <w:r w:rsidRPr="00E452F9">
        <w:rPr>
          <w:rFonts w:ascii="Arial" w:hAnsi="Arial" w:cs="Arial"/>
          <w:lang w:bidi="th-TH"/>
        </w:rPr>
        <w:t xml:space="preserve"> The restructuring does not come without the hard decision that involve the employees, communities and other stakeholders. General Electronics has no other solution, but to do these decisions in a manner that is ethical and transparent. Reduction of employees must be done in a fair manner with relevant severance and outplacement assistance (</w:t>
      </w:r>
      <w:proofErr w:type="spellStart"/>
      <w:r w:rsidRPr="00E452F9">
        <w:rPr>
          <w:rFonts w:ascii="Arial" w:hAnsi="Arial" w:cs="Arial"/>
          <w:lang w:bidi="th-TH"/>
        </w:rPr>
        <w:t>Владика</w:t>
      </w:r>
      <w:proofErr w:type="spellEnd"/>
      <w:r w:rsidRPr="00E452F9">
        <w:rPr>
          <w:rFonts w:ascii="Arial" w:hAnsi="Arial" w:cs="Arial"/>
          <w:lang w:bidi="th-TH"/>
        </w:rPr>
        <w:t xml:space="preserve">, </w:t>
      </w:r>
      <w:proofErr w:type="spellStart"/>
      <w:r w:rsidRPr="00E452F9">
        <w:rPr>
          <w:rFonts w:ascii="Arial" w:hAnsi="Arial" w:cs="Arial"/>
          <w:lang w:bidi="th-TH"/>
        </w:rPr>
        <w:t>Скиба</w:t>
      </w:r>
      <w:proofErr w:type="spellEnd"/>
      <w:r w:rsidRPr="00E452F9">
        <w:rPr>
          <w:rFonts w:ascii="Arial" w:hAnsi="Arial" w:cs="Arial"/>
          <w:lang w:bidi="th-TH"/>
        </w:rPr>
        <w:t xml:space="preserve"> and </w:t>
      </w:r>
      <w:proofErr w:type="spellStart"/>
      <w:r w:rsidRPr="00E452F9">
        <w:rPr>
          <w:rFonts w:ascii="Arial" w:hAnsi="Arial" w:cs="Arial"/>
          <w:lang w:bidi="th-TH"/>
        </w:rPr>
        <w:t>Турова</w:t>
      </w:r>
      <w:proofErr w:type="spellEnd"/>
      <w:r w:rsidRPr="00E452F9">
        <w:rPr>
          <w:rFonts w:ascii="Arial" w:hAnsi="Arial" w:cs="Arial"/>
          <w:lang w:bidi="th-TH"/>
        </w:rPr>
        <w:t xml:space="preserve">, 2025). </w:t>
      </w:r>
    </w:p>
    <w:p w14:paraId="1CFB5CC3" w14:textId="77777777" w:rsidR="00405732" w:rsidRPr="00E452F9" w:rsidRDefault="00405732" w:rsidP="00405732">
      <w:pPr>
        <w:pStyle w:val="Heading1"/>
        <w:spacing w:line="360" w:lineRule="auto"/>
        <w:jc w:val="both"/>
        <w:rPr>
          <w:rFonts w:ascii="Arial" w:hAnsi="Arial" w:cs="Arial"/>
          <w:szCs w:val="24"/>
        </w:rPr>
      </w:pPr>
      <w:bookmarkStart w:id="15" w:name="_Toc213243604"/>
      <w:r w:rsidRPr="00E452F9">
        <w:rPr>
          <w:rFonts w:ascii="Arial" w:hAnsi="Arial" w:cs="Arial"/>
          <w:szCs w:val="24"/>
        </w:rPr>
        <w:t>5. Investment Appraisal and Capital Budgeting</w:t>
      </w:r>
      <w:bookmarkEnd w:id="15"/>
    </w:p>
    <w:p w14:paraId="72225564" w14:textId="77777777" w:rsidR="00405732" w:rsidRPr="00E452F9" w:rsidRDefault="00405732" w:rsidP="00405732">
      <w:pPr>
        <w:pStyle w:val="Heading2"/>
        <w:spacing w:line="360" w:lineRule="auto"/>
        <w:jc w:val="both"/>
        <w:rPr>
          <w:rFonts w:ascii="Arial" w:hAnsi="Arial" w:cs="Arial"/>
          <w:szCs w:val="24"/>
        </w:rPr>
      </w:pPr>
      <w:bookmarkStart w:id="16" w:name="_Toc213243605"/>
      <w:r w:rsidRPr="00E452F9">
        <w:rPr>
          <w:rFonts w:ascii="Arial" w:hAnsi="Arial" w:cs="Arial"/>
          <w:szCs w:val="24"/>
        </w:rPr>
        <w:t>5.1 Investment Appraisal Project Calculation and Analysis</w:t>
      </w:r>
      <w:bookmarkEnd w:id="16"/>
    </w:p>
    <w:tbl>
      <w:tblPr>
        <w:tblStyle w:val="PlainTable1"/>
        <w:tblW w:w="0" w:type="auto"/>
        <w:tblLook w:val="04A0" w:firstRow="1" w:lastRow="0" w:firstColumn="1" w:lastColumn="0" w:noHBand="0" w:noVBand="1"/>
      </w:tblPr>
      <w:tblGrid>
        <w:gridCol w:w="2230"/>
        <w:gridCol w:w="1261"/>
        <w:gridCol w:w="1270"/>
        <w:gridCol w:w="1270"/>
      </w:tblGrid>
      <w:tr w:rsidR="00405732" w:rsidRPr="00397D98" w14:paraId="53CF12A9" w14:textId="77777777" w:rsidTr="006446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32D225" w14:textId="77777777" w:rsidR="00405732" w:rsidRPr="00397D98" w:rsidRDefault="00405732" w:rsidP="006446E2">
            <w:pPr>
              <w:spacing w:line="360" w:lineRule="auto"/>
              <w:jc w:val="both"/>
              <w:rPr>
                <w:rFonts w:ascii="Arial" w:hAnsi="Arial" w:cs="Arial"/>
              </w:rPr>
            </w:pPr>
            <w:r w:rsidRPr="00397D98">
              <w:rPr>
                <w:rFonts w:ascii="Arial" w:hAnsi="Arial" w:cs="Arial"/>
              </w:rPr>
              <w:t>Metric</w:t>
            </w:r>
          </w:p>
        </w:tc>
        <w:tc>
          <w:tcPr>
            <w:tcW w:w="0" w:type="auto"/>
            <w:hideMark/>
          </w:tcPr>
          <w:p w14:paraId="7AB48FCF" w14:textId="77777777" w:rsidR="00405732" w:rsidRPr="00397D98" w:rsidRDefault="0040573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Project A</w:t>
            </w:r>
          </w:p>
        </w:tc>
        <w:tc>
          <w:tcPr>
            <w:tcW w:w="0" w:type="auto"/>
            <w:hideMark/>
          </w:tcPr>
          <w:p w14:paraId="7BFDE524" w14:textId="77777777" w:rsidR="00405732" w:rsidRPr="00397D98" w:rsidRDefault="0040573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Project B</w:t>
            </w:r>
          </w:p>
        </w:tc>
        <w:tc>
          <w:tcPr>
            <w:tcW w:w="0" w:type="auto"/>
            <w:hideMark/>
          </w:tcPr>
          <w:p w14:paraId="564C9A7A" w14:textId="77777777" w:rsidR="00405732" w:rsidRPr="00397D98" w:rsidRDefault="0040573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Project C</w:t>
            </w:r>
          </w:p>
        </w:tc>
      </w:tr>
      <w:tr w:rsidR="00405732" w:rsidRPr="00397D98" w14:paraId="7BC080D4"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0BBD27" w14:textId="77777777" w:rsidR="00405732" w:rsidRPr="00397D98" w:rsidRDefault="00405732" w:rsidP="006446E2">
            <w:pPr>
              <w:spacing w:line="360" w:lineRule="auto"/>
              <w:jc w:val="both"/>
              <w:rPr>
                <w:rFonts w:ascii="Arial" w:hAnsi="Arial" w:cs="Arial"/>
              </w:rPr>
            </w:pPr>
            <w:r w:rsidRPr="00397D98">
              <w:rPr>
                <w:rFonts w:ascii="Arial" w:hAnsi="Arial" w:cs="Arial"/>
              </w:rPr>
              <w:t>Initial Investment</w:t>
            </w:r>
          </w:p>
        </w:tc>
        <w:tc>
          <w:tcPr>
            <w:tcW w:w="0" w:type="auto"/>
            <w:hideMark/>
          </w:tcPr>
          <w:p w14:paraId="3F646041" w14:textId="77777777" w:rsidR="00405732" w:rsidRPr="00397D98"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£40m</w:t>
            </w:r>
          </w:p>
        </w:tc>
        <w:tc>
          <w:tcPr>
            <w:tcW w:w="0" w:type="auto"/>
            <w:hideMark/>
          </w:tcPr>
          <w:p w14:paraId="08CD6459" w14:textId="77777777" w:rsidR="00405732" w:rsidRPr="00397D98"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£30m</w:t>
            </w:r>
          </w:p>
        </w:tc>
        <w:tc>
          <w:tcPr>
            <w:tcW w:w="0" w:type="auto"/>
            <w:hideMark/>
          </w:tcPr>
          <w:p w14:paraId="4A8F6FCA" w14:textId="77777777" w:rsidR="00405732" w:rsidRPr="00397D98"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£50m</w:t>
            </w:r>
          </w:p>
        </w:tc>
      </w:tr>
      <w:tr w:rsidR="00405732" w:rsidRPr="00397D98" w14:paraId="0756D6D0"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231B4D2A" w14:textId="77777777" w:rsidR="00405732" w:rsidRPr="00397D98" w:rsidRDefault="00405732" w:rsidP="006446E2">
            <w:pPr>
              <w:spacing w:line="360" w:lineRule="auto"/>
              <w:jc w:val="both"/>
              <w:rPr>
                <w:rFonts w:ascii="Arial" w:hAnsi="Arial" w:cs="Arial"/>
              </w:rPr>
            </w:pPr>
            <w:r w:rsidRPr="00397D98">
              <w:rPr>
                <w:rFonts w:ascii="Arial" w:hAnsi="Arial" w:cs="Arial"/>
              </w:rPr>
              <w:t>Payback Period</w:t>
            </w:r>
          </w:p>
        </w:tc>
        <w:tc>
          <w:tcPr>
            <w:tcW w:w="0" w:type="auto"/>
            <w:hideMark/>
          </w:tcPr>
          <w:p w14:paraId="696BF961" w14:textId="77777777" w:rsidR="00405732" w:rsidRPr="00397D98"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3.4 years</w:t>
            </w:r>
          </w:p>
        </w:tc>
        <w:tc>
          <w:tcPr>
            <w:tcW w:w="0" w:type="auto"/>
            <w:hideMark/>
          </w:tcPr>
          <w:p w14:paraId="6E4AF61F" w14:textId="77777777" w:rsidR="00405732" w:rsidRPr="00397D98"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5.0 years</w:t>
            </w:r>
          </w:p>
        </w:tc>
        <w:tc>
          <w:tcPr>
            <w:tcW w:w="0" w:type="auto"/>
            <w:hideMark/>
          </w:tcPr>
          <w:p w14:paraId="4CD0F514" w14:textId="77777777" w:rsidR="00405732" w:rsidRPr="00397D98"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3.6 years</w:t>
            </w:r>
          </w:p>
        </w:tc>
      </w:tr>
      <w:tr w:rsidR="00405732" w:rsidRPr="00397D98" w14:paraId="18B6341F"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7B952C" w14:textId="77777777" w:rsidR="00405732" w:rsidRPr="00397D98" w:rsidRDefault="00405732" w:rsidP="006446E2">
            <w:pPr>
              <w:spacing w:line="360" w:lineRule="auto"/>
              <w:jc w:val="both"/>
              <w:rPr>
                <w:rFonts w:ascii="Arial" w:hAnsi="Arial" w:cs="Arial"/>
              </w:rPr>
            </w:pPr>
            <w:r w:rsidRPr="00397D98">
              <w:rPr>
                <w:rFonts w:ascii="Arial" w:hAnsi="Arial" w:cs="Arial"/>
              </w:rPr>
              <w:t>ARR</w:t>
            </w:r>
          </w:p>
        </w:tc>
        <w:tc>
          <w:tcPr>
            <w:tcW w:w="0" w:type="auto"/>
            <w:hideMark/>
          </w:tcPr>
          <w:p w14:paraId="051687E3" w14:textId="77777777" w:rsidR="00405732" w:rsidRPr="00397D98"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7.0%</w:t>
            </w:r>
          </w:p>
        </w:tc>
        <w:tc>
          <w:tcPr>
            <w:tcW w:w="0" w:type="auto"/>
            <w:hideMark/>
          </w:tcPr>
          <w:p w14:paraId="4C67CD35" w14:textId="77777777" w:rsidR="00405732" w:rsidRPr="00397D98"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0.0%</w:t>
            </w:r>
          </w:p>
        </w:tc>
        <w:tc>
          <w:tcPr>
            <w:tcW w:w="0" w:type="auto"/>
            <w:hideMark/>
          </w:tcPr>
          <w:p w14:paraId="45383781" w14:textId="77777777" w:rsidR="00405732" w:rsidRPr="00397D98"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10.0%</w:t>
            </w:r>
          </w:p>
        </w:tc>
      </w:tr>
      <w:tr w:rsidR="00405732" w:rsidRPr="00397D98" w14:paraId="607F14A4"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20FA3E17" w14:textId="77777777" w:rsidR="00405732" w:rsidRPr="00397D98" w:rsidRDefault="00405732" w:rsidP="006446E2">
            <w:pPr>
              <w:spacing w:line="360" w:lineRule="auto"/>
              <w:jc w:val="both"/>
              <w:rPr>
                <w:rFonts w:ascii="Arial" w:hAnsi="Arial" w:cs="Arial"/>
              </w:rPr>
            </w:pPr>
            <w:r w:rsidRPr="00397D98">
              <w:rPr>
                <w:rFonts w:ascii="Arial" w:hAnsi="Arial" w:cs="Arial"/>
              </w:rPr>
              <w:t>NPV</w:t>
            </w:r>
          </w:p>
        </w:tc>
        <w:tc>
          <w:tcPr>
            <w:tcW w:w="0" w:type="auto"/>
            <w:hideMark/>
          </w:tcPr>
          <w:p w14:paraId="3B2CAE01" w14:textId="77777777" w:rsidR="00405732" w:rsidRPr="00397D98"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£1.323m</w:t>
            </w:r>
          </w:p>
        </w:tc>
        <w:tc>
          <w:tcPr>
            <w:tcW w:w="0" w:type="auto"/>
            <w:hideMark/>
          </w:tcPr>
          <w:p w14:paraId="3C1C384D" w14:textId="77777777" w:rsidR="00405732" w:rsidRPr="00397D98"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-£7.256m</w:t>
            </w:r>
          </w:p>
        </w:tc>
        <w:tc>
          <w:tcPr>
            <w:tcW w:w="0" w:type="auto"/>
            <w:hideMark/>
          </w:tcPr>
          <w:p w14:paraId="21A8B6F2" w14:textId="77777777" w:rsidR="00405732" w:rsidRPr="00397D98"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£4.225m</w:t>
            </w:r>
          </w:p>
        </w:tc>
      </w:tr>
      <w:tr w:rsidR="00405732" w:rsidRPr="00397D98" w14:paraId="20B19585"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47B04C" w14:textId="77777777" w:rsidR="00405732" w:rsidRPr="00397D98" w:rsidRDefault="00405732" w:rsidP="006446E2">
            <w:pPr>
              <w:spacing w:line="360" w:lineRule="auto"/>
              <w:jc w:val="both"/>
              <w:rPr>
                <w:rFonts w:ascii="Arial" w:hAnsi="Arial" w:cs="Arial"/>
              </w:rPr>
            </w:pPr>
            <w:r w:rsidRPr="00397D98">
              <w:rPr>
                <w:rFonts w:ascii="Arial" w:hAnsi="Arial" w:cs="Arial"/>
              </w:rPr>
              <w:t>Profitability Index</w:t>
            </w:r>
          </w:p>
        </w:tc>
        <w:tc>
          <w:tcPr>
            <w:tcW w:w="0" w:type="auto"/>
            <w:hideMark/>
          </w:tcPr>
          <w:p w14:paraId="0743097D" w14:textId="77777777" w:rsidR="00405732" w:rsidRPr="00397D98"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1.033</w:t>
            </w:r>
          </w:p>
        </w:tc>
        <w:tc>
          <w:tcPr>
            <w:tcW w:w="0" w:type="auto"/>
            <w:hideMark/>
          </w:tcPr>
          <w:p w14:paraId="31CFA487" w14:textId="77777777" w:rsidR="00405732" w:rsidRPr="00397D98"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0.758</w:t>
            </w:r>
          </w:p>
        </w:tc>
        <w:tc>
          <w:tcPr>
            <w:tcW w:w="0" w:type="auto"/>
            <w:hideMark/>
          </w:tcPr>
          <w:p w14:paraId="05E797A7" w14:textId="77777777" w:rsidR="00405732" w:rsidRPr="00397D98" w:rsidRDefault="0040573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1.085</w:t>
            </w:r>
          </w:p>
        </w:tc>
      </w:tr>
      <w:tr w:rsidR="00405732" w:rsidRPr="00397D98" w14:paraId="396F82CB"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57C1DD77" w14:textId="77777777" w:rsidR="00405732" w:rsidRPr="00397D98" w:rsidRDefault="00405732" w:rsidP="006446E2">
            <w:pPr>
              <w:spacing w:line="360" w:lineRule="auto"/>
              <w:jc w:val="both"/>
              <w:rPr>
                <w:rFonts w:ascii="Arial" w:hAnsi="Arial" w:cs="Arial"/>
              </w:rPr>
            </w:pPr>
            <w:r w:rsidRPr="00397D98">
              <w:rPr>
                <w:rFonts w:ascii="Arial" w:hAnsi="Arial" w:cs="Arial"/>
              </w:rPr>
              <w:t>IRR</w:t>
            </w:r>
          </w:p>
        </w:tc>
        <w:tc>
          <w:tcPr>
            <w:tcW w:w="0" w:type="auto"/>
            <w:hideMark/>
          </w:tcPr>
          <w:p w14:paraId="435A0961" w14:textId="77777777" w:rsidR="00405732" w:rsidRPr="00397D98"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11.34%</w:t>
            </w:r>
          </w:p>
        </w:tc>
        <w:tc>
          <w:tcPr>
            <w:tcW w:w="0" w:type="auto"/>
            <w:hideMark/>
          </w:tcPr>
          <w:p w14:paraId="70269E56" w14:textId="77777777" w:rsidR="00405732" w:rsidRPr="00397D98"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&lt;5%</w:t>
            </w:r>
          </w:p>
        </w:tc>
        <w:tc>
          <w:tcPr>
            <w:tcW w:w="0" w:type="auto"/>
            <w:hideMark/>
          </w:tcPr>
          <w:p w14:paraId="149529C1" w14:textId="77777777" w:rsidR="00405732" w:rsidRPr="00397D98" w:rsidRDefault="0040573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12.74%</w:t>
            </w:r>
          </w:p>
        </w:tc>
      </w:tr>
    </w:tbl>
    <w:p w14:paraId="05F969A3"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 xml:space="preserve">Table </w:t>
      </w:r>
      <w:r>
        <w:rPr>
          <w:rFonts w:ascii="Arial" w:hAnsi="Arial" w:cs="Arial"/>
          <w:lang w:bidi="th-TH"/>
        </w:rPr>
        <w:t>3</w:t>
      </w:r>
      <w:r w:rsidRPr="00E452F9">
        <w:rPr>
          <w:rFonts w:ascii="Arial" w:hAnsi="Arial" w:cs="Arial"/>
          <w:lang w:bidi="th-TH"/>
        </w:rPr>
        <w:t>. Investment Appraisal Analysis</w:t>
      </w:r>
    </w:p>
    <w:p w14:paraId="4C56350E" w14:textId="77777777" w:rsidR="00405732" w:rsidRPr="00E452F9" w:rsidRDefault="00405732" w:rsidP="00405732">
      <w:pPr>
        <w:spacing w:line="360" w:lineRule="auto"/>
        <w:jc w:val="both"/>
        <w:rPr>
          <w:rFonts w:ascii="Arial" w:hAnsi="Arial" w:cs="Arial"/>
          <w:lang w:bidi="th-TH"/>
        </w:rPr>
      </w:pPr>
      <w:r w:rsidRPr="00CA61BE">
        <w:rPr>
          <w:rFonts w:ascii="Arial" w:hAnsi="Arial" w:cs="Arial"/>
          <w:noProof/>
          <w:lang w:bidi="th-TH"/>
        </w:rPr>
        <w:lastRenderedPageBreak/>
        <w:drawing>
          <wp:inline distT="0" distB="0" distL="0" distR="0" wp14:anchorId="036E2501" wp14:editId="338E38DB">
            <wp:extent cx="3781953" cy="3858163"/>
            <wp:effectExtent l="0" t="0" r="9525" b="0"/>
            <wp:docPr id="646630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630866" name=""/>
                    <pic:cNvPicPr/>
                  </pic:nvPicPr>
                  <pic:blipFill>
                    <a:blip r:embed="rId19"/>
                    <a:stretch>
                      <a:fillRect/>
                    </a:stretch>
                  </pic:blipFill>
                  <pic:spPr>
                    <a:xfrm>
                      <a:off x="0" y="0"/>
                      <a:ext cx="3781953" cy="3858163"/>
                    </a:xfrm>
                    <a:prstGeom prst="rect">
                      <a:avLst/>
                    </a:prstGeom>
                  </pic:spPr>
                </pic:pic>
              </a:graphicData>
            </a:graphic>
          </wp:inline>
        </w:drawing>
      </w:r>
    </w:p>
    <w:p w14:paraId="223E45AF" w14:textId="77777777" w:rsidR="00405732" w:rsidRPr="00E452F9" w:rsidRDefault="00405732" w:rsidP="00405732">
      <w:pPr>
        <w:spacing w:line="360" w:lineRule="auto"/>
        <w:jc w:val="both"/>
        <w:rPr>
          <w:rFonts w:ascii="Arial" w:hAnsi="Arial" w:cs="Arial"/>
          <w:b/>
          <w:bCs/>
          <w:lang w:bidi="th-TH"/>
        </w:rPr>
      </w:pPr>
      <w:r w:rsidRPr="00E452F9">
        <w:rPr>
          <w:rFonts w:ascii="Arial" w:hAnsi="Arial" w:cs="Arial"/>
          <w:b/>
          <w:bCs/>
          <w:lang w:bidi="th-TH"/>
        </w:rPr>
        <w:t>2. Accounting Rate of Return (ARR)</w:t>
      </w:r>
    </w:p>
    <w:p w14:paraId="4A041E1E" w14:textId="77777777" w:rsidR="00405732" w:rsidRPr="00E452F9" w:rsidRDefault="00405732" w:rsidP="00405732">
      <w:pPr>
        <w:spacing w:line="360" w:lineRule="auto"/>
        <w:jc w:val="both"/>
        <w:rPr>
          <w:rFonts w:ascii="Arial" w:hAnsi="Arial" w:cs="Arial"/>
          <w:lang w:bidi="th-TH"/>
        </w:rPr>
      </w:pPr>
      <w:r w:rsidRPr="00CA61BE">
        <w:rPr>
          <w:rFonts w:ascii="Arial" w:hAnsi="Arial" w:cs="Arial"/>
          <w:noProof/>
          <w:lang w:bidi="th-TH"/>
        </w:rPr>
        <w:drawing>
          <wp:inline distT="0" distB="0" distL="0" distR="0" wp14:anchorId="72280AD0" wp14:editId="0533C4ED">
            <wp:extent cx="3867690" cy="3743847"/>
            <wp:effectExtent l="0" t="0" r="0" b="0"/>
            <wp:docPr id="434963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963632" name=""/>
                    <pic:cNvPicPr/>
                  </pic:nvPicPr>
                  <pic:blipFill>
                    <a:blip r:embed="rId20"/>
                    <a:stretch>
                      <a:fillRect/>
                    </a:stretch>
                  </pic:blipFill>
                  <pic:spPr>
                    <a:xfrm>
                      <a:off x="0" y="0"/>
                      <a:ext cx="3867690" cy="3743847"/>
                    </a:xfrm>
                    <a:prstGeom prst="rect">
                      <a:avLst/>
                    </a:prstGeom>
                  </pic:spPr>
                </pic:pic>
              </a:graphicData>
            </a:graphic>
          </wp:inline>
        </w:drawing>
      </w:r>
    </w:p>
    <w:p w14:paraId="1B04530C" w14:textId="77777777" w:rsidR="00405732" w:rsidRPr="00E452F9" w:rsidRDefault="00405732" w:rsidP="00405732">
      <w:pPr>
        <w:spacing w:line="360" w:lineRule="auto"/>
        <w:jc w:val="both"/>
        <w:rPr>
          <w:rFonts w:ascii="Arial" w:hAnsi="Arial" w:cs="Arial"/>
          <w:b/>
          <w:bCs/>
          <w:lang w:bidi="th-TH"/>
        </w:rPr>
      </w:pPr>
      <w:r w:rsidRPr="00E452F9">
        <w:rPr>
          <w:rFonts w:ascii="Arial" w:hAnsi="Arial" w:cs="Arial"/>
          <w:b/>
          <w:bCs/>
          <w:lang w:bidi="th-TH"/>
        </w:rPr>
        <w:t>3. Net Present Value (NPV)</w:t>
      </w:r>
    </w:p>
    <w:p w14:paraId="0FF2A74A" w14:textId="77777777" w:rsidR="00405732" w:rsidRPr="006032FA" w:rsidRDefault="00405732" w:rsidP="00405732">
      <w:pPr>
        <w:spacing w:line="360" w:lineRule="auto"/>
        <w:jc w:val="both"/>
        <w:rPr>
          <w:rFonts w:ascii="Arial" w:hAnsi="Arial" w:cs="Arial"/>
          <w:lang w:bidi="th-TH"/>
        </w:rPr>
      </w:pPr>
      <w:r w:rsidRPr="006032FA">
        <w:rPr>
          <w:rFonts w:ascii="Arial" w:hAnsi="Arial" w:cs="Arial"/>
          <w:b/>
          <w:bCs/>
          <w:lang w:bidi="th-TH"/>
        </w:rPr>
        <w:t>Project A Cash Flows (£m):</w:t>
      </w:r>
    </w:p>
    <w:p w14:paraId="6B0870A3" w14:textId="77777777" w:rsidR="00405732" w:rsidRDefault="00405732" w:rsidP="00405732">
      <w:pPr>
        <w:spacing w:line="360" w:lineRule="auto"/>
        <w:jc w:val="both"/>
        <w:rPr>
          <w:rFonts w:ascii="Arial" w:hAnsi="Arial" w:cs="Arial"/>
          <w:lang w:bidi="th-TH"/>
        </w:rPr>
      </w:pPr>
      <w:r w:rsidRPr="00CA61BE">
        <w:rPr>
          <w:rFonts w:ascii="Arial" w:hAnsi="Arial" w:cs="Arial"/>
          <w:noProof/>
          <w:lang w:bidi="th-TH"/>
        </w:rPr>
        <w:lastRenderedPageBreak/>
        <w:drawing>
          <wp:inline distT="0" distB="0" distL="0" distR="0" wp14:anchorId="2E167936" wp14:editId="2F34E08A">
            <wp:extent cx="4782217" cy="1914792"/>
            <wp:effectExtent l="0" t="0" r="0" b="9525"/>
            <wp:docPr id="73574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74242" name=""/>
                    <pic:cNvPicPr/>
                  </pic:nvPicPr>
                  <pic:blipFill>
                    <a:blip r:embed="rId21"/>
                    <a:stretch>
                      <a:fillRect/>
                    </a:stretch>
                  </pic:blipFill>
                  <pic:spPr>
                    <a:xfrm>
                      <a:off x="0" y="0"/>
                      <a:ext cx="4782217" cy="1914792"/>
                    </a:xfrm>
                    <a:prstGeom prst="rect">
                      <a:avLst/>
                    </a:prstGeom>
                  </pic:spPr>
                </pic:pic>
              </a:graphicData>
            </a:graphic>
          </wp:inline>
        </w:drawing>
      </w:r>
    </w:p>
    <w:p w14:paraId="3DD6043E"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 xml:space="preserve">Table </w:t>
      </w:r>
      <w:r>
        <w:rPr>
          <w:rFonts w:ascii="Arial" w:hAnsi="Arial" w:cs="Arial"/>
          <w:lang w:bidi="th-TH"/>
        </w:rPr>
        <w:t>4</w:t>
      </w:r>
      <w:r w:rsidRPr="00E452F9">
        <w:rPr>
          <w:rFonts w:ascii="Arial" w:hAnsi="Arial" w:cs="Arial"/>
          <w:lang w:bidi="th-TH"/>
        </w:rPr>
        <w:t xml:space="preserve">. Project </w:t>
      </w:r>
      <w:proofErr w:type="gramStart"/>
      <w:r w:rsidRPr="00E452F9">
        <w:rPr>
          <w:rFonts w:ascii="Arial" w:hAnsi="Arial" w:cs="Arial"/>
          <w:lang w:bidi="th-TH"/>
        </w:rPr>
        <w:t>A</w:t>
      </w:r>
      <w:proofErr w:type="gramEnd"/>
      <w:r w:rsidRPr="00E452F9">
        <w:rPr>
          <w:rFonts w:ascii="Arial" w:hAnsi="Arial" w:cs="Arial"/>
          <w:lang w:bidi="th-TH"/>
        </w:rPr>
        <w:t xml:space="preserve"> NPV</w:t>
      </w:r>
    </w:p>
    <w:p w14:paraId="566D8F12" w14:textId="77777777" w:rsidR="00405732" w:rsidRPr="006032FA" w:rsidRDefault="00405732" w:rsidP="00405732">
      <w:pPr>
        <w:spacing w:line="360" w:lineRule="auto"/>
        <w:jc w:val="both"/>
        <w:rPr>
          <w:rFonts w:ascii="Arial" w:hAnsi="Arial" w:cs="Arial"/>
          <w:lang w:bidi="th-TH"/>
        </w:rPr>
      </w:pPr>
      <w:r w:rsidRPr="006032FA">
        <w:rPr>
          <w:rFonts w:ascii="Arial" w:hAnsi="Arial" w:cs="Arial"/>
          <w:b/>
          <w:bCs/>
          <w:lang w:bidi="th-TH"/>
        </w:rPr>
        <w:t>Project B Cash Flows (£m):</w:t>
      </w:r>
    </w:p>
    <w:p w14:paraId="4416897E" w14:textId="77777777" w:rsidR="00405732" w:rsidRDefault="00405732" w:rsidP="00405732">
      <w:pPr>
        <w:spacing w:line="360" w:lineRule="auto"/>
        <w:jc w:val="both"/>
        <w:rPr>
          <w:rFonts w:ascii="Arial" w:hAnsi="Arial" w:cs="Arial"/>
          <w:lang w:bidi="th-TH"/>
        </w:rPr>
      </w:pPr>
      <w:r w:rsidRPr="00CA61BE">
        <w:rPr>
          <w:rFonts w:ascii="Arial" w:hAnsi="Arial" w:cs="Arial"/>
          <w:noProof/>
          <w:lang w:bidi="th-TH"/>
        </w:rPr>
        <w:drawing>
          <wp:inline distT="0" distB="0" distL="0" distR="0" wp14:anchorId="1A96D265" wp14:editId="27123260">
            <wp:extent cx="4772691" cy="1943371"/>
            <wp:effectExtent l="0" t="0" r="8890" b="0"/>
            <wp:docPr id="1504093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093801" name=""/>
                    <pic:cNvPicPr/>
                  </pic:nvPicPr>
                  <pic:blipFill>
                    <a:blip r:embed="rId22"/>
                    <a:stretch>
                      <a:fillRect/>
                    </a:stretch>
                  </pic:blipFill>
                  <pic:spPr>
                    <a:xfrm>
                      <a:off x="0" y="0"/>
                      <a:ext cx="4772691" cy="1943371"/>
                    </a:xfrm>
                    <a:prstGeom prst="rect">
                      <a:avLst/>
                    </a:prstGeom>
                  </pic:spPr>
                </pic:pic>
              </a:graphicData>
            </a:graphic>
          </wp:inline>
        </w:drawing>
      </w:r>
    </w:p>
    <w:p w14:paraId="2FA58C74"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 xml:space="preserve">Table </w:t>
      </w:r>
      <w:r>
        <w:rPr>
          <w:rFonts w:ascii="Arial" w:hAnsi="Arial" w:cs="Arial"/>
          <w:lang w:bidi="th-TH"/>
        </w:rPr>
        <w:t>5</w:t>
      </w:r>
      <w:r w:rsidRPr="00E452F9">
        <w:rPr>
          <w:rFonts w:ascii="Arial" w:hAnsi="Arial" w:cs="Arial"/>
          <w:lang w:bidi="th-TH"/>
        </w:rPr>
        <w:t>. Project B NP</w:t>
      </w:r>
      <w:r>
        <w:rPr>
          <w:rFonts w:ascii="Arial" w:hAnsi="Arial" w:cs="Arial"/>
          <w:lang w:bidi="th-TH"/>
        </w:rPr>
        <w:t>V</w:t>
      </w:r>
    </w:p>
    <w:p w14:paraId="7D0A0445" w14:textId="77777777" w:rsidR="00405732" w:rsidRPr="006032FA" w:rsidRDefault="00405732" w:rsidP="00405732">
      <w:pPr>
        <w:spacing w:line="360" w:lineRule="auto"/>
        <w:jc w:val="both"/>
        <w:rPr>
          <w:rFonts w:ascii="Arial" w:hAnsi="Arial" w:cs="Arial"/>
          <w:lang w:bidi="th-TH"/>
        </w:rPr>
      </w:pPr>
      <w:r w:rsidRPr="006032FA">
        <w:rPr>
          <w:rFonts w:ascii="Arial" w:hAnsi="Arial" w:cs="Arial"/>
          <w:b/>
          <w:bCs/>
          <w:lang w:bidi="th-TH"/>
        </w:rPr>
        <w:t>Project C Cash Flows (£m):</w:t>
      </w:r>
    </w:p>
    <w:p w14:paraId="0452CBDF" w14:textId="77777777" w:rsidR="00405732" w:rsidRDefault="00405732" w:rsidP="00405732">
      <w:pPr>
        <w:spacing w:line="360" w:lineRule="auto"/>
        <w:jc w:val="both"/>
        <w:rPr>
          <w:rFonts w:ascii="Arial" w:hAnsi="Arial" w:cs="Arial"/>
          <w:lang w:bidi="th-TH"/>
        </w:rPr>
      </w:pPr>
      <w:r w:rsidRPr="00CA61BE">
        <w:rPr>
          <w:rFonts w:ascii="Arial" w:hAnsi="Arial" w:cs="Arial"/>
          <w:noProof/>
          <w:lang w:bidi="th-TH"/>
        </w:rPr>
        <w:drawing>
          <wp:inline distT="0" distB="0" distL="0" distR="0" wp14:anchorId="002363DF" wp14:editId="68BB1111">
            <wp:extent cx="4772691" cy="1952898"/>
            <wp:effectExtent l="0" t="0" r="0" b="9525"/>
            <wp:docPr id="954462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462868" name=""/>
                    <pic:cNvPicPr/>
                  </pic:nvPicPr>
                  <pic:blipFill>
                    <a:blip r:embed="rId23"/>
                    <a:stretch>
                      <a:fillRect/>
                    </a:stretch>
                  </pic:blipFill>
                  <pic:spPr>
                    <a:xfrm>
                      <a:off x="0" y="0"/>
                      <a:ext cx="4772691" cy="1952898"/>
                    </a:xfrm>
                    <a:prstGeom prst="rect">
                      <a:avLst/>
                    </a:prstGeom>
                  </pic:spPr>
                </pic:pic>
              </a:graphicData>
            </a:graphic>
          </wp:inline>
        </w:drawing>
      </w:r>
    </w:p>
    <w:p w14:paraId="7763E6C7"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 xml:space="preserve">Table </w:t>
      </w:r>
      <w:r>
        <w:rPr>
          <w:rFonts w:ascii="Arial" w:hAnsi="Arial" w:cs="Arial"/>
          <w:lang w:bidi="th-TH"/>
        </w:rPr>
        <w:t>6</w:t>
      </w:r>
      <w:r w:rsidRPr="00E452F9">
        <w:rPr>
          <w:rFonts w:ascii="Arial" w:hAnsi="Arial" w:cs="Arial"/>
          <w:lang w:bidi="th-TH"/>
        </w:rPr>
        <w:t>. Project C NPV</w:t>
      </w:r>
    </w:p>
    <w:p w14:paraId="4E99460C" w14:textId="77777777" w:rsidR="00405732" w:rsidRPr="00E452F9" w:rsidRDefault="00405732" w:rsidP="00405732">
      <w:pPr>
        <w:spacing w:line="360" w:lineRule="auto"/>
        <w:jc w:val="both"/>
        <w:rPr>
          <w:rFonts w:ascii="Arial" w:hAnsi="Arial" w:cs="Arial"/>
          <w:b/>
          <w:bCs/>
          <w:lang w:bidi="th-TH"/>
        </w:rPr>
      </w:pPr>
      <w:r w:rsidRPr="00E452F9">
        <w:rPr>
          <w:rFonts w:ascii="Arial" w:hAnsi="Arial" w:cs="Arial"/>
          <w:b/>
          <w:bCs/>
          <w:lang w:bidi="th-TH"/>
        </w:rPr>
        <w:t>4. Profitability Index (PI)</w:t>
      </w:r>
    </w:p>
    <w:p w14:paraId="6921079C" w14:textId="77777777" w:rsidR="00405732" w:rsidRPr="00A03A92" w:rsidRDefault="00405732" w:rsidP="00405732">
      <w:pPr>
        <w:spacing w:line="360" w:lineRule="auto"/>
        <w:jc w:val="both"/>
        <w:rPr>
          <w:rFonts w:ascii="Arial" w:hAnsi="Arial" w:cs="Arial"/>
          <w:lang w:bidi="th-TH"/>
        </w:rPr>
      </w:pPr>
      <w:r w:rsidRPr="00CA61BE">
        <w:rPr>
          <w:rFonts w:ascii="Arial" w:hAnsi="Arial" w:cs="Arial"/>
          <w:noProof/>
          <w:lang w:bidi="th-TH"/>
        </w:rPr>
        <w:lastRenderedPageBreak/>
        <w:drawing>
          <wp:inline distT="0" distB="0" distL="0" distR="0" wp14:anchorId="6B8A95B6" wp14:editId="3E9E5BDB">
            <wp:extent cx="4906060" cy="1371791"/>
            <wp:effectExtent l="0" t="0" r="8890" b="0"/>
            <wp:docPr id="171256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56355" name=""/>
                    <pic:cNvPicPr/>
                  </pic:nvPicPr>
                  <pic:blipFill>
                    <a:blip r:embed="rId24"/>
                    <a:stretch>
                      <a:fillRect/>
                    </a:stretch>
                  </pic:blipFill>
                  <pic:spPr>
                    <a:xfrm>
                      <a:off x="0" y="0"/>
                      <a:ext cx="4906060" cy="1371791"/>
                    </a:xfrm>
                    <a:prstGeom prst="rect">
                      <a:avLst/>
                    </a:prstGeom>
                  </pic:spPr>
                </pic:pic>
              </a:graphicData>
            </a:graphic>
          </wp:inline>
        </w:drawing>
      </w:r>
    </w:p>
    <w:p w14:paraId="332DCFED" w14:textId="77777777" w:rsidR="00405732" w:rsidRPr="00E452F9" w:rsidRDefault="00405732" w:rsidP="00405732">
      <w:pPr>
        <w:spacing w:line="360" w:lineRule="auto"/>
        <w:jc w:val="both"/>
        <w:rPr>
          <w:rFonts w:ascii="Arial" w:hAnsi="Arial" w:cs="Arial"/>
          <w:b/>
          <w:bCs/>
          <w:lang w:bidi="th-TH"/>
        </w:rPr>
      </w:pPr>
      <w:r w:rsidRPr="00E452F9">
        <w:rPr>
          <w:rFonts w:ascii="Arial" w:hAnsi="Arial" w:cs="Arial"/>
          <w:b/>
          <w:bCs/>
          <w:lang w:bidi="th-TH"/>
        </w:rPr>
        <w:t>5. Internal Rate of Return (IRR</w:t>
      </w:r>
      <w:r>
        <w:rPr>
          <w:rFonts w:ascii="Arial" w:hAnsi="Arial" w:cs="Arial"/>
          <w:b/>
          <w:bCs/>
          <w:lang w:bidi="th-TH"/>
        </w:rPr>
        <w:t>)</w:t>
      </w:r>
    </w:p>
    <w:p w14:paraId="7F8E9248" w14:textId="77777777" w:rsidR="00405732" w:rsidRPr="00CA61BE" w:rsidRDefault="00405732" w:rsidP="00405732">
      <w:pPr>
        <w:spacing w:line="360" w:lineRule="auto"/>
        <w:jc w:val="both"/>
        <w:rPr>
          <w:rFonts w:ascii="Arial" w:hAnsi="Arial" w:cs="Arial"/>
          <w:lang w:bidi="th-TH"/>
        </w:rPr>
      </w:pPr>
      <w:r w:rsidRPr="00CA61BE">
        <w:rPr>
          <w:rFonts w:ascii="Arial" w:hAnsi="Arial" w:cs="Arial"/>
          <w:noProof/>
          <w:lang w:bidi="th-TH"/>
        </w:rPr>
        <w:drawing>
          <wp:inline distT="0" distB="0" distL="0" distR="0" wp14:anchorId="5C36BA65" wp14:editId="3A99ACBA">
            <wp:extent cx="3877216" cy="3905795"/>
            <wp:effectExtent l="0" t="0" r="9525" b="0"/>
            <wp:docPr id="830701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701769" name=""/>
                    <pic:cNvPicPr/>
                  </pic:nvPicPr>
                  <pic:blipFill>
                    <a:blip r:embed="rId25"/>
                    <a:stretch>
                      <a:fillRect/>
                    </a:stretch>
                  </pic:blipFill>
                  <pic:spPr>
                    <a:xfrm>
                      <a:off x="0" y="0"/>
                      <a:ext cx="3877216" cy="3905795"/>
                    </a:xfrm>
                    <a:prstGeom prst="rect">
                      <a:avLst/>
                    </a:prstGeom>
                  </pic:spPr>
                </pic:pic>
              </a:graphicData>
            </a:graphic>
          </wp:inline>
        </w:drawing>
      </w:r>
    </w:p>
    <w:p w14:paraId="1B8ED689" w14:textId="77777777" w:rsidR="00405732" w:rsidRPr="00E452F9" w:rsidRDefault="00405732" w:rsidP="00405732">
      <w:pPr>
        <w:pStyle w:val="Heading2"/>
        <w:spacing w:line="360" w:lineRule="auto"/>
        <w:jc w:val="both"/>
        <w:rPr>
          <w:rFonts w:ascii="Arial" w:hAnsi="Arial" w:cs="Arial"/>
          <w:szCs w:val="24"/>
        </w:rPr>
      </w:pPr>
      <w:bookmarkStart w:id="17" w:name="_Toc213243606"/>
      <w:r w:rsidRPr="00E452F9">
        <w:rPr>
          <w:rFonts w:ascii="Arial" w:hAnsi="Arial" w:cs="Arial"/>
          <w:szCs w:val="24"/>
        </w:rPr>
        <w:t>5.2 Investment Decision Analysis</w:t>
      </w:r>
      <w:bookmarkEnd w:id="17"/>
    </w:p>
    <w:p w14:paraId="51C8FB58"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Project B Elimination:</w:t>
      </w:r>
      <w:r w:rsidRPr="00E452F9">
        <w:rPr>
          <w:rFonts w:ascii="Arial" w:hAnsi="Arial" w:cs="Arial"/>
          <w:lang w:bidi="th-TH"/>
        </w:rPr>
        <w:t xml:space="preserve"> Project B is to be rejected at once according to all evaluation criteria. The negative NPV of negative pound 7.3 million is an indicator that the project destroys value. The sub-five percent IRR is significantly less than the ten percent required returns, implying that the company will be more desirous of doing practically anything instead. The zero percent accounting rate of return is used to reveal that the project only breaks even and does not make any profit out of the initial investment (AWODIRE et al., 2023). The payback period of five years is too long in the case of a company that is faced with liquidity constraints. Project B does not present any strong benefits and is a value-destructive investment that General Electronics can hardly afford due to its unstable financial situation.</w:t>
      </w:r>
    </w:p>
    <w:p w14:paraId="265F33F0"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lastRenderedPageBreak/>
        <w:t>Comparison between Projects A and C:</w:t>
      </w:r>
      <w:r w:rsidRPr="00E452F9">
        <w:rPr>
          <w:rFonts w:ascii="Arial" w:hAnsi="Arial" w:cs="Arial"/>
          <w:lang w:bidi="th-TH"/>
        </w:rPr>
        <w:t xml:space="preserve"> Projects A and C have positive values or NPVs of £1.3 million and £4.2 million respectively, and they both pass the ten percent hurdle rate by having IRRs of 11.34 percent and 12.74 percent respectively. Project C shows better performance in all the measures: better NPV, better IRR, better ARR at ten percent compared to seven percent, and better profitability index at 1.085 compared to 1.033. Project C generates a greater value of £2.9 million in absolute terms, though it takes an increment of £10million to produce (AWODIRE et al., 2023). Project C is seen to be more profitable as the profitability index shows that it creates a value of 8.50 pounds on the investment made, against a value of 3.30 pounds created in the money invested in Project A.</w:t>
      </w:r>
    </w:p>
    <w:p w14:paraId="2D585747"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Cash Flow Pattern Analysis:</w:t>
      </w:r>
      <w:r w:rsidRPr="00E452F9">
        <w:rPr>
          <w:rFonts w:ascii="Arial" w:hAnsi="Arial" w:cs="Arial"/>
          <w:lang w:bidi="th-TH"/>
        </w:rPr>
        <w:t xml:space="preserve"> Project A has a more stable cash flow that is front loaded and consists of £10-14 million yearly during year one to three and then decreases. The trend offers preceding capital recovery as indicated in the payback period of 3.4 years. These previous cash flows are a guarantee to a firm that is under liquidity stress (Arjunan, 2022). Nevertheless, the back-loaded cash flow pattern of Project C with a rapid increase in year one to year four with a payment of £5 million to £25 million respectively yields eventually a significantly higher total value.</w:t>
      </w:r>
    </w:p>
    <w:p w14:paraId="31191782"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 xml:space="preserve">Risk Considerations: </w:t>
      </w:r>
      <w:r w:rsidRPr="00E452F9">
        <w:rPr>
          <w:rFonts w:ascii="Arial" w:hAnsi="Arial" w:cs="Arial"/>
          <w:lang w:bidi="th-TH"/>
        </w:rPr>
        <w:t xml:space="preserve">General Electronics will have to consider the risk not only in a monetary score. The low volatility of Project A annual cash flows (coefficient of variation around 0.25) indicates that returns in a Project A are more predictable (beneficial in state of financial distress). Project C is more volatile in terms of cash flow (coefficient of variation of about 0.54), and it has significantly back-loaded returns that pose execution risk (Arjunan, 2022). Provided the project is performing poorly in the initial years, then the management might be pressured to cancel the project before it can achieve optimum returns. Stakeholders of General Electronics are not very tolerant of investments that do not give quick returns, considering that the company is in a poor financial position. </w:t>
      </w:r>
    </w:p>
    <w:p w14:paraId="2AA7B277"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 xml:space="preserve">Nevertheless, the superior returns of Project C can be associated with the fact that it was truly better strategically positioned and not risky. In the case of Project C, where the technology is new or there is a good growth potential in the new markets, then the back-loaded cash flows are market penetration dynamics and not uncertainty (Arjunan, 2022). The 12.74 percent higher IRR will be 270 basis points of cushion over the necessary return over the </w:t>
      </w:r>
      <w:proofErr w:type="gramStart"/>
      <w:r w:rsidRPr="00E452F9">
        <w:rPr>
          <w:rFonts w:ascii="Arial" w:hAnsi="Arial" w:cs="Arial"/>
          <w:lang w:bidi="th-TH"/>
        </w:rPr>
        <w:t>134 basis</w:t>
      </w:r>
      <w:proofErr w:type="gramEnd"/>
      <w:r w:rsidRPr="00E452F9">
        <w:rPr>
          <w:rFonts w:ascii="Arial" w:hAnsi="Arial" w:cs="Arial"/>
          <w:lang w:bidi="th-TH"/>
        </w:rPr>
        <w:t xml:space="preserve"> points cushion of Project A, which will protect against unpleasant situations.</w:t>
      </w:r>
    </w:p>
    <w:p w14:paraId="7E7649B5" w14:textId="77777777" w:rsidR="00405732" w:rsidRPr="00E452F9" w:rsidRDefault="00405732" w:rsidP="00405732">
      <w:pPr>
        <w:pStyle w:val="Heading2"/>
        <w:spacing w:line="360" w:lineRule="auto"/>
        <w:jc w:val="both"/>
        <w:rPr>
          <w:rFonts w:ascii="Arial" w:hAnsi="Arial" w:cs="Arial"/>
          <w:szCs w:val="24"/>
        </w:rPr>
      </w:pPr>
      <w:bookmarkStart w:id="18" w:name="_Toc213243607"/>
      <w:r w:rsidRPr="00E452F9">
        <w:rPr>
          <w:rFonts w:ascii="Arial" w:hAnsi="Arial" w:cs="Arial"/>
          <w:szCs w:val="24"/>
        </w:rPr>
        <w:lastRenderedPageBreak/>
        <w:t>5.3 Capital Rationing Decision</w:t>
      </w:r>
      <w:bookmarkEnd w:id="18"/>
    </w:p>
    <w:p w14:paraId="1AF693BA" w14:textId="77777777" w:rsidR="00405732" w:rsidRPr="007C47ED" w:rsidRDefault="00405732" w:rsidP="00405732">
      <w:pPr>
        <w:spacing w:line="360" w:lineRule="auto"/>
        <w:jc w:val="both"/>
        <w:rPr>
          <w:rFonts w:ascii="Arial" w:hAnsi="Arial" w:cs="Arial"/>
          <w:lang w:bidi="th-TH"/>
        </w:rPr>
      </w:pPr>
      <w:r w:rsidRPr="007C47ED">
        <w:rPr>
          <w:rFonts w:ascii="Arial" w:hAnsi="Arial" w:cs="Arial"/>
          <w:lang w:bidi="th-TH"/>
        </w:rPr>
        <w:t>With a £60 million investment constraint, General Electronics faces three scenarios:</w:t>
      </w:r>
    </w:p>
    <w:p w14:paraId="008DFA80" w14:textId="77777777" w:rsidR="00405732" w:rsidRPr="007C47ED" w:rsidRDefault="00405732" w:rsidP="00405732">
      <w:pPr>
        <w:spacing w:line="360" w:lineRule="auto"/>
        <w:jc w:val="both"/>
        <w:rPr>
          <w:rFonts w:ascii="Arial" w:hAnsi="Arial" w:cs="Arial"/>
          <w:lang w:bidi="th-TH"/>
        </w:rPr>
      </w:pPr>
      <w:r w:rsidRPr="007C47ED">
        <w:rPr>
          <w:rFonts w:ascii="Arial" w:hAnsi="Arial" w:cs="Arial"/>
          <w:b/>
          <w:bCs/>
          <w:lang w:bidi="th-TH"/>
        </w:rPr>
        <w:t>Scenario 1</w:t>
      </w:r>
      <w:r w:rsidRPr="007C47ED">
        <w:rPr>
          <w:rFonts w:ascii="Arial" w:hAnsi="Arial" w:cs="Arial"/>
          <w:lang w:bidi="th-TH"/>
        </w:rPr>
        <w:t>: Invest in Project A only (£40m), leaving £20m unallocated</w:t>
      </w:r>
    </w:p>
    <w:p w14:paraId="61CFAF41" w14:textId="77777777" w:rsidR="00405732" w:rsidRPr="007C47ED" w:rsidRDefault="00405732" w:rsidP="00405732">
      <w:pPr>
        <w:spacing w:line="360" w:lineRule="auto"/>
        <w:jc w:val="both"/>
        <w:rPr>
          <w:rFonts w:ascii="Arial" w:hAnsi="Arial" w:cs="Arial"/>
          <w:lang w:bidi="th-TH"/>
        </w:rPr>
      </w:pPr>
      <w:r w:rsidRPr="007C47ED">
        <w:rPr>
          <w:rFonts w:ascii="Arial" w:hAnsi="Arial" w:cs="Arial"/>
          <w:lang w:bidi="th-TH"/>
        </w:rPr>
        <w:t>Total NPV: £1.323m</w:t>
      </w:r>
    </w:p>
    <w:p w14:paraId="778337A3" w14:textId="77777777" w:rsidR="00405732" w:rsidRPr="007C47ED" w:rsidRDefault="00405732" w:rsidP="00405732">
      <w:pPr>
        <w:spacing w:line="360" w:lineRule="auto"/>
        <w:jc w:val="both"/>
        <w:rPr>
          <w:rFonts w:ascii="Arial" w:hAnsi="Arial" w:cs="Arial"/>
          <w:lang w:bidi="th-TH"/>
        </w:rPr>
      </w:pPr>
      <w:r w:rsidRPr="007C47ED">
        <w:rPr>
          <w:rFonts w:ascii="Arial" w:hAnsi="Arial" w:cs="Arial"/>
          <w:lang w:bidi="th-TH"/>
        </w:rPr>
        <w:t>Unused capital: £20m</w:t>
      </w:r>
    </w:p>
    <w:p w14:paraId="7FFA6A83" w14:textId="77777777" w:rsidR="00405732" w:rsidRPr="007C47ED" w:rsidRDefault="00405732" w:rsidP="00405732">
      <w:pPr>
        <w:spacing w:line="360" w:lineRule="auto"/>
        <w:jc w:val="both"/>
        <w:rPr>
          <w:rFonts w:ascii="Arial" w:hAnsi="Arial" w:cs="Arial"/>
          <w:lang w:bidi="th-TH"/>
        </w:rPr>
      </w:pPr>
      <w:r w:rsidRPr="007C47ED">
        <w:rPr>
          <w:rFonts w:ascii="Arial" w:hAnsi="Arial" w:cs="Arial"/>
          <w:b/>
          <w:bCs/>
          <w:lang w:bidi="th-TH"/>
        </w:rPr>
        <w:t>Scenario 2</w:t>
      </w:r>
      <w:r w:rsidRPr="007C47ED">
        <w:rPr>
          <w:rFonts w:ascii="Arial" w:hAnsi="Arial" w:cs="Arial"/>
          <w:lang w:bidi="th-TH"/>
        </w:rPr>
        <w:t>: Invest in Project C only (£50m), leaving £10m unallocated</w:t>
      </w:r>
    </w:p>
    <w:p w14:paraId="44D51EFF" w14:textId="77777777" w:rsidR="00405732" w:rsidRPr="007C47ED" w:rsidRDefault="00405732" w:rsidP="00405732">
      <w:pPr>
        <w:spacing w:line="360" w:lineRule="auto"/>
        <w:jc w:val="both"/>
        <w:rPr>
          <w:rFonts w:ascii="Arial" w:hAnsi="Arial" w:cs="Arial"/>
          <w:lang w:bidi="th-TH"/>
        </w:rPr>
      </w:pPr>
      <w:r w:rsidRPr="007C47ED">
        <w:rPr>
          <w:rFonts w:ascii="Arial" w:hAnsi="Arial" w:cs="Arial"/>
          <w:lang w:bidi="th-TH"/>
        </w:rPr>
        <w:t>Total NPV: £4.225m</w:t>
      </w:r>
    </w:p>
    <w:p w14:paraId="3F12FCC5" w14:textId="77777777" w:rsidR="00405732" w:rsidRPr="007C47ED" w:rsidRDefault="00405732" w:rsidP="00405732">
      <w:pPr>
        <w:spacing w:line="360" w:lineRule="auto"/>
        <w:jc w:val="both"/>
        <w:rPr>
          <w:rFonts w:ascii="Arial" w:hAnsi="Arial" w:cs="Arial"/>
          <w:lang w:bidi="th-TH"/>
        </w:rPr>
      </w:pPr>
      <w:r w:rsidRPr="007C47ED">
        <w:rPr>
          <w:rFonts w:ascii="Arial" w:hAnsi="Arial" w:cs="Arial"/>
          <w:lang w:bidi="th-TH"/>
        </w:rPr>
        <w:t>Unused capital: £10m</w:t>
      </w:r>
    </w:p>
    <w:p w14:paraId="5677ED21" w14:textId="77777777" w:rsidR="00405732" w:rsidRPr="007C47ED" w:rsidRDefault="00405732" w:rsidP="00405732">
      <w:pPr>
        <w:spacing w:line="360" w:lineRule="auto"/>
        <w:jc w:val="both"/>
        <w:rPr>
          <w:rFonts w:ascii="Arial" w:hAnsi="Arial" w:cs="Arial"/>
          <w:lang w:bidi="th-TH"/>
        </w:rPr>
      </w:pPr>
      <w:r w:rsidRPr="007C47ED">
        <w:rPr>
          <w:rFonts w:ascii="Arial" w:hAnsi="Arial" w:cs="Arial"/>
          <w:b/>
          <w:bCs/>
          <w:lang w:bidi="th-TH"/>
        </w:rPr>
        <w:t>Scenario 3</w:t>
      </w:r>
      <w:r w:rsidRPr="007C47ED">
        <w:rPr>
          <w:rFonts w:ascii="Arial" w:hAnsi="Arial" w:cs="Arial"/>
          <w:lang w:bidi="th-TH"/>
        </w:rPr>
        <w:t>: Invest in Projects A + B (£70m total) - exceeds constraint, not feasible</w:t>
      </w:r>
    </w:p>
    <w:p w14:paraId="51D0E37A" w14:textId="77777777" w:rsidR="00405732" w:rsidRPr="00E452F9" w:rsidRDefault="00405732" w:rsidP="00405732">
      <w:pPr>
        <w:spacing w:line="360" w:lineRule="auto"/>
        <w:jc w:val="both"/>
        <w:rPr>
          <w:rFonts w:ascii="Arial" w:hAnsi="Arial" w:cs="Arial"/>
          <w:lang w:bidi="th-TH"/>
        </w:rPr>
      </w:pPr>
      <w:r w:rsidRPr="007C47ED">
        <w:rPr>
          <w:rFonts w:ascii="Arial" w:hAnsi="Arial" w:cs="Arial"/>
          <w:b/>
          <w:bCs/>
          <w:lang w:bidi="th-TH"/>
        </w:rPr>
        <w:t>Scenario 4</w:t>
      </w:r>
      <w:r w:rsidRPr="007C47ED">
        <w:rPr>
          <w:rFonts w:ascii="Arial" w:hAnsi="Arial" w:cs="Arial"/>
          <w:lang w:bidi="th-TH"/>
        </w:rPr>
        <w:t>: Combine Project A with partial investment elsewhere - not applicable as projects are indivisible</w:t>
      </w:r>
    </w:p>
    <w:p w14:paraId="55B3AD04"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On comparison of the feasible scenarios, Scenario 2 (Project C only) generates greater NPV of 4.225 million pounds in comparison with Scenario 1 of 1.323 million pounds, which is a difference of 2.9 million pounds of value creation. Project C is still better even taking into consideration the opportunity cost of the remaining £10 million, unless there are other investments that can be found with IRR over 39 (£2.9m / 10m incremental investment × 100%), which is most unlikely.</w:t>
      </w:r>
    </w:p>
    <w:p w14:paraId="6901494B" w14:textId="77777777" w:rsidR="00405732" w:rsidRPr="00E452F9" w:rsidRDefault="00405732" w:rsidP="00405732">
      <w:pPr>
        <w:pStyle w:val="Heading2"/>
        <w:spacing w:line="360" w:lineRule="auto"/>
        <w:jc w:val="both"/>
        <w:rPr>
          <w:rFonts w:ascii="Arial" w:hAnsi="Arial" w:cs="Arial"/>
          <w:szCs w:val="24"/>
        </w:rPr>
      </w:pPr>
      <w:bookmarkStart w:id="19" w:name="_Toc213243608"/>
      <w:r w:rsidRPr="00E452F9">
        <w:rPr>
          <w:rFonts w:ascii="Arial" w:hAnsi="Arial" w:cs="Arial"/>
          <w:szCs w:val="24"/>
        </w:rPr>
        <w:t>5.4 Final Investment Recommendation</w:t>
      </w:r>
      <w:bookmarkEnd w:id="19"/>
    </w:p>
    <w:p w14:paraId="7165B017"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Recommendation: Invest £50 million in Project C only</w:t>
      </w:r>
    </w:p>
    <w:p w14:paraId="65214722" w14:textId="77777777" w:rsidR="00405732" w:rsidRPr="00E452F9" w:rsidRDefault="00405732" w:rsidP="00405732">
      <w:pPr>
        <w:spacing w:line="360" w:lineRule="auto"/>
        <w:jc w:val="both"/>
        <w:rPr>
          <w:rFonts w:ascii="Arial" w:hAnsi="Arial" w:cs="Arial"/>
          <w:lang w:bidi="th-TH"/>
        </w:rPr>
      </w:pPr>
      <w:r w:rsidRPr="00E452F9">
        <w:rPr>
          <w:rFonts w:ascii="Arial" w:hAnsi="Arial" w:cs="Arial"/>
          <w:lang w:bidi="th-TH"/>
        </w:rPr>
        <w:t>The rationale of this recommendation is based on several overlapping factors that are in tandem with the strategic positioning of General Electronics:</w:t>
      </w:r>
    </w:p>
    <w:p w14:paraId="48B2C907"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Maximization of Value:</w:t>
      </w:r>
      <w:r w:rsidRPr="00E452F9">
        <w:rPr>
          <w:rFonts w:ascii="Arial" w:hAnsi="Arial" w:cs="Arial"/>
          <w:lang w:bidi="th-TH"/>
        </w:rPr>
        <w:t xml:space="preserve"> Project C would generate 219% more value, which is a quantity of 4.225 million shareholder value than 1.323 million shareholder value in Project A. In an organization that has squandered more than 120 million shareholder value in the last two years, it is most important to ensure that the returns on limited capital are maximized (</w:t>
      </w:r>
      <w:proofErr w:type="spellStart"/>
      <w:r w:rsidRPr="00E452F9">
        <w:rPr>
          <w:rFonts w:ascii="Arial" w:hAnsi="Arial" w:cs="Arial"/>
          <w:lang w:bidi="th-TH"/>
        </w:rPr>
        <w:t>Asemi</w:t>
      </w:r>
      <w:proofErr w:type="spellEnd"/>
      <w:r w:rsidRPr="00E452F9">
        <w:rPr>
          <w:rFonts w:ascii="Arial" w:hAnsi="Arial" w:cs="Arial"/>
          <w:lang w:bidi="th-TH"/>
        </w:rPr>
        <w:t xml:space="preserve">, </w:t>
      </w:r>
      <w:proofErr w:type="spellStart"/>
      <w:r w:rsidRPr="00E452F9">
        <w:rPr>
          <w:rFonts w:ascii="Arial" w:hAnsi="Arial" w:cs="Arial"/>
          <w:lang w:bidi="th-TH"/>
        </w:rPr>
        <w:t>Asemi</w:t>
      </w:r>
      <w:proofErr w:type="spellEnd"/>
      <w:r w:rsidRPr="00E452F9">
        <w:rPr>
          <w:rFonts w:ascii="Arial" w:hAnsi="Arial" w:cs="Arial"/>
          <w:lang w:bidi="th-TH"/>
        </w:rPr>
        <w:t xml:space="preserve"> and Ko, 2023). Profitability index of 1.085 shows that it has been using its capital efficiently, with a value of 8.50 created every pound invested.</w:t>
      </w:r>
    </w:p>
    <w:p w14:paraId="0DD6FE0B"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Conformance to Financial Recovery Timeline:</w:t>
      </w:r>
      <w:r w:rsidRPr="00E452F9">
        <w:rPr>
          <w:rFonts w:ascii="Arial" w:hAnsi="Arial" w:cs="Arial"/>
          <w:lang w:bidi="th-TH"/>
        </w:rPr>
        <w:t xml:space="preserve"> The back-loaded cash flows in Project </w:t>
      </w:r>
      <w:proofErr w:type="spellStart"/>
      <w:r w:rsidRPr="00E452F9">
        <w:rPr>
          <w:rFonts w:ascii="Arial" w:hAnsi="Arial" w:cs="Arial"/>
          <w:lang w:bidi="th-TH"/>
        </w:rPr>
        <w:t>C are</w:t>
      </w:r>
      <w:proofErr w:type="spellEnd"/>
      <w:r w:rsidRPr="00E452F9">
        <w:rPr>
          <w:rFonts w:ascii="Arial" w:hAnsi="Arial" w:cs="Arial"/>
          <w:lang w:bidi="th-TH"/>
        </w:rPr>
        <w:t xml:space="preserve"> well-placed with respect to the restructuring schedule of General Electronics. The relatively small cash flows of Project C of between one and three years amounting to about £35 million are associated with the intense restructuring </w:t>
      </w:r>
      <w:r w:rsidRPr="00E452F9">
        <w:rPr>
          <w:rFonts w:ascii="Arial" w:hAnsi="Arial" w:cs="Arial"/>
          <w:lang w:bidi="th-TH"/>
        </w:rPr>
        <w:lastRenderedPageBreak/>
        <w:t>phase during which the operational improvements are expected to produce cash through working capital optimization and cost cutting (</w:t>
      </w:r>
      <w:proofErr w:type="spellStart"/>
      <w:r w:rsidRPr="00E452F9">
        <w:rPr>
          <w:rFonts w:ascii="Arial" w:hAnsi="Arial" w:cs="Arial"/>
          <w:lang w:bidi="th-TH"/>
        </w:rPr>
        <w:t>Asemi</w:t>
      </w:r>
      <w:proofErr w:type="spellEnd"/>
      <w:r w:rsidRPr="00E452F9">
        <w:rPr>
          <w:rFonts w:ascii="Arial" w:hAnsi="Arial" w:cs="Arial"/>
          <w:lang w:bidi="th-TH"/>
        </w:rPr>
        <w:t xml:space="preserve">, </w:t>
      </w:r>
      <w:proofErr w:type="spellStart"/>
      <w:r w:rsidRPr="00E452F9">
        <w:rPr>
          <w:rFonts w:ascii="Arial" w:hAnsi="Arial" w:cs="Arial"/>
          <w:lang w:bidi="th-TH"/>
        </w:rPr>
        <w:t>Asemi</w:t>
      </w:r>
      <w:proofErr w:type="spellEnd"/>
      <w:r w:rsidRPr="00E452F9">
        <w:rPr>
          <w:rFonts w:ascii="Arial" w:hAnsi="Arial" w:cs="Arial"/>
          <w:lang w:bidi="th-TH"/>
        </w:rPr>
        <w:t xml:space="preserve"> and Ko, 2023). Project C has the highest cash flows of 25 million pounds in the fourth year when the company is expected to be in full operation so that not only it can give it ample cash to drive growth activities but also to repay debt.</w:t>
      </w:r>
    </w:p>
    <w:p w14:paraId="0BDCA013"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 xml:space="preserve">Better Risk-Adjusted Returns: </w:t>
      </w:r>
      <w:r w:rsidRPr="00E452F9">
        <w:rPr>
          <w:rFonts w:ascii="Arial" w:hAnsi="Arial" w:cs="Arial"/>
          <w:lang w:bidi="th-TH"/>
        </w:rPr>
        <w:t>The IRR of 12.74 per cent will give a significant cushion above the 10 per cent hurdle rate that shows that the project can withstand average bad situations and still generate value (Chen et al., 2021). According to sensitivity analysis, Project C will produce NPV of about 0.5 million despite the reduction in cash flows by 20 percent by the year 2010. The greater absolute returns are justifiable, by bearing somewhat greater volatility.</w:t>
      </w:r>
    </w:p>
    <w:p w14:paraId="29F5B599"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Strategic Positioning:</w:t>
      </w:r>
      <w:r w:rsidRPr="00E452F9">
        <w:rPr>
          <w:rFonts w:ascii="Arial" w:hAnsi="Arial" w:cs="Arial"/>
          <w:lang w:bidi="th-TH"/>
        </w:rPr>
        <w:t xml:space="preserve"> As not specified out in project descriptions, the magnitude and cash flow profile of Project C would presumably imply that it is a major strategic investment in next-generation products, market expansion, or breakthrough technology. In a firm that has been losing its market share, and profitability, this transformative investment is necessary in order to revert the losses (Chen et al., 2021). The smaller scope of project A and consistent returns indicate incremental growth as opposed to strategic repositioning. General Electronics must take courageous actions to come out of the current trend.</w:t>
      </w:r>
    </w:p>
    <w:p w14:paraId="52446701"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Capital Preservation:</w:t>
      </w:r>
      <w:r w:rsidRPr="00E452F9">
        <w:rPr>
          <w:rFonts w:ascii="Arial" w:hAnsi="Arial" w:cs="Arial"/>
          <w:lang w:bidi="th-TH"/>
        </w:rPr>
        <w:t xml:space="preserve"> The investment of the full budget of £60 million will save 10 million pounds to be used in case of any contingency, working capital requirements or opportunistic small investments. Since the company is liquidity constrained with an uncertain environment in which it is operating, it is wise to retain this flexibility. The idle capital would be used in the working capital optimization efforts or a buffer against operational difficulties in the implementation of the projects (Chen et al., 2021).</w:t>
      </w:r>
    </w:p>
    <w:p w14:paraId="25306296" w14:textId="77777777" w:rsidR="00405732" w:rsidRPr="00E452F9" w:rsidRDefault="00405732" w:rsidP="00405732">
      <w:pPr>
        <w:spacing w:line="360" w:lineRule="auto"/>
        <w:jc w:val="both"/>
        <w:rPr>
          <w:rFonts w:ascii="Arial" w:hAnsi="Arial" w:cs="Arial"/>
          <w:lang w:bidi="th-TH"/>
        </w:rPr>
      </w:pPr>
      <w:r w:rsidRPr="00E452F9">
        <w:rPr>
          <w:rFonts w:ascii="Arial" w:hAnsi="Arial" w:cs="Arial"/>
          <w:b/>
          <w:bCs/>
          <w:lang w:bidi="th-TH"/>
        </w:rPr>
        <w:t>Liquidity Management Factors:</w:t>
      </w:r>
      <w:r w:rsidRPr="00E452F9">
        <w:rPr>
          <w:rFonts w:ascii="Arial" w:hAnsi="Arial" w:cs="Arial"/>
          <w:lang w:bidi="th-TH"/>
        </w:rPr>
        <w:t xml:space="preserve"> Project C has low cash flows during its first year of operation, although still positive and reaching up to 35 million by the third year which covers 70 percent of the initial investment in the payback period. This is agreeable considering that the company ought to be realizing better operating cash flows of restructuring efforts. The capital budget in terms of the retained amount of 10 million is sufficient in terms of liquidity cushion.</w:t>
      </w:r>
    </w:p>
    <w:p w14:paraId="4C42EA6F" w14:textId="77777777" w:rsidR="00405732" w:rsidRPr="00E452F9" w:rsidRDefault="00405732" w:rsidP="00405732">
      <w:pPr>
        <w:pStyle w:val="Heading1"/>
        <w:spacing w:line="360" w:lineRule="auto"/>
        <w:jc w:val="both"/>
        <w:rPr>
          <w:rFonts w:ascii="Arial" w:hAnsi="Arial" w:cs="Arial"/>
          <w:szCs w:val="24"/>
        </w:rPr>
      </w:pPr>
      <w:bookmarkStart w:id="20" w:name="_Toc213243609"/>
      <w:r w:rsidRPr="00E452F9">
        <w:rPr>
          <w:rFonts w:ascii="Arial" w:hAnsi="Arial" w:cs="Arial"/>
          <w:szCs w:val="24"/>
        </w:rPr>
        <w:lastRenderedPageBreak/>
        <w:t>6. Conclusion</w:t>
      </w:r>
      <w:bookmarkEnd w:id="20"/>
    </w:p>
    <w:p w14:paraId="3E288B47" w14:textId="77777777" w:rsidR="00405732" w:rsidRDefault="00405732" w:rsidP="00405732">
      <w:pPr>
        <w:spacing w:line="360" w:lineRule="auto"/>
        <w:jc w:val="both"/>
        <w:rPr>
          <w:rFonts w:ascii="Arial" w:hAnsi="Arial" w:cs="Arial"/>
          <w:lang w:bidi="th-TH"/>
        </w:rPr>
      </w:pPr>
      <w:r w:rsidRPr="00E452F9">
        <w:rPr>
          <w:rFonts w:ascii="Arial" w:hAnsi="Arial" w:cs="Arial"/>
          <w:lang w:bidi="th-TH"/>
        </w:rPr>
        <w:t xml:space="preserve">The situation of General Electronics is at a critical point where it needs urgent and extensive action to prevent bankruptcy and regain its sustainability in the long run. This comparison has shown that the company has a serious financial decline in terms of profitability, liquidity, efficiency, and solvency ratios, and the Altman Z-Score of 2.82 indicates moderate levels of bankruptcy. Nevertheless, the company still has some inherent strengths such as a good equity base of 153 million, held operating assets and still operating to generate positive operating cash flow. The proposed turnaround plan involves a combination of vigorous working capital management to free up </w:t>
      </w:r>
      <w:proofErr w:type="spellStart"/>
      <w:r w:rsidRPr="00E452F9">
        <w:rPr>
          <w:rFonts w:ascii="Arial" w:hAnsi="Arial" w:cs="Arial"/>
          <w:lang w:bidi="th-TH"/>
        </w:rPr>
        <w:t>up</w:t>
      </w:r>
      <w:proofErr w:type="spellEnd"/>
      <w:r w:rsidRPr="00E452F9">
        <w:rPr>
          <w:rFonts w:ascii="Arial" w:hAnsi="Arial" w:cs="Arial"/>
          <w:lang w:bidi="th-TH"/>
        </w:rPr>
        <w:t xml:space="preserve"> to £25-30 million of cash, financial restructuring such as selective divestiture and conversion of the short-term liabilities consisting of the pound 15 million debt to subordinated notes and targeted strategic investment in Project C to yield a return of £4.2 million in NPV and set the stage to recover in the market.</w:t>
      </w:r>
    </w:p>
    <w:p w14:paraId="2CFFE03B" w14:textId="77777777" w:rsidR="006A6F24" w:rsidRDefault="006A6F24" w:rsidP="00405732">
      <w:pPr>
        <w:spacing w:line="360" w:lineRule="auto"/>
        <w:jc w:val="both"/>
        <w:rPr>
          <w:rFonts w:ascii="Arial" w:hAnsi="Arial" w:cs="Arial"/>
          <w:lang w:bidi="th-TH"/>
        </w:rPr>
      </w:pPr>
    </w:p>
    <w:p w14:paraId="042CE2A5" w14:textId="77777777" w:rsidR="006A6F24" w:rsidRDefault="006A6F24" w:rsidP="00405732">
      <w:pPr>
        <w:spacing w:line="360" w:lineRule="auto"/>
        <w:jc w:val="both"/>
        <w:rPr>
          <w:rFonts w:ascii="Arial" w:hAnsi="Arial" w:cs="Arial"/>
          <w:lang w:bidi="th-TH"/>
        </w:rPr>
      </w:pPr>
    </w:p>
    <w:p w14:paraId="0DFAE58C" w14:textId="77777777" w:rsidR="006A6F24" w:rsidRDefault="006A6F24" w:rsidP="00405732">
      <w:pPr>
        <w:spacing w:line="360" w:lineRule="auto"/>
        <w:jc w:val="both"/>
        <w:rPr>
          <w:rFonts w:ascii="Arial" w:hAnsi="Arial" w:cs="Arial"/>
          <w:lang w:bidi="th-TH"/>
        </w:rPr>
      </w:pPr>
    </w:p>
    <w:p w14:paraId="062778B2" w14:textId="77777777" w:rsidR="006A6F24" w:rsidRDefault="006A6F24" w:rsidP="00405732">
      <w:pPr>
        <w:spacing w:line="360" w:lineRule="auto"/>
        <w:jc w:val="both"/>
        <w:rPr>
          <w:rFonts w:ascii="Arial" w:hAnsi="Arial" w:cs="Arial"/>
          <w:lang w:bidi="th-TH"/>
        </w:rPr>
      </w:pPr>
    </w:p>
    <w:p w14:paraId="4F18E710" w14:textId="77777777" w:rsidR="006A6F24" w:rsidRDefault="006A6F24" w:rsidP="00405732">
      <w:pPr>
        <w:spacing w:line="360" w:lineRule="auto"/>
        <w:jc w:val="both"/>
        <w:rPr>
          <w:rFonts w:ascii="Arial" w:hAnsi="Arial" w:cs="Arial"/>
          <w:lang w:bidi="th-TH"/>
        </w:rPr>
      </w:pPr>
    </w:p>
    <w:p w14:paraId="0A304E30" w14:textId="77777777" w:rsidR="006A6F24" w:rsidRDefault="006A6F24" w:rsidP="00405732">
      <w:pPr>
        <w:spacing w:line="360" w:lineRule="auto"/>
        <w:jc w:val="both"/>
        <w:rPr>
          <w:rFonts w:ascii="Arial" w:hAnsi="Arial" w:cs="Arial"/>
          <w:lang w:bidi="th-TH"/>
        </w:rPr>
      </w:pPr>
    </w:p>
    <w:p w14:paraId="4023FBEC" w14:textId="77777777" w:rsidR="006A6F24" w:rsidRDefault="006A6F24" w:rsidP="00405732">
      <w:pPr>
        <w:spacing w:line="360" w:lineRule="auto"/>
        <w:jc w:val="both"/>
        <w:rPr>
          <w:rFonts w:ascii="Arial" w:hAnsi="Arial" w:cs="Arial"/>
          <w:lang w:bidi="th-TH"/>
        </w:rPr>
      </w:pPr>
    </w:p>
    <w:p w14:paraId="556B668E" w14:textId="77777777" w:rsidR="006A6F24" w:rsidRDefault="006A6F24" w:rsidP="00405732">
      <w:pPr>
        <w:spacing w:line="360" w:lineRule="auto"/>
        <w:jc w:val="both"/>
        <w:rPr>
          <w:rFonts w:ascii="Arial" w:hAnsi="Arial" w:cs="Arial"/>
          <w:lang w:bidi="th-TH"/>
        </w:rPr>
      </w:pPr>
    </w:p>
    <w:p w14:paraId="00405549" w14:textId="77777777" w:rsidR="006A6F24" w:rsidRDefault="006A6F24" w:rsidP="00405732">
      <w:pPr>
        <w:spacing w:line="360" w:lineRule="auto"/>
        <w:jc w:val="both"/>
        <w:rPr>
          <w:rFonts w:ascii="Arial" w:hAnsi="Arial" w:cs="Arial"/>
          <w:lang w:bidi="th-TH"/>
        </w:rPr>
      </w:pPr>
    </w:p>
    <w:p w14:paraId="12C5EABA" w14:textId="77777777" w:rsidR="006A6F24" w:rsidRDefault="006A6F24" w:rsidP="00405732">
      <w:pPr>
        <w:spacing w:line="360" w:lineRule="auto"/>
        <w:jc w:val="both"/>
        <w:rPr>
          <w:rFonts w:ascii="Arial" w:hAnsi="Arial" w:cs="Arial"/>
          <w:lang w:bidi="th-TH"/>
        </w:rPr>
      </w:pPr>
    </w:p>
    <w:p w14:paraId="6E5A8F53" w14:textId="77777777" w:rsidR="006A6F24" w:rsidRDefault="006A6F24" w:rsidP="00405732">
      <w:pPr>
        <w:spacing w:line="360" w:lineRule="auto"/>
        <w:jc w:val="both"/>
        <w:rPr>
          <w:rFonts w:ascii="Arial" w:hAnsi="Arial" w:cs="Arial"/>
          <w:lang w:bidi="th-TH"/>
        </w:rPr>
      </w:pPr>
    </w:p>
    <w:p w14:paraId="68E80B5C" w14:textId="77777777" w:rsidR="006A6F24" w:rsidRDefault="006A6F24" w:rsidP="00405732">
      <w:pPr>
        <w:spacing w:line="360" w:lineRule="auto"/>
        <w:jc w:val="both"/>
        <w:rPr>
          <w:rFonts w:ascii="Arial" w:hAnsi="Arial" w:cs="Arial"/>
          <w:lang w:bidi="th-TH"/>
        </w:rPr>
      </w:pPr>
    </w:p>
    <w:p w14:paraId="4D763CCB" w14:textId="77777777" w:rsidR="006A6F24" w:rsidRDefault="006A6F24" w:rsidP="00405732">
      <w:pPr>
        <w:spacing w:line="360" w:lineRule="auto"/>
        <w:jc w:val="both"/>
        <w:rPr>
          <w:rFonts w:ascii="Arial" w:hAnsi="Arial" w:cs="Arial"/>
          <w:lang w:bidi="th-TH"/>
        </w:rPr>
      </w:pPr>
    </w:p>
    <w:p w14:paraId="4676D673" w14:textId="77777777" w:rsidR="006A6F24" w:rsidRDefault="006A6F24" w:rsidP="00405732">
      <w:pPr>
        <w:spacing w:line="360" w:lineRule="auto"/>
        <w:jc w:val="both"/>
        <w:rPr>
          <w:rFonts w:ascii="Arial" w:hAnsi="Arial" w:cs="Arial"/>
          <w:lang w:bidi="th-TH"/>
        </w:rPr>
      </w:pPr>
    </w:p>
    <w:p w14:paraId="23F257CA" w14:textId="77777777" w:rsidR="006A6F24" w:rsidRDefault="006A6F24" w:rsidP="00405732">
      <w:pPr>
        <w:spacing w:line="360" w:lineRule="auto"/>
        <w:jc w:val="both"/>
        <w:rPr>
          <w:rFonts w:ascii="Arial" w:hAnsi="Arial" w:cs="Arial"/>
          <w:lang w:bidi="th-TH"/>
        </w:rPr>
      </w:pPr>
    </w:p>
    <w:p w14:paraId="6B28E1E8" w14:textId="77777777" w:rsidR="006A6F24" w:rsidRDefault="006A6F24" w:rsidP="00405732">
      <w:pPr>
        <w:spacing w:line="360" w:lineRule="auto"/>
        <w:jc w:val="both"/>
        <w:rPr>
          <w:rFonts w:ascii="Arial" w:hAnsi="Arial" w:cs="Arial"/>
          <w:lang w:bidi="th-TH"/>
        </w:rPr>
      </w:pPr>
    </w:p>
    <w:p w14:paraId="3E3B183F" w14:textId="77777777" w:rsidR="006A6F24" w:rsidRDefault="006A6F24" w:rsidP="00405732">
      <w:pPr>
        <w:spacing w:line="360" w:lineRule="auto"/>
        <w:jc w:val="both"/>
        <w:rPr>
          <w:rFonts w:ascii="Arial" w:hAnsi="Arial" w:cs="Arial"/>
          <w:lang w:bidi="th-TH"/>
        </w:rPr>
      </w:pPr>
    </w:p>
    <w:p w14:paraId="258994AF" w14:textId="77777777" w:rsidR="006A6F24" w:rsidRDefault="006A6F24" w:rsidP="00405732">
      <w:pPr>
        <w:spacing w:line="360" w:lineRule="auto"/>
        <w:jc w:val="both"/>
        <w:rPr>
          <w:rFonts w:ascii="Arial" w:hAnsi="Arial" w:cs="Arial"/>
          <w:lang w:bidi="th-TH"/>
        </w:rPr>
      </w:pPr>
    </w:p>
    <w:p w14:paraId="3B729A4D" w14:textId="77777777" w:rsidR="006A6F24" w:rsidRDefault="006A6F24" w:rsidP="00405732">
      <w:pPr>
        <w:spacing w:line="360" w:lineRule="auto"/>
        <w:jc w:val="both"/>
        <w:rPr>
          <w:rFonts w:ascii="Arial" w:hAnsi="Arial" w:cs="Arial"/>
          <w:lang w:bidi="th-TH"/>
        </w:rPr>
      </w:pPr>
    </w:p>
    <w:p w14:paraId="3F4477B7" w14:textId="77777777" w:rsidR="006A6F24" w:rsidRDefault="006A6F24" w:rsidP="00405732">
      <w:pPr>
        <w:spacing w:line="360" w:lineRule="auto"/>
        <w:jc w:val="both"/>
        <w:rPr>
          <w:rFonts w:ascii="Arial" w:hAnsi="Arial" w:cs="Arial"/>
          <w:lang w:bidi="th-TH"/>
        </w:rPr>
      </w:pPr>
    </w:p>
    <w:p w14:paraId="380E9197" w14:textId="77777777" w:rsidR="006A6F24" w:rsidRPr="00E452F9" w:rsidRDefault="006A6F24" w:rsidP="006A6F24">
      <w:pPr>
        <w:pStyle w:val="Heading1"/>
        <w:spacing w:line="360" w:lineRule="auto"/>
        <w:jc w:val="both"/>
        <w:rPr>
          <w:rFonts w:ascii="Arial" w:hAnsi="Arial" w:cs="Arial"/>
          <w:szCs w:val="24"/>
        </w:rPr>
      </w:pPr>
      <w:bookmarkStart w:id="21" w:name="_Toc213243610"/>
      <w:r w:rsidRPr="00E452F9">
        <w:rPr>
          <w:rFonts w:ascii="Arial" w:hAnsi="Arial" w:cs="Arial"/>
          <w:szCs w:val="24"/>
        </w:rPr>
        <w:lastRenderedPageBreak/>
        <w:t>References</w:t>
      </w:r>
      <w:bookmarkEnd w:id="21"/>
    </w:p>
    <w:p w14:paraId="21F4272C"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t xml:space="preserve">Aggarwal, P. and Garg, S. (2019). Restructuring through spin-off: impact on shareholder wealth. </w:t>
      </w:r>
      <w:r w:rsidRPr="00E452F9">
        <w:rPr>
          <w:rFonts w:ascii="Arial" w:hAnsi="Arial" w:cs="Arial"/>
          <w:i/>
          <w:iCs/>
        </w:rPr>
        <w:t>Managerial Finance</w:t>
      </w:r>
      <w:r w:rsidRPr="00E452F9">
        <w:rPr>
          <w:rFonts w:ascii="Arial" w:hAnsi="Arial" w:cs="Arial"/>
        </w:rPr>
        <w:t xml:space="preserve">, 45(10/11), pp.1458–1468. </w:t>
      </w:r>
      <w:proofErr w:type="spellStart"/>
      <w:r w:rsidRPr="00E452F9">
        <w:rPr>
          <w:rFonts w:ascii="Arial" w:hAnsi="Arial" w:cs="Arial"/>
        </w:rPr>
        <w:t>doi</w:t>
      </w:r>
      <w:proofErr w:type="spellEnd"/>
      <w:r w:rsidRPr="00E452F9">
        <w:rPr>
          <w:rFonts w:ascii="Arial" w:hAnsi="Arial" w:cs="Arial"/>
        </w:rPr>
        <w:t xml:space="preserve">: </w:t>
      </w:r>
      <w:hyperlink r:id="rId26" w:history="1">
        <w:r w:rsidRPr="00E452F9">
          <w:rPr>
            <w:rStyle w:val="Hyperlink"/>
            <w:rFonts w:ascii="Arial" w:hAnsi="Arial" w:cs="Arial"/>
          </w:rPr>
          <w:t>https://doi.org/10.1108/mf-11-2017-0487</w:t>
        </w:r>
      </w:hyperlink>
      <w:r w:rsidRPr="00E452F9">
        <w:rPr>
          <w:rFonts w:ascii="Arial" w:hAnsi="Arial" w:cs="Arial"/>
        </w:rPr>
        <w:t xml:space="preserve">. </w:t>
      </w:r>
    </w:p>
    <w:p w14:paraId="2E8F95B5"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t xml:space="preserve">Ahmad, M. (2020). Does </w:t>
      </w:r>
      <w:proofErr w:type="spellStart"/>
      <w:r w:rsidRPr="00E452F9">
        <w:rPr>
          <w:rFonts w:ascii="Arial" w:hAnsi="Arial" w:cs="Arial"/>
        </w:rPr>
        <w:t>underconfidence</w:t>
      </w:r>
      <w:proofErr w:type="spellEnd"/>
      <w:r w:rsidRPr="00E452F9">
        <w:rPr>
          <w:rFonts w:ascii="Arial" w:hAnsi="Arial" w:cs="Arial"/>
        </w:rPr>
        <w:t xml:space="preserve"> matter in short-term and long-term investment decisions? Evidence from an emerging market. </w:t>
      </w:r>
      <w:r w:rsidRPr="00E452F9">
        <w:rPr>
          <w:rFonts w:ascii="Arial" w:hAnsi="Arial" w:cs="Arial"/>
          <w:i/>
          <w:iCs/>
        </w:rPr>
        <w:t>Management Decision</w:t>
      </w:r>
      <w:r w:rsidRPr="00E452F9">
        <w:rPr>
          <w:rFonts w:ascii="Arial" w:hAnsi="Arial" w:cs="Arial"/>
        </w:rPr>
        <w:t xml:space="preserve">, ahead-of-print(ahead-of-print). </w:t>
      </w:r>
      <w:proofErr w:type="spellStart"/>
      <w:r w:rsidRPr="00E452F9">
        <w:rPr>
          <w:rFonts w:ascii="Arial" w:hAnsi="Arial" w:cs="Arial"/>
        </w:rPr>
        <w:t>doi</w:t>
      </w:r>
      <w:proofErr w:type="spellEnd"/>
      <w:r w:rsidRPr="00E452F9">
        <w:rPr>
          <w:rFonts w:ascii="Arial" w:hAnsi="Arial" w:cs="Arial"/>
        </w:rPr>
        <w:t xml:space="preserve">: </w:t>
      </w:r>
      <w:hyperlink r:id="rId27" w:history="1">
        <w:r w:rsidRPr="00E452F9">
          <w:rPr>
            <w:rStyle w:val="Hyperlink"/>
            <w:rFonts w:ascii="Arial" w:hAnsi="Arial" w:cs="Arial"/>
          </w:rPr>
          <w:t>https://doi.org/10.1108/md-07-2019-0972</w:t>
        </w:r>
      </w:hyperlink>
      <w:r w:rsidRPr="00E452F9">
        <w:rPr>
          <w:rFonts w:ascii="Arial" w:hAnsi="Arial" w:cs="Arial"/>
        </w:rPr>
        <w:t xml:space="preserve">. </w:t>
      </w:r>
    </w:p>
    <w:p w14:paraId="556F089C" w14:textId="77777777" w:rsidR="006A6F24" w:rsidRPr="00E452F9" w:rsidRDefault="006A6F24" w:rsidP="006A6F24">
      <w:pPr>
        <w:pStyle w:val="NormalWeb"/>
        <w:spacing w:before="0" w:beforeAutospacing="0" w:after="240" w:afterAutospacing="0" w:line="360" w:lineRule="auto"/>
        <w:jc w:val="both"/>
        <w:rPr>
          <w:rFonts w:ascii="Arial" w:hAnsi="Arial" w:cs="Arial"/>
        </w:rPr>
      </w:pPr>
      <w:proofErr w:type="spellStart"/>
      <w:r w:rsidRPr="00E452F9">
        <w:rPr>
          <w:rFonts w:ascii="Arial" w:hAnsi="Arial" w:cs="Arial"/>
        </w:rPr>
        <w:t>Alalade</w:t>
      </w:r>
      <w:proofErr w:type="spellEnd"/>
      <w:r w:rsidRPr="00E452F9">
        <w:rPr>
          <w:rFonts w:ascii="Arial" w:hAnsi="Arial" w:cs="Arial"/>
        </w:rPr>
        <w:t xml:space="preserve">, Y. (2024). </w:t>
      </w:r>
      <w:r w:rsidRPr="00E452F9">
        <w:rPr>
          <w:rFonts w:ascii="Arial" w:hAnsi="Arial" w:cs="Arial"/>
          <w:i/>
          <w:iCs/>
        </w:rPr>
        <w:t>Optimizing Liquidity Management Strategies to Enhance Financial Performance in Nigerian Manufacturing Firms</w:t>
      </w:r>
      <w:r w:rsidRPr="00E452F9">
        <w:rPr>
          <w:rFonts w:ascii="Arial" w:hAnsi="Arial" w:cs="Arial"/>
        </w:rPr>
        <w:t xml:space="preserve">. [online] </w:t>
      </w:r>
      <w:proofErr w:type="spellStart"/>
      <w:r w:rsidRPr="00E452F9">
        <w:rPr>
          <w:rFonts w:ascii="Arial" w:hAnsi="Arial" w:cs="Arial"/>
        </w:rPr>
        <w:t>doi</w:t>
      </w:r>
      <w:proofErr w:type="spellEnd"/>
      <w:r w:rsidRPr="00E452F9">
        <w:rPr>
          <w:rFonts w:ascii="Arial" w:hAnsi="Arial" w:cs="Arial"/>
        </w:rPr>
        <w:t xml:space="preserve">: </w:t>
      </w:r>
      <w:hyperlink r:id="rId28" w:history="1">
        <w:r w:rsidRPr="00E452F9">
          <w:rPr>
            <w:rStyle w:val="Hyperlink"/>
            <w:rFonts w:ascii="Arial" w:hAnsi="Arial" w:cs="Arial"/>
          </w:rPr>
          <w:t>https://www.researchgate.net/profile/Olufemi-Ademola/publication/386175075_Optimizing_Liquidity_Management_Strategies_to_Enhance_Financial_Performance_in_Nigerian_Manufacturing_Firms/links/674780b3359dcb4d9d3ca183/Optimizing-Liquidity-Management-Strategies-to-Enhance-Financial-Performance-in-Nigerian-Manufacturing-Firms.pdf</w:t>
        </w:r>
      </w:hyperlink>
      <w:r w:rsidRPr="00E452F9">
        <w:rPr>
          <w:rFonts w:ascii="Arial" w:hAnsi="Arial" w:cs="Arial"/>
        </w:rPr>
        <w:t xml:space="preserve">. </w:t>
      </w:r>
    </w:p>
    <w:p w14:paraId="1FAA29EE"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t xml:space="preserve">Arjunan, K. (2022). A New Method to Estimate NPV and IRR from the Capital Amortization Schedule and the Advantages of the New Method. </w:t>
      </w:r>
      <w:r w:rsidRPr="00E452F9">
        <w:rPr>
          <w:rFonts w:ascii="Arial" w:hAnsi="Arial" w:cs="Arial"/>
          <w:i/>
          <w:iCs/>
        </w:rPr>
        <w:t>Australasian Business, Accounting and Finance Journal</w:t>
      </w:r>
      <w:r w:rsidRPr="00E452F9">
        <w:rPr>
          <w:rFonts w:ascii="Arial" w:hAnsi="Arial" w:cs="Arial"/>
        </w:rPr>
        <w:t xml:space="preserve">, 16(6), pp.23–44. </w:t>
      </w:r>
      <w:proofErr w:type="spellStart"/>
      <w:r w:rsidRPr="00E452F9">
        <w:rPr>
          <w:rFonts w:ascii="Arial" w:hAnsi="Arial" w:cs="Arial"/>
        </w:rPr>
        <w:t>doi</w:t>
      </w:r>
      <w:proofErr w:type="spellEnd"/>
      <w:r w:rsidRPr="00E452F9">
        <w:rPr>
          <w:rFonts w:ascii="Arial" w:hAnsi="Arial" w:cs="Arial"/>
        </w:rPr>
        <w:t xml:space="preserve">: </w:t>
      </w:r>
      <w:hyperlink r:id="rId29" w:history="1">
        <w:r w:rsidRPr="00E452F9">
          <w:rPr>
            <w:rStyle w:val="Hyperlink"/>
            <w:rFonts w:ascii="Arial" w:hAnsi="Arial" w:cs="Arial"/>
          </w:rPr>
          <w:t>https://doi.org/10.14453/aabfj.v16i6.03</w:t>
        </w:r>
      </w:hyperlink>
      <w:r w:rsidRPr="00E452F9">
        <w:rPr>
          <w:rFonts w:ascii="Arial" w:hAnsi="Arial" w:cs="Arial"/>
        </w:rPr>
        <w:t xml:space="preserve">. </w:t>
      </w:r>
    </w:p>
    <w:p w14:paraId="5E176075" w14:textId="77777777" w:rsidR="006A6F24" w:rsidRPr="00E452F9" w:rsidRDefault="006A6F24" w:rsidP="006A6F24">
      <w:pPr>
        <w:pStyle w:val="NormalWeb"/>
        <w:spacing w:before="0" w:beforeAutospacing="0" w:after="240" w:afterAutospacing="0" w:line="360" w:lineRule="auto"/>
        <w:jc w:val="both"/>
        <w:rPr>
          <w:rFonts w:ascii="Arial" w:hAnsi="Arial" w:cs="Arial"/>
        </w:rPr>
      </w:pPr>
      <w:proofErr w:type="spellStart"/>
      <w:r w:rsidRPr="00E452F9">
        <w:rPr>
          <w:rFonts w:ascii="Arial" w:hAnsi="Arial" w:cs="Arial"/>
        </w:rPr>
        <w:t>Asemi</w:t>
      </w:r>
      <w:proofErr w:type="spellEnd"/>
      <w:r w:rsidRPr="00E452F9">
        <w:rPr>
          <w:rFonts w:ascii="Arial" w:hAnsi="Arial" w:cs="Arial"/>
        </w:rPr>
        <w:t xml:space="preserve">, A., </w:t>
      </w:r>
      <w:proofErr w:type="spellStart"/>
      <w:r w:rsidRPr="00E452F9">
        <w:rPr>
          <w:rFonts w:ascii="Arial" w:hAnsi="Arial" w:cs="Arial"/>
        </w:rPr>
        <w:t>Asemi</w:t>
      </w:r>
      <w:proofErr w:type="spellEnd"/>
      <w:r w:rsidRPr="00E452F9">
        <w:rPr>
          <w:rFonts w:ascii="Arial" w:hAnsi="Arial" w:cs="Arial"/>
        </w:rPr>
        <w:t xml:space="preserve">, A. and Ko, A. (2023). Investment Recommender System Model Based on the Potential Investors’ Key Decision Factors. </w:t>
      </w:r>
      <w:r w:rsidRPr="00E452F9">
        <w:rPr>
          <w:rFonts w:ascii="Arial" w:hAnsi="Arial" w:cs="Arial"/>
          <w:i/>
          <w:iCs/>
        </w:rPr>
        <w:t>Big Data</w:t>
      </w:r>
      <w:r w:rsidRPr="00E452F9">
        <w:rPr>
          <w:rFonts w:ascii="Arial" w:hAnsi="Arial" w:cs="Arial"/>
        </w:rPr>
        <w:t xml:space="preserve">. </w:t>
      </w:r>
      <w:proofErr w:type="spellStart"/>
      <w:r w:rsidRPr="00E452F9">
        <w:rPr>
          <w:rFonts w:ascii="Arial" w:hAnsi="Arial" w:cs="Arial"/>
        </w:rPr>
        <w:t>doi</w:t>
      </w:r>
      <w:proofErr w:type="spellEnd"/>
      <w:r w:rsidRPr="00E452F9">
        <w:rPr>
          <w:rFonts w:ascii="Arial" w:hAnsi="Arial" w:cs="Arial"/>
        </w:rPr>
        <w:t xml:space="preserve">: </w:t>
      </w:r>
      <w:hyperlink r:id="rId30" w:history="1">
        <w:r w:rsidRPr="00E452F9">
          <w:rPr>
            <w:rStyle w:val="Hyperlink"/>
            <w:rFonts w:ascii="Arial" w:hAnsi="Arial" w:cs="Arial"/>
          </w:rPr>
          <w:t>https://doi.org/10.1089/big.2022.0302</w:t>
        </w:r>
      </w:hyperlink>
      <w:r w:rsidRPr="00E452F9">
        <w:rPr>
          <w:rFonts w:ascii="Arial" w:hAnsi="Arial" w:cs="Arial"/>
        </w:rPr>
        <w:t xml:space="preserve">. </w:t>
      </w:r>
    </w:p>
    <w:p w14:paraId="41DC4FE8"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t xml:space="preserve">Asman, F.N., Fernandez, D., Jamaludin, N.A., Omar Zaki, H. and Ghazali, A.W. (2022). Cash Conversion Cycle and Firm’s Performance. </w:t>
      </w:r>
      <w:r w:rsidRPr="00E452F9">
        <w:rPr>
          <w:rFonts w:ascii="Arial" w:hAnsi="Arial" w:cs="Arial"/>
          <w:i/>
          <w:iCs/>
        </w:rPr>
        <w:t>International Journal of Academic Research in Business and Social Sciences</w:t>
      </w:r>
      <w:r w:rsidRPr="00E452F9">
        <w:rPr>
          <w:rFonts w:ascii="Arial" w:hAnsi="Arial" w:cs="Arial"/>
        </w:rPr>
        <w:t xml:space="preserve">, 12(11). </w:t>
      </w:r>
      <w:proofErr w:type="spellStart"/>
      <w:r w:rsidRPr="00E452F9">
        <w:rPr>
          <w:rFonts w:ascii="Arial" w:hAnsi="Arial" w:cs="Arial"/>
        </w:rPr>
        <w:t>doi</w:t>
      </w:r>
      <w:proofErr w:type="spellEnd"/>
      <w:r w:rsidRPr="00E452F9">
        <w:rPr>
          <w:rFonts w:ascii="Arial" w:hAnsi="Arial" w:cs="Arial"/>
        </w:rPr>
        <w:t xml:space="preserve">: </w:t>
      </w:r>
      <w:hyperlink r:id="rId31" w:history="1">
        <w:r w:rsidRPr="00E452F9">
          <w:rPr>
            <w:rStyle w:val="Hyperlink"/>
            <w:rFonts w:ascii="Arial" w:hAnsi="Arial" w:cs="Arial"/>
          </w:rPr>
          <w:t>https://doi.org/10.6007/ijarbss/v12-i11/15276</w:t>
        </w:r>
      </w:hyperlink>
      <w:r w:rsidRPr="00E452F9">
        <w:rPr>
          <w:rFonts w:ascii="Arial" w:hAnsi="Arial" w:cs="Arial"/>
        </w:rPr>
        <w:t xml:space="preserve">. </w:t>
      </w:r>
    </w:p>
    <w:p w14:paraId="3BF2443C"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t xml:space="preserve">AWODIRE, Kabiru </w:t>
      </w:r>
      <w:proofErr w:type="spellStart"/>
      <w:r w:rsidRPr="00E452F9">
        <w:rPr>
          <w:rFonts w:ascii="Arial" w:hAnsi="Arial" w:cs="Arial"/>
        </w:rPr>
        <w:t>Olatoye</w:t>
      </w:r>
      <w:proofErr w:type="spellEnd"/>
      <w:r w:rsidRPr="00E452F9">
        <w:rPr>
          <w:rFonts w:ascii="Arial" w:hAnsi="Arial" w:cs="Arial"/>
        </w:rPr>
        <w:t xml:space="preserve"> AGBOOLA, Temitope Olanrewaju OGUNDOJUTIMI and Olukoya Olanrewaju ODUMUWAGUN (2023). Capital Budgeting and Financial Investment Appraisal: A Review of Archival Literature. </w:t>
      </w:r>
      <w:r w:rsidRPr="00E452F9">
        <w:rPr>
          <w:rFonts w:ascii="Arial" w:hAnsi="Arial" w:cs="Arial"/>
          <w:i/>
          <w:iCs/>
        </w:rPr>
        <w:t>American Journal of Multidisciplinary Research in Africa</w:t>
      </w:r>
      <w:r w:rsidRPr="00E452F9">
        <w:rPr>
          <w:rFonts w:ascii="Arial" w:hAnsi="Arial" w:cs="Arial"/>
        </w:rPr>
        <w:t xml:space="preserve">, 3(5). </w:t>
      </w:r>
      <w:proofErr w:type="spellStart"/>
      <w:r w:rsidRPr="00E452F9">
        <w:rPr>
          <w:rFonts w:ascii="Arial" w:hAnsi="Arial" w:cs="Arial"/>
        </w:rPr>
        <w:t>doi</w:t>
      </w:r>
      <w:proofErr w:type="spellEnd"/>
      <w:r w:rsidRPr="00E452F9">
        <w:rPr>
          <w:rFonts w:ascii="Arial" w:hAnsi="Arial" w:cs="Arial"/>
        </w:rPr>
        <w:t xml:space="preserve">: </w:t>
      </w:r>
      <w:hyperlink r:id="rId32" w:history="1">
        <w:r w:rsidRPr="00E452F9">
          <w:rPr>
            <w:rStyle w:val="Hyperlink"/>
            <w:rFonts w:ascii="Arial" w:hAnsi="Arial" w:cs="Arial"/>
          </w:rPr>
          <w:t>https://doi.org/10.58314/uuhyt2</w:t>
        </w:r>
      </w:hyperlink>
      <w:r w:rsidRPr="00E452F9">
        <w:rPr>
          <w:rFonts w:ascii="Arial" w:hAnsi="Arial" w:cs="Arial"/>
        </w:rPr>
        <w:t xml:space="preserve">. </w:t>
      </w:r>
    </w:p>
    <w:p w14:paraId="58307A2D" w14:textId="77777777" w:rsidR="006A6F24" w:rsidRPr="00E452F9" w:rsidRDefault="006A6F24" w:rsidP="006A6F24">
      <w:pPr>
        <w:pStyle w:val="NormalWeb"/>
        <w:spacing w:before="0" w:beforeAutospacing="0" w:after="240" w:afterAutospacing="0" w:line="360" w:lineRule="auto"/>
        <w:jc w:val="both"/>
        <w:rPr>
          <w:rFonts w:ascii="Arial" w:hAnsi="Arial" w:cs="Arial"/>
        </w:rPr>
      </w:pPr>
      <w:proofErr w:type="spellStart"/>
      <w:r w:rsidRPr="00E452F9">
        <w:rPr>
          <w:rFonts w:ascii="Arial" w:hAnsi="Arial" w:cs="Arial"/>
        </w:rPr>
        <w:lastRenderedPageBreak/>
        <w:t>Butticè</w:t>
      </w:r>
      <w:proofErr w:type="spellEnd"/>
      <w:r w:rsidRPr="00E452F9">
        <w:rPr>
          <w:rFonts w:ascii="Arial" w:hAnsi="Arial" w:cs="Arial"/>
        </w:rPr>
        <w:t xml:space="preserve">, V., Di Pietro, F. and </w:t>
      </w:r>
      <w:proofErr w:type="spellStart"/>
      <w:r w:rsidRPr="00E452F9">
        <w:rPr>
          <w:rFonts w:ascii="Arial" w:hAnsi="Arial" w:cs="Arial"/>
        </w:rPr>
        <w:t>Tenca</w:t>
      </w:r>
      <w:proofErr w:type="spellEnd"/>
      <w:r w:rsidRPr="00E452F9">
        <w:rPr>
          <w:rFonts w:ascii="Arial" w:hAnsi="Arial" w:cs="Arial"/>
        </w:rPr>
        <w:t xml:space="preserve">, F. (2020). Is equity crowdfunding always good? Deal structure and the attraction of venture capital investors. </w:t>
      </w:r>
      <w:r w:rsidRPr="00E452F9">
        <w:rPr>
          <w:rFonts w:ascii="Arial" w:hAnsi="Arial" w:cs="Arial"/>
          <w:i/>
          <w:iCs/>
        </w:rPr>
        <w:t>Journal of Corporate Finance</w:t>
      </w:r>
      <w:r w:rsidRPr="00E452F9">
        <w:rPr>
          <w:rFonts w:ascii="Arial" w:hAnsi="Arial" w:cs="Arial"/>
        </w:rPr>
        <w:t xml:space="preserve">, 65, p.101773. </w:t>
      </w:r>
      <w:proofErr w:type="spellStart"/>
      <w:r w:rsidRPr="00E452F9">
        <w:rPr>
          <w:rFonts w:ascii="Arial" w:hAnsi="Arial" w:cs="Arial"/>
        </w:rPr>
        <w:t>doi</w:t>
      </w:r>
      <w:proofErr w:type="spellEnd"/>
      <w:r w:rsidRPr="00E452F9">
        <w:rPr>
          <w:rFonts w:ascii="Arial" w:hAnsi="Arial" w:cs="Arial"/>
        </w:rPr>
        <w:t xml:space="preserve">: </w:t>
      </w:r>
      <w:hyperlink r:id="rId33" w:history="1">
        <w:r w:rsidRPr="00E452F9">
          <w:rPr>
            <w:rStyle w:val="Hyperlink"/>
            <w:rFonts w:ascii="Arial" w:hAnsi="Arial" w:cs="Arial"/>
          </w:rPr>
          <w:t>https://doi.org/10.1016/j.jcorpfin.2020.101773</w:t>
        </w:r>
      </w:hyperlink>
      <w:r w:rsidRPr="00E452F9">
        <w:rPr>
          <w:rFonts w:ascii="Arial" w:hAnsi="Arial" w:cs="Arial"/>
        </w:rPr>
        <w:t xml:space="preserve">. </w:t>
      </w:r>
    </w:p>
    <w:p w14:paraId="56CBFC05"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t xml:space="preserve">Carreras Simó, M. and </w:t>
      </w:r>
      <w:proofErr w:type="spellStart"/>
      <w:r w:rsidRPr="00E452F9">
        <w:rPr>
          <w:rFonts w:ascii="Arial" w:hAnsi="Arial" w:cs="Arial"/>
        </w:rPr>
        <w:t>Coenders</w:t>
      </w:r>
      <w:proofErr w:type="spellEnd"/>
      <w:r w:rsidRPr="00E452F9">
        <w:rPr>
          <w:rFonts w:ascii="Arial" w:hAnsi="Arial" w:cs="Arial"/>
        </w:rPr>
        <w:t xml:space="preserve">, G. (2020). Principal component analysis of financial statements. A compositional approach. </w:t>
      </w:r>
      <w:r w:rsidRPr="00E452F9">
        <w:rPr>
          <w:rFonts w:ascii="Arial" w:hAnsi="Arial" w:cs="Arial"/>
          <w:i/>
          <w:iCs/>
        </w:rPr>
        <w:t xml:space="preserve">Revista de </w:t>
      </w:r>
      <w:proofErr w:type="spellStart"/>
      <w:r w:rsidRPr="00E452F9">
        <w:rPr>
          <w:rFonts w:ascii="Arial" w:hAnsi="Arial" w:cs="Arial"/>
          <w:i/>
          <w:iCs/>
        </w:rPr>
        <w:t>Métodos</w:t>
      </w:r>
      <w:proofErr w:type="spellEnd"/>
      <w:r w:rsidRPr="00E452F9">
        <w:rPr>
          <w:rFonts w:ascii="Arial" w:hAnsi="Arial" w:cs="Arial"/>
          <w:i/>
          <w:iCs/>
        </w:rPr>
        <w:t xml:space="preserve"> </w:t>
      </w:r>
      <w:proofErr w:type="spellStart"/>
      <w:r w:rsidRPr="00E452F9">
        <w:rPr>
          <w:rFonts w:ascii="Arial" w:hAnsi="Arial" w:cs="Arial"/>
          <w:i/>
          <w:iCs/>
        </w:rPr>
        <w:t>Cuantitativos</w:t>
      </w:r>
      <w:proofErr w:type="spellEnd"/>
      <w:r w:rsidRPr="00E452F9">
        <w:rPr>
          <w:rFonts w:ascii="Arial" w:hAnsi="Arial" w:cs="Arial"/>
          <w:i/>
          <w:iCs/>
        </w:rPr>
        <w:t xml:space="preserve"> para la Economía y la Empresa</w:t>
      </w:r>
      <w:r w:rsidRPr="00E452F9">
        <w:rPr>
          <w:rFonts w:ascii="Arial" w:hAnsi="Arial" w:cs="Arial"/>
        </w:rPr>
        <w:t xml:space="preserve">, 29, pp.18–37. </w:t>
      </w:r>
      <w:proofErr w:type="spellStart"/>
      <w:r w:rsidRPr="00E452F9">
        <w:rPr>
          <w:rFonts w:ascii="Arial" w:hAnsi="Arial" w:cs="Arial"/>
        </w:rPr>
        <w:t>doi</w:t>
      </w:r>
      <w:proofErr w:type="spellEnd"/>
      <w:r w:rsidRPr="00E452F9">
        <w:rPr>
          <w:rFonts w:ascii="Arial" w:hAnsi="Arial" w:cs="Arial"/>
        </w:rPr>
        <w:t xml:space="preserve">: </w:t>
      </w:r>
      <w:hyperlink r:id="rId34" w:history="1">
        <w:r w:rsidRPr="00E452F9">
          <w:rPr>
            <w:rStyle w:val="Hyperlink"/>
            <w:rFonts w:ascii="Arial" w:hAnsi="Arial" w:cs="Arial"/>
          </w:rPr>
          <w:t>https://doi.org/10.46661/revmetodoscuanteconempresa.3580</w:t>
        </w:r>
      </w:hyperlink>
      <w:r w:rsidRPr="00E452F9">
        <w:rPr>
          <w:rFonts w:ascii="Arial" w:hAnsi="Arial" w:cs="Arial"/>
        </w:rPr>
        <w:t xml:space="preserve">. </w:t>
      </w:r>
    </w:p>
    <w:p w14:paraId="6A902654"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t xml:space="preserve">Chen, M., Wang, C., Qin, C., Xu, T., Ma, J., Chen, E. and Xiong, H. (2021). A Trend-aware Investment Target Recommendation System with Heterogeneous Graph. </w:t>
      </w:r>
      <w:r w:rsidRPr="00E452F9">
        <w:rPr>
          <w:rFonts w:ascii="Arial" w:hAnsi="Arial" w:cs="Arial"/>
          <w:i/>
          <w:iCs/>
        </w:rPr>
        <w:t>2021 International Joint Conference on Neural Networks (IJCNN)</w:t>
      </w:r>
      <w:r w:rsidRPr="00E452F9">
        <w:rPr>
          <w:rFonts w:ascii="Arial" w:hAnsi="Arial" w:cs="Arial"/>
        </w:rPr>
        <w:t xml:space="preserve">, [online] pp.1–8. </w:t>
      </w:r>
      <w:proofErr w:type="spellStart"/>
      <w:r w:rsidRPr="00E452F9">
        <w:rPr>
          <w:rFonts w:ascii="Arial" w:hAnsi="Arial" w:cs="Arial"/>
        </w:rPr>
        <w:t>doi</w:t>
      </w:r>
      <w:proofErr w:type="spellEnd"/>
      <w:r w:rsidRPr="00E452F9">
        <w:rPr>
          <w:rFonts w:ascii="Arial" w:hAnsi="Arial" w:cs="Arial"/>
        </w:rPr>
        <w:t xml:space="preserve">: </w:t>
      </w:r>
      <w:hyperlink r:id="rId35" w:history="1">
        <w:r w:rsidRPr="00E452F9">
          <w:rPr>
            <w:rStyle w:val="Hyperlink"/>
            <w:rFonts w:ascii="Arial" w:hAnsi="Arial" w:cs="Arial"/>
          </w:rPr>
          <w:t>https://doi.org/10.1109/ijcnn52387.2021.9533535</w:t>
        </w:r>
      </w:hyperlink>
      <w:r w:rsidRPr="00E452F9">
        <w:rPr>
          <w:rFonts w:ascii="Arial" w:hAnsi="Arial" w:cs="Arial"/>
        </w:rPr>
        <w:t xml:space="preserve">. </w:t>
      </w:r>
    </w:p>
    <w:p w14:paraId="371B4E8A"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t xml:space="preserve">Dubrovski, D. (2021). Changing Culture and Ethics as an Integral Part of a Comprehensive Restructuring of a Company. </w:t>
      </w:r>
      <w:r w:rsidRPr="00E452F9">
        <w:rPr>
          <w:rFonts w:ascii="Arial" w:hAnsi="Arial" w:cs="Arial"/>
          <w:i/>
          <w:iCs/>
        </w:rPr>
        <w:t>Accounting, Finance, Sustainability, Governance &amp; Fraud: Theory and Application</w:t>
      </w:r>
      <w:r w:rsidRPr="00E452F9">
        <w:rPr>
          <w:rFonts w:ascii="Arial" w:hAnsi="Arial" w:cs="Arial"/>
        </w:rPr>
        <w:t xml:space="preserve">, pp.77–91. </w:t>
      </w:r>
      <w:proofErr w:type="spellStart"/>
      <w:r w:rsidRPr="00E452F9">
        <w:rPr>
          <w:rFonts w:ascii="Arial" w:hAnsi="Arial" w:cs="Arial"/>
        </w:rPr>
        <w:t>doi</w:t>
      </w:r>
      <w:proofErr w:type="spellEnd"/>
      <w:r w:rsidRPr="00E452F9">
        <w:rPr>
          <w:rFonts w:ascii="Arial" w:hAnsi="Arial" w:cs="Arial"/>
        </w:rPr>
        <w:t xml:space="preserve">: </w:t>
      </w:r>
      <w:hyperlink r:id="rId36" w:history="1">
        <w:r w:rsidRPr="00E452F9">
          <w:rPr>
            <w:rStyle w:val="Hyperlink"/>
            <w:rFonts w:ascii="Arial" w:hAnsi="Arial" w:cs="Arial"/>
          </w:rPr>
          <w:t>https://doi.org/10.1007/978-981-33-6808-8_5</w:t>
        </w:r>
      </w:hyperlink>
      <w:r w:rsidRPr="00E452F9">
        <w:rPr>
          <w:rFonts w:ascii="Arial" w:hAnsi="Arial" w:cs="Arial"/>
        </w:rPr>
        <w:t xml:space="preserve">. </w:t>
      </w:r>
    </w:p>
    <w:p w14:paraId="2DA0DECC"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t xml:space="preserve">Effiong, </w:t>
      </w:r>
      <w:proofErr w:type="spellStart"/>
      <w:r w:rsidRPr="00E452F9">
        <w:rPr>
          <w:rFonts w:ascii="Arial" w:hAnsi="Arial" w:cs="Arial"/>
        </w:rPr>
        <w:t>Ds.A</w:t>
      </w:r>
      <w:proofErr w:type="spellEnd"/>
      <w:r w:rsidRPr="00E452F9">
        <w:rPr>
          <w:rFonts w:ascii="Arial" w:hAnsi="Arial" w:cs="Arial"/>
        </w:rPr>
        <w:t xml:space="preserve">. and Enya, E.F. (2020). Liquidity Risk Management and Financial Performance: Are Consumer Goods Companies Involved? </w:t>
      </w:r>
      <w:r w:rsidRPr="00E452F9">
        <w:rPr>
          <w:rFonts w:ascii="Arial" w:hAnsi="Arial" w:cs="Arial"/>
          <w:i/>
          <w:iCs/>
        </w:rPr>
        <w:t>International Journal of Recent Technology and Engineering</w:t>
      </w:r>
      <w:r w:rsidRPr="00E452F9">
        <w:rPr>
          <w:rFonts w:ascii="Arial" w:hAnsi="Arial" w:cs="Arial"/>
        </w:rPr>
        <w:t xml:space="preserve">, 9(1), pp.580–589. </w:t>
      </w:r>
      <w:proofErr w:type="spellStart"/>
      <w:r w:rsidRPr="00E452F9">
        <w:rPr>
          <w:rFonts w:ascii="Arial" w:hAnsi="Arial" w:cs="Arial"/>
        </w:rPr>
        <w:t>doi</w:t>
      </w:r>
      <w:proofErr w:type="spellEnd"/>
      <w:r w:rsidRPr="00E452F9">
        <w:rPr>
          <w:rFonts w:ascii="Arial" w:hAnsi="Arial" w:cs="Arial"/>
        </w:rPr>
        <w:t xml:space="preserve">: </w:t>
      </w:r>
      <w:hyperlink r:id="rId37" w:history="1">
        <w:r w:rsidRPr="00E452F9">
          <w:rPr>
            <w:rStyle w:val="Hyperlink"/>
            <w:rFonts w:ascii="Arial" w:hAnsi="Arial" w:cs="Arial"/>
          </w:rPr>
          <w:t>https://doi.org/10.35940/ijrte.a1692.059120</w:t>
        </w:r>
      </w:hyperlink>
      <w:r w:rsidRPr="00E452F9">
        <w:rPr>
          <w:rFonts w:ascii="Arial" w:hAnsi="Arial" w:cs="Arial"/>
        </w:rPr>
        <w:t xml:space="preserve">. </w:t>
      </w:r>
    </w:p>
    <w:p w14:paraId="0F9009B6" w14:textId="77777777" w:rsidR="006A6F24" w:rsidRPr="00E452F9" w:rsidRDefault="006A6F24" w:rsidP="006A6F24">
      <w:pPr>
        <w:pStyle w:val="NormalWeb"/>
        <w:spacing w:before="0" w:beforeAutospacing="0" w:after="240" w:afterAutospacing="0" w:line="360" w:lineRule="auto"/>
        <w:jc w:val="both"/>
        <w:rPr>
          <w:rFonts w:ascii="Arial" w:hAnsi="Arial" w:cs="Arial"/>
        </w:rPr>
      </w:pPr>
      <w:proofErr w:type="spellStart"/>
      <w:r w:rsidRPr="00E452F9">
        <w:rPr>
          <w:rFonts w:ascii="Arial" w:hAnsi="Arial" w:cs="Arial"/>
        </w:rPr>
        <w:t>Hasidi</w:t>
      </w:r>
      <w:proofErr w:type="spellEnd"/>
      <w:r w:rsidRPr="00E452F9">
        <w:rPr>
          <w:rFonts w:ascii="Arial" w:hAnsi="Arial" w:cs="Arial"/>
        </w:rPr>
        <w:t xml:space="preserve">, M.H., </w:t>
      </w:r>
      <w:proofErr w:type="spellStart"/>
      <w:r w:rsidRPr="00E452F9">
        <w:rPr>
          <w:rFonts w:ascii="Arial" w:hAnsi="Arial" w:cs="Arial"/>
        </w:rPr>
        <w:t>Baheri</w:t>
      </w:r>
      <w:proofErr w:type="spellEnd"/>
      <w:r w:rsidRPr="00E452F9">
        <w:rPr>
          <w:rFonts w:ascii="Arial" w:hAnsi="Arial" w:cs="Arial"/>
        </w:rPr>
        <w:t xml:space="preserve">, J. and Hajar, K.I. (2024). Financial Performance Evaluation Using Profitability and Liquidity Ratio Analysis. </w:t>
      </w:r>
      <w:proofErr w:type="spellStart"/>
      <w:r w:rsidRPr="00E452F9">
        <w:rPr>
          <w:rFonts w:ascii="Arial" w:hAnsi="Arial" w:cs="Arial"/>
          <w:i/>
          <w:iCs/>
        </w:rPr>
        <w:t>Jurnal</w:t>
      </w:r>
      <w:proofErr w:type="spellEnd"/>
      <w:r w:rsidRPr="00E452F9">
        <w:rPr>
          <w:rFonts w:ascii="Arial" w:hAnsi="Arial" w:cs="Arial"/>
          <w:i/>
          <w:iCs/>
        </w:rPr>
        <w:t xml:space="preserve"> </w:t>
      </w:r>
      <w:proofErr w:type="spellStart"/>
      <w:r w:rsidRPr="00E452F9">
        <w:rPr>
          <w:rFonts w:ascii="Arial" w:hAnsi="Arial" w:cs="Arial"/>
          <w:i/>
          <w:iCs/>
        </w:rPr>
        <w:t>Ilmiah</w:t>
      </w:r>
      <w:proofErr w:type="spellEnd"/>
      <w:r w:rsidRPr="00E452F9">
        <w:rPr>
          <w:rFonts w:ascii="Arial" w:hAnsi="Arial" w:cs="Arial"/>
          <w:i/>
          <w:iCs/>
        </w:rPr>
        <w:t xml:space="preserve"> </w:t>
      </w:r>
      <w:proofErr w:type="spellStart"/>
      <w:r w:rsidRPr="00E452F9">
        <w:rPr>
          <w:rFonts w:ascii="Arial" w:hAnsi="Arial" w:cs="Arial"/>
          <w:i/>
          <w:iCs/>
        </w:rPr>
        <w:t>Manajemen</w:t>
      </w:r>
      <w:proofErr w:type="spellEnd"/>
      <w:r w:rsidRPr="00E452F9">
        <w:rPr>
          <w:rFonts w:ascii="Arial" w:hAnsi="Arial" w:cs="Arial"/>
          <w:i/>
          <w:iCs/>
        </w:rPr>
        <w:t xml:space="preserve"> Kesatuan</w:t>
      </w:r>
      <w:r w:rsidRPr="00E452F9">
        <w:rPr>
          <w:rFonts w:ascii="Arial" w:hAnsi="Arial" w:cs="Arial"/>
        </w:rPr>
        <w:t xml:space="preserve">, 12(4), pp.1347–1358. </w:t>
      </w:r>
      <w:proofErr w:type="spellStart"/>
      <w:r w:rsidRPr="00E452F9">
        <w:rPr>
          <w:rFonts w:ascii="Arial" w:hAnsi="Arial" w:cs="Arial"/>
        </w:rPr>
        <w:t>doi</w:t>
      </w:r>
      <w:proofErr w:type="spellEnd"/>
      <w:r w:rsidRPr="00E452F9">
        <w:rPr>
          <w:rFonts w:ascii="Arial" w:hAnsi="Arial" w:cs="Arial"/>
        </w:rPr>
        <w:t xml:space="preserve">: </w:t>
      </w:r>
      <w:hyperlink r:id="rId38" w:history="1">
        <w:r w:rsidRPr="00E452F9">
          <w:rPr>
            <w:rStyle w:val="Hyperlink"/>
            <w:rFonts w:ascii="Arial" w:hAnsi="Arial" w:cs="Arial"/>
          </w:rPr>
          <w:t>https://doi.org/10.37641/jimkes.v12i4.2742</w:t>
        </w:r>
      </w:hyperlink>
      <w:r w:rsidRPr="00E452F9">
        <w:rPr>
          <w:rFonts w:ascii="Arial" w:hAnsi="Arial" w:cs="Arial"/>
        </w:rPr>
        <w:t xml:space="preserve">. </w:t>
      </w:r>
    </w:p>
    <w:p w14:paraId="23D1372D"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t xml:space="preserve">Jiang, H. (2024). Market-oriented debt-to-equity swap and enterprise financial performance. </w:t>
      </w:r>
      <w:r w:rsidRPr="00E452F9">
        <w:rPr>
          <w:rFonts w:ascii="Arial" w:hAnsi="Arial" w:cs="Arial"/>
          <w:i/>
          <w:iCs/>
        </w:rPr>
        <w:t>Finance Research Letters</w:t>
      </w:r>
      <w:r w:rsidRPr="00E452F9">
        <w:rPr>
          <w:rFonts w:ascii="Arial" w:hAnsi="Arial" w:cs="Arial"/>
        </w:rPr>
        <w:t xml:space="preserve">, [online] 67, p.105740. </w:t>
      </w:r>
      <w:proofErr w:type="spellStart"/>
      <w:r w:rsidRPr="00E452F9">
        <w:rPr>
          <w:rFonts w:ascii="Arial" w:hAnsi="Arial" w:cs="Arial"/>
        </w:rPr>
        <w:t>doi</w:t>
      </w:r>
      <w:proofErr w:type="spellEnd"/>
      <w:r w:rsidRPr="00E452F9">
        <w:rPr>
          <w:rFonts w:ascii="Arial" w:hAnsi="Arial" w:cs="Arial"/>
        </w:rPr>
        <w:t xml:space="preserve">: </w:t>
      </w:r>
      <w:hyperlink r:id="rId39" w:history="1">
        <w:r w:rsidRPr="00E452F9">
          <w:rPr>
            <w:rStyle w:val="Hyperlink"/>
            <w:rFonts w:ascii="Arial" w:hAnsi="Arial" w:cs="Arial"/>
          </w:rPr>
          <w:t>https://doi.org/10.1016/j.frl.2024.105740</w:t>
        </w:r>
      </w:hyperlink>
      <w:r w:rsidRPr="00E452F9">
        <w:rPr>
          <w:rFonts w:ascii="Arial" w:hAnsi="Arial" w:cs="Arial"/>
        </w:rPr>
        <w:t xml:space="preserve">. </w:t>
      </w:r>
    </w:p>
    <w:p w14:paraId="2C3E8BB2" w14:textId="77777777" w:rsidR="006A6F24" w:rsidRPr="00E452F9" w:rsidRDefault="006A6F24" w:rsidP="006A6F24">
      <w:pPr>
        <w:pStyle w:val="NormalWeb"/>
        <w:spacing w:before="0" w:beforeAutospacing="0" w:after="240" w:afterAutospacing="0" w:line="360" w:lineRule="auto"/>
        <w:jc w:val="both"/>
        <w:rPr>
          <w:rFonts w:ascii="Arial" w:hAnsi="Arial" w:cs="Arial"/>
        </w:rPr>
      </w:pPr>
      <w:proofErr w:type="spellStart"/>
      <w:r w:rsidRPr="00E452F9">
        <w:rPr>
          <w:rFonts w:ascii="Arial" w:hAnsi="Arial" w:cs="Arial"/>
        </w:rPr>
        <w:t>Mme</w:t>
      </w:r>
      <w:proofErr w:type="spellEnd"/>
      <w:r w:rsidRPr="00E452F9">
        <w:rPr>
          <w:rFonts w:ascii="Arial" w:hAnsi="Arial" w:cs="Arial"/>
        </w:rPr>
        <w:t xml:space="preserve">, S., Carré-Tallon, M., </w:t>
      </w:r>
      <w:proofErr w:type="spellStart"/>
      <w:r w:rsidRPr="00E452F9">
        <w:rPr>
          <w:rFonts w:ascii="Arial" w:hAnsi="Arial" w:cs="Arial"/>
        </w:rPr>
        <w:t>Ssa</w:t>
      </w:r>
      <w:proofErr w:type="spellEnd"/>
      <w:r w:rsidRPr="00E452F9">
        <w:rPr>
          <w:rFonts w:ascii="Arial" w:hAnsi="Arial" w:cs="Arial"/>
        </w:rPr>
        <w:t xml:space="preserve"> Monica, B., Student, G. and </w:t>
      </w:r>
      <w:proofErr w:type="spellStart"/>
      <w:r w:rsidRPr="00E452F9">
        <w:rPr>
          <w:rFonts w:ascii="Arial" w:hAnsi="Arial" w:cs="Arial"/>
        </w:rPr>
        <w:t>Zaramella</w:t>
      </w:r>
      <w:proofErr w:type="spellEnd"/>
      <w:r w:rsidRPr="00E452F9">
        <w:rPr>
          <w:rFonts w:ascii="Arial" w:hAnsi="Arial" w:cs="Arial"/>
        </w:rPr>
        <w:t xml:space="preserve"> (2023). </w:t>
      </w:r>
      <w:r w:rsidRPr="00E452F9">
        <w:rPr>
          <w:rFonts w:ascii="Arial" w:hAnsi="Arial" w:cs="Arial"/>
          <w:i/>
          <w:iCs/>
        </w:rPr>
        <w:t>Financial Restructuring: analysis and applications</w:t>
      </w:r>
      <w:r w:rsidRPr="00E452F9">
        <w:rPr>
          <w:rFonts w:ascii="Arial" w:hAnsi="Arial" w:cs="Arial"/>
        </w:rPr>
        <w:t xml:space="preserve">. [online] </w:t>
      </w:r>
      <w:proofErr w:type="spellStart"/>
      <w:r w:rsidRPr="00E452F9">
        <w:rPr>
          <w:rFonts w:ascii="Arial" w:hAnsi="Arial" w:cs="Arial"/>
        </w:rPr>
        <w:t>doi</w:t>
      </w:r>
      <w:proofErr w:type="spellEnd"/>
      <w:r w:rsidRPr="00E452F9">
        <w:rPr>
          <w:rFonts w:ascii="Arial" w:hAnsi="Arial" w:cs="Arial"/>
        </w:rPr>
        <w:t xml:space="preserve">: </w:t>
      </w:r>
      <w:hyperlink r:id="rId40" w:history="1">
        <w:r w:rsidRPr="00E452F9">
          <w:rPr>
            <w:rStyle w:val="Hyperlink"/>
            <w:rFonts w:ascii="Arial" w:hAnsi="Arial" w:cs="Arial"/>
          </w:rPr>
          <w:t>https://unitesi.unive.it/bitstream/20.500.14247/4284/1/872666-1280209.pdf</w:t>
        </w:r>
      </w:hyperlink>
      <w:r w:rsidRPr="00E452F9">
        <w:rPr>
          <w:rFonts w:ascii="Arial" w:hAnsi="Arial" w:cs="Arial"/>
        </w:rPr>
        <w:t xml:space="preserve">. </w:t>
      </w:r>
    </w:p>
    <w:p w14:paraId="7681F70A"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lastRenderedPageBreak/>
        <w:t xml:space="preserve">Mustafina, Gulnara </w:t>
      </w:r>
      <w:proofErr w:type="spellStart"/>
      <w:r w:rsidRPr="00E452F9">
        <w:rPr>
          <w:rFonts w:ascii="Arial" w:hAnsi="Arial" w:cs="Arial"/>
        </w:rPr>
        <w:t>Nailevna</w:t>
      </w:r>
      <w:proofErr w:type="spellEnd"/>
      <w:r w:rsidRPr="00E452F9">
        <w:rPr>
          <w:rFonts w:ascii="Arial" w:hAnsi="Arial" w:cs="Arial"/>
        </w:rPr>
        <w:t xml:space="preserve"> </w:t>
      </w:r>
      <w:proofErr w:type="spellStart"/>
      <w:r w:rsidRPr="00E452F9">
        <w:rPr>
          <w:rFonts w:ascii="Arial" w:hAnsi="Arial" w:cs="Arial"/>
        </w:rPr>
        <w:t>Kaigorodova</w:t>
      </w:r>
      <w:proofErr w:type="spellEnd"/>
      <w:r w:rsidRPr="00E452F9">
        <w:rPr>
          <w:rFonts w:ascii="Arial" w:hAnsi="Arial" w:cs="Arial"/>
        </w:rPr>
        <w:t xml:space="preserve">, Guzel </w:t>
      </w:r>
      <w:proofErr w:type="spellStart"/>
      <w:r w:rsidRPr="00E452F9">
        <w:rPr>
          <w:rFonts w:ascii="Arial" w:hAnsi="Arial" w:cs="Arial"/>
        </w:rPr>
        <w:t>Kharisovna</w:t>
      </w:r>
      <w:proofErr w:type="spellEnd"/>
      <w:r w:rsidRPr="00E452F9">
        <w:rPr>
          <w:rFonts w:ascii="Arial" w:hAnsi="Arial" w:cs="Arial"/>
        </w:rPr>
        <w:t xml:space="preserve"> Pyrkova, Dariya Pavlovna Alyakina and Kamalova, A.A. (2020). MANAGEMENT OF LONG-TERM FINANCING IN A COMPANY. </w:t>
      </w:r>
      <w:r w:rsidRPr="00E452F9">
        <w:rPr>
          <w:rFonts w:ascii="Arial" w:hAnsi="Arial" w:cs="Arial"/>
          <w:i/>
          <w:iCs/>
        </w:rPr>
        <w:t xml:space="preserve">Revista Turismo </w:t>
      </w:r>
      <w:proofErr w:type="spellStart"/>
      <w:r w:rsidRPr="00E452F9">
        <w:rPr>
          <w:rFonts w:ascii="Arial" w:hAnsi="Arial" w:cs="Arial"/>
          <w:i/>
          <w:iCs/>
        </w:rPr>
        <w:t>Estudos</w:t>
      </w:r>
      <w:proofErr w:type="spellEnd"/>
      <w:r w:rsidRPr="00E452F9">
        <w:rPr>
          <w:rFonts w:ascii="Arial" w:hAnsi="Arial" w:cs="Arial"/>
          <w:i/>
          <w:iCs/>
        </w:rPr>
        <w:t xml:space="preserve"> e </w:t>
      </w:r>
      <w:proofErr w:type="spellStart"/>
      <w:r w:rsidRPr="00E452F9">
        <w:rPr>
          <w:rFonts w:ascii="Arial" w:hAnsi="Arial" w:cs="Arial"/>
          <w:i/>
          <w:iCs/>
        </w:rPr>
        <w:t>Práticas</w:t>
      </w:r>
      <w:proofErr w:type="spellEnd"/>
      <w:r w:rsidRPr="00E452F9">
        <w:rPr>
          <w:rFonts w:ascii="Arial" w:hAnsi="Arial" w:cs="Arial"/>
          <w:i/>
          <w:iCs/>
        </w:rPr>
        <w:t xml:space="preserve"> - RTEP/GEPLAT/UERN</w:t>
      </w:r>
      <w:r w:rsidRPr="00E452F9">
        <w:rPr>
          <w:rFonts w:ascii="Arial" w:hAnsi="Arial" w:cs="Arial"/>
        </w:rPr>
        <w:t xml:space="preserve">, [online] (5), pp.1–8. </w:t>
      </w:r>
      <w:proofErr w:type="spellStart"/>
      <w:r w:rsidRPr="00E452F9">
        <w:rPr>
          <w:rFonts w:ascii="Arial" w:hAnsi="Arial" w:cs="Arial"/>
        </w:rPr>
        <w:t>doi</w:t>
      </w:r>
      <w:proofErr w:type="spellEnd"/>
      <w:r w:rsidRPr="00E452F9">
        <w:rPr>
          <w:rFonts w:ascii="Arial" w:hAnsi="Arial" w:cs="Arial"/>
        </w:rPr>
        <w:t xml:space="preserve">: </w:t>
      </w:r>
      <w:hyperlink r:id="rId41" w:history="1">
        <w:r w:rsidRPr="00E452F9">
          <w:rPr>
            <w:rStyle w:val="Hyperlink"/>
            <w:rFonts w:ascii="Arial" w:hAnsi="Arial" w:cs="Arial"/>
          </w:rPr>
          <w:t>https://geplat.com/rtep/index.php/tourism/article/view/790</w:t>
        </w:r>
      </w:hyperlink>
      <w:r w:rsidRPr="00E452F9">
        <w:rPr>
          <w:rFonts w:ascii="Arial" w:hAnsi="Arial" w:cs="Arial"/>
        </w:rPr>
        <w:t xml:space="preserve">. </w:t>
      </w:r>
    </w:p>
    <w:p w14:paraId="72EF307E"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t xml:space="preserve">Pearce, J.A. and Patel, P.C. (2021). Reaping the Financial and Strategic Benefits of a Divestiture by Spin-off. </w:t>
      </w:r>
      <w:r w:rsidRPr="00E452F9">
        <w:rPr>
          <w:rFonts w:ascii="Arial" w:hAnsi="Arial" w:cs="Arial"/>
          <w:i/>
          <w:iCs/>
        </w:rPr>
        <w:t>Business Horizons</w:t>
      </w:r>
      <w:r w:rsidRPr="00E452F9">
        <w:rPr>
          <w:rFonts w:ascii="Arial" w:hAnsi="Arial" w:cs="Arial"/>
        </w:rPr>
        <w:t xml:space="preserve">, 65(3). </w:t>
      </w:r>
      <w:proofErr w:type="spellStart"/>
      <w:r w:rsidRPr="00E452F9">
        <w:rPr>
          <w:rFonts w:ascii="Arial" w:hAnsi="Arial" w:cs="Arial"/>
        </w:rPr>
        <w:t>doi</w:t>
      </w:r>
      <w:proofErr w:type="spellEnd"/>
      <w:r w:rsidRPr="00E452F9">
        <w:rPr>
          <w:rFonts w:ascii="Arial" w:hAnsi="Arial" w:cs="Arial"/>
        </w:rPr>
        <w:t xml:space="preserve">: </w:t>
      </w:r>
      <w:hyperlink r:id="rId42" w:history="1">
        <w:r w:rsidRPr="00E452F9">
          <w:rPr>
            <w:rStyle w:val="Hyperlink"/>
            <w:rFonts w:ascii="Arial" w:hAnsi="Arial" w:cs="Arial"/>
          </w:rPr>
          <w:t>https://doi.org/10.1016/j.bushor.2021.03.001</w:t>
        </w:r>
      </w:hyperlink>
      <w:r w:rsidRPr="00E452F9">
        <w:rPr>
          <w:rFonts w:ascii="Arial" w:hAnsi="Arial" w:cs="Arial"/>
        </w:rPr>
        <w:t xml:space="preserve">. </w:t>
      </w:r>
    </w:p>
    <w:p w14:paraId="5D244756"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t xml:space="preserve">Purnama, O., Hanitha, V. and </w:t>
      </w:r>
      <w:proofErr w:type="spellStart"/>
      <w:r w:rsidRPr="00E452F9">
        <w:rPr>
          <w:rFonts w:ascii="Arial" w:hAnsi="Arial" w:cs="Arial"/>
        </w:rPr>
        <w:t>Angreni</w:t>
      </w:r>
      <w:proofErr w:type="spellEnd"/>
      <w:r w:rsidRPr="00E452F9">
        <w:rPr>
          <w:rFonts w:ascii="Arial" w:hAnsi="Arial" w:cs="Arial"/>
        </w:rPr>
        <w:t xml:space="preserve">, T.A. (2020). Financial Statement Analysis to Assess Company Financial Performance. </w:t>
      </w:r>
      <w:proofErr w:type="spellStart"/>
      <w:r w:rsidRPr="00E452F9">
        <w:rPr>
          <w:rFonts w:ascii="Arial" w:hAnsi="Arial" w:cs="Arial"/>
          <w:i/>
          <w:iCs/>
        </w:rPr>
        <w:t>eCo</w:t>
      </w:r>
      <w:proofErr w:type="spellEnd"/>
      <w:r w:rsidRPr="00E452F9">
        <w:rPr>
          <w:rFonts w:ascii="Arial" w:hAnsi="Arial" w:cs="Arial"/>
          <w:i/>
          <w:iCs/>
        </w:rPr>
        <w:t>-Fin</w:t>
      </w:r>
      <w:r w:rsidRPr="00E452F9">
        <w:rPr>
          <w:rFonts w:ascii="Arial" w:hAnsi="Arial" w:cs="Arial"/>
        </w:rPr>
        <w:t xml:space="preserve">, [online] 2(3), pp.168–174. </w:t>
      </w:r>
      <w:proofErr w:type="spellStart"/>
      <w:r w:rsidRPr="00E452F9">
        <w:rPr>
          <w:rFonts w:ascii="Arial" w:hAnsi="Arial" w:cs="Arial"/>
        </w:rPr>
        <w:t>doi</w:t>
      </w:r>
      <w:proofErr w:type="spellEnd"/>
      <w:r w:rsidRPr="00E452F9">
        <w:rPr>
          <w:rFonts w:ascii="Arial" w:hAnsi="Arial" w:cs="Arial"/>
        </w:rPr>
        <w:t xml:space="preserve">: </w:t>
      </w:r>
      <w:hyperlink r:id="rId43" w:history="1">
        <w:r w:rsidRPr="00E452F9">
          <w:rPr>
            <w:rStyle w:val="Hyperlink"/>
            <w:rFonts w:ascii="Arial" w:hAnsi="Arial" w:cs="Arial"/>
          </w:rPr>
          <w:t>https://jurnal.kdi.or.id/index.php/ef/article/view/537</w:t>
        </w:r>
      </w:hyperlink>
      <w:r w:rsidRPr="00E452F9">
        <w:rPr>
          <w:rFonts w:ascii="Arial" w:hAnsi="Arial" w:cs="Arial"/>
        </w:rPr>
        <w:t xml:space="preserve">. </w:t>
      </w:r>
    </w:p>
    <w:p w14:paraId="53D187EE"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t xml:space="preserve">Rahman, A. (2022). An examination of five financial ratios: The Altman Z Score is a technique used to assess the creditworthiness of selected passenger car companies. </w:t>
      </w:r>
      <w:r w:rsidRPr="00E452F9">
        <w:rPr>
          <w:rFonts w:ascii="Arial" w:hAnsi="Arial" w:cs="Arial"/>
          <w:i/>
          <w:iCs/>
        </w:rPr>
        <w:t>International Journal of Multidisciplinary Research and Explorer</w:t>
      </w:r>
      <w:r w:rsidRPr="00E452F9">
        <w:rPr>
          <w:rFonts w:ascii="Arial" w:hAnsi="Arial" w:cs="Arial"/>
        </w:rPr>
        <w:t xml:space="preserve">, [online] 2(1), pp.1–6. </w:t>
      </w:r>
      <w:proofErr w:type="spellStart"/>
      <w:r w:rsidRPr="00E452F9">
        <w:rPr>
          <w:rFonts w:ascii="Arial" w:hAnsi="Arial" w:cs="Arial"/>
        </w:rPr>
        <w:t>doi</w:t>
      </w:r>
      <w:proofErr w:type="spellEnd"/>
      <w:r w:rsidRPr="00E452F9">
        <w:rPr>
          <w:rFonts w:ascii="Arial" w:hAnsi="Arial" w:cs="Arial"/>
        </w:rPr>
        <w:t xml:space="preserve">: </w:t>
      </w:r>
      <w:hyperlink r:id="rId44" w:history="1">
        <w:r w:rsidRPr="00E452F9">
          <w:rPr>
            <w:rStyle w:val="Hyperlink"/>
            <w:rFonts w:ascii="Arial" w:hAnsi="Arial" w:cs="Arial"/>
          </w:rPr>
          <w:t>https://doie.org/10.0127/IJMRE.2022381724</w:t>
        </w:r>
      </w:hyperlink>
      <w:r w:rsidRPr="00E452F9">
        <w:rPr>
          <w:rFonts w:ascii="Arial" w:hAnsi="Arial" w:cs="Arial"/>
        </w:rPr>
        <w:t xml:space="preserve">. </w:t>
      </w:r>
    </w:p>
    <w:p w14:paraId="28589F90" w14:textId="77777777" w:rsidR="006A6F24" w:rsidRPr="00E452F9" w:rsidRDefault="006A6F24" w:rsidP="006A6F24">
      <w:pPr>
        <w:pStyle w:val="NormalWeb"/>
        <w:spacing w:before="0" w:beforeAutospacing="0" w:after="240" w:afterAutospacing="0" w:line="360" w:lineRule="auto"/>
        <w:jc w:val="both"/>
        <w:rPr>
          <w:rFonts w:ascii="Arial" w:hAnsi="Arial" w:cs="Arial"/>
        </w:rPr>
      </w:pPr>
      <w:proofErr w:type="spellStart"/>
      <w:r w:rsidRPr="00E452F9">
        <w:rPr>
          <w:rFonts w:ascii="Arial" w:hAnsi="Arial" w:cs="Arial"/>
        </w:rPr>
        <w:t>Rochmah</w:t>
      </w:r>
      <w:proofErr w:type="spellEnd"/>
      <w:r w:rsidRPr="00E452F9">
        <w:rPr>
          <w:rFonts w:ascii="Arial" w:hAnsi="Arial" w:cs="Arial"/>
        </w:rPr>
        <w:t xml:space="preserve"> Ika, </w:t>
      </w:r>
      <w:proofErr w:type="spellStart"/>
      <w:r w:rsidRPr="00E452F9">
        <w:rPr>
          <w:rFonts w:ascii="Arial" w:hAnsi="Arial" w:cs="Arial"/>
        </w:rPr>
        <w:t>Fami</w:t>
      </w:r>
      <w:proofErr w:type="spellEnd"/>
      <w:r w:rsidRPr="00E452F9">
        <w:rPr>
          <w:rFonts w:ascii="Arial" w:hAnsi="Arial" w:cs="Arial"/>
        </w:rPr>
        <w:t xml:space="preserve"> </w:t>
      </w:r>
      <w:proofErr w:type="spellStart"/>
      <w:r w:rsidRPr="00E452F9">
        <w:rPr>
          <w:rFonts w:ascii="Arial" w:hAnsi="Arial" w:cs="Arial"/>
        </w:rPr>
        <w:t>Nursiningsih</w:t>
      </w:r>
      <w:proofErr w:type="spellEnd"/>
      <w:r w:rsidRPr="00E452F9">
        <w:rPr>
          <w:rFonts w:ascii="Arial" w:hAnsi="Arial" w:cs="Arial"/>
        </w:rPr>
        <w:t xml:space="preserve">, </w:t>
      </w:r>
      <w:proofErr w:type="spellStart"/>
      <w:r w:rsidRPr="00E452F9">
        <w:rPr>
          <w:rFonts w:ascii="Arial" w:hAnsi="Arial" w:cs="Arial"/>
        </w:rPr>
        <w:t>Sarnowo</w:t>
      </w:r>
      <w:proofErr w:type="spellEnd"/>
      <w:r w:rsidRPr="00E452F9">
        <w:rPr>
          <w:rFonts w:ascii="Arial" w:hAnsi="Arial" w:cs="Arial"/>
        </w:rPr>
        <w:t xml:space="preserve">, H. and Sahadi (2020). Financial Performance of Retail Industry Before and After E-Commerce Booming in Indonesia: A Study of Altman Z-Score Model. </w:t>
      </w:r>
      <w:proofErr w:type="spellStart"/>
      <w:r w:rsidRPr="00E452F9">
        <w:rPr>
          <w:rFonts w:ascii="Arial" w:hAnsi="Arial" w:cs="Arial"/>
        </w:rPr>
        <w:t>doi</w:t>
      </w:r>
      <w:proofErr w:type="spellEnd"/>
      <w:r w:rsidRPr="00E452F9">
        <w:rPr>
          <w:rFonts w:ascii="Arial" w:hAnsi="Arial" w:cs="Arial"/>
        </w:rPr>
        <w:t xml:space="preserve">: </w:t>
      </w:r>
      <w:hyperlink r:id="rId45" w:history="1">
        <w:r w:rsidRPr="00E452F9">
          <w:rPr>
            <w:rStyle w:val="Hyperlink"/>
            <w:rFonts w:ascii="Arial" w:hAnsi="Arial" w:cs="Arial"/>
          </w:rPr>
          <w:t>https://doi.org/10.2991/aebmr.k.210311.014</w:t>
        </w:r>
      </w:hyperlink>
      <w:r w:rsidRPr="00E452F9">
        <w:rPr>
          <w:rFonts w:ascii="Arial" w:hAnsi="Arial" w:cs="Arial"/>
        </w:rPr>
        <w:t xml:space="preserve">. </w:t>
      </w:r>
    </w:p>
    <w:p w14:paraId="6AEE1294" w14:textId="77777777" w:rsidR="006A6F24" w:rsidRPr="00E452F9" w:rsidRDefault="006A6F24" w:rsidP="006A6F24">
      <w:pPr>
        <w:pStyle w:val="NormalWeb"/>
        <w:spacing w:before="0" w:beforeAutospacing="0" w:after="240" w:afterAutospacing="0" w:line="360" w:lineRule="auto"/>
        <w:jc w:val="both"/>
        <w:rPr>
          <w:rFonts w:ascii="Arial" w:hAnsi="Arial" w:cs="Arial"/>
        </w:rPr>
      </w:pPr>
      <w:proofErr w:type="spellStart"/>
      <w:r w:rsidRPr="00E452F9">
        <w:rPr>
          <w:rFonts w:ascii="Arial" w:hAnsi="Arial" w:cs="Arial"/>
        </w:rPr>
        <w:t>Владика</w:t>
      </w:r>
      <w:proofErr w:type="spellEnd"/>
      <w:r w:rsidRPr="00E452F9">
        <w:rPr>
          <w:rFonts w:ascii="Arial" w:hAnsi="Arial" w:cs="Arial"/>
        </w:rPr>
        <w:t xml:space="preserve">, Ю.П., </w:t>
      </w:r>
      <w:proofErr w:type="spellStart"/>
      <w:r w:rsidRPr="00E452F9">
        <w:rPr>
          <w:rFonts w:ascii="Arial" w:hAnsi="Arial" w:cs="Arial"/>
        </w:rPr>
        <w:t>Скиба</w:t>
      </w:r>
      <w:proofErr w:type="spellEnd"/>
      <w:r w:rsidRPr="00E452F9">
        <w:rPr>
          <w:rFonts w:ascii="Arial" w:hAnsi="Arial" w:cs="Arial"/>
        </w:rPr>
        <w:t xml:space="preserve">, Г.І. and </w:t>
      </w:r>
      <w:proofErr w:type="spellStart"/>
      <w:r w:rsidRPr="00E452F9">
        <w:rPr>
          <w:rFonts w:ascii="Arial" w:hAnsi="Arial" w:cs="Arial"/>
        </w:rPr>
        <w:t>Турова</w:t>
      </w:r>
      <w:proofErr w:type="spellEnd"/>
      <w:r w:rsidRPr="00E452F9">
        <w:rPr>
          <w:rFonts w:ascii="Arial" w:hAnsi="Arial" w:cs="Arial"/>
        </w:rPr>
        <w:t xml:space="preserve">, Л.Л. (2025). MECHANISMS AND ORGANIZATION OF FINANCIAL RESTRUCTURING OF BANKING INSTITUTIONS AND ENTERPRISES BASED ON RISK-ORIENTED MANAGEMENT. </w:t>
      </w:r>
      <w:proofErr w:type="spellStart"/>
      <w:r w:rsidRPr="00E452F9">
        <w:rPr>
          <w:rFonts w:ascii="Arial" w:hAnsi="Arial" w:cs="Arial"/>
          <w:i/>
          <w:iCs/>
        </w:rPr>
        <w:t>Таврійський</w:t>
      </w:r>
      <w:proofErr w:type="spellEnd"/>
      <w:r w:rsidRPr="00E452F9">
        <w:rPr>
          <w:rFonts w:ascii="Arial" w:hAnsi="Arial" w:cs="Arial"/>
          <w:i/>
          <w:iCs/>
        </w:rPr>
        <w:t xml:space="preserve"> </w:t>
      </w:r>
      <w:proofErr w:type="spellStart"/>
      <w:r w:rsidRPr="00E452F9">
        <w:rPr>
          <w:rFonts w:ascii="Arial" w:hAnsi="Arial" w:cs="Arial"/>
          <w:i/>
          <w:iCs/>
        </w:rPr>
        <w:t>науковий</w:t>
      </w:r>
      <w:proofErr w:type="spellEnd"/>
      <w:r w:rsidRPr="00E452F9">
        <w:rPr>
          <w:rFonts w:ascii="Arial" w:hAnsi="Arial" w:cs="Arial"/>
          <w:i/>
          <w:iCs/>
        </w:rPr>
        <w:t xml:space="preserve"> </w:t>
      </w:r>
      <w:proofErr w:type="spellStart"/>
      <w:r w:rsidRPr="00E452F9">
        <w:rPr>
          <w:rFonts w:ascii="Arial" w:hAnsi="Arial" w:cs="Arial"/>
          <w:i/>
          <w:iCs/>
        </w:rPr>
        <w:t>вісник</w:t>
      </w:r>
      <w:proofErr w:type="spellEnd"/>
      <w:r w:rsidRPr="00E452F9">
        <w:rPr>
          <w:rFonts w:ascii="Arial" w:hAnsi="Arial" w:cs="Arial"/>
          <w:i/>
          <w:iCs/>
        </w:rPr>
        <w:t xml:space="preserve">. </w:t>
      </w:r>
      <w:proofErr w:type="spellStart"/>
      <w:r w:rsidRPr="00E452F9">
        <w:rPr>
          <w:rFonts w:ascii="Arial" w:hAnsi="Arial" w:cs="Arial"/>
          <w:i/>
          <w:iCs/>
        </w:rPr>
        <w:t>Серія</w:t>
      </w:r>
      <w:proofErr w:type="spellEnd"/>
      <w:r w:rsidRPr="00E452F9">
        <w:rPr>
          <w:rFonts w:ascii="Arial" w:hAnsi="Arial" w:cs="Arial"/>
          <w:i/>
          <w:iCs/>
        </w:rPr>
        <w:t xml:space="preserve">: </w:t>
      </w:r>
      <w:proofErr w:type="spellStart"/>
      <w:r w:rsidRPr="00E452F9">
        <w:rPr>
          <w:rFonts w:ascii="Arial" w:hAnsi="Arial" w:cs="Arial"/>
          <w:i/>
          <w:iCs/>
        </w:rPr>
        <w:t>Економіка</w:t>
      </w:r>
      <w:proofErr w:type="spellEnd"/>
      <w:r w:rsidRPr="00E452F9">
        <w:rPr>
          <w:rFonts w:ascii="Arial" w:hAnsi="Arial" w:cs="Arial"/>
        </w:rPr>
        <w:t xml:space="preserve">, [online] (23), pp.127–134. </w:t>
      </w:r>
      <w:proofErr w:type="spellStart"/>
      <w:r w:rsidRPr="00E452F9">
        <w:rPr>
          <w:rFonts w:ascii="Arial" w:hAnsi="Arial" w:cs="Arial"/>
        </w:rPr>
        <w:t>doi</w:t>
      </w:r>
      <w:proofErr w:type="spellEnd"/>
      <w:r w:rsidRPr="00E452F9">
        <w:rPr>
          <w:rFonts w:ascii="Arial" w:hAnsi="Arial" w:cs="Arial"/>
        </w:rPr>
        <w:t xml:space="preserve">: </w:t>
      </w:r>
      <w:hyperlink r:id="rId46" w:history="1">
        <w:r w:rsidRPr="00E452F9">
          <w:rPr>
            <w:rStyle w:val="Hyperlink"/>
            <w:rFonts w:ascii="Arial" w:hAnsi="Arial" w:cs="Arial"/>
          </w:rPr>
          <w:t>https://doi.org/10.32782/2708-0366/2025.23.14</w:t>
        </w:r>
      </w:hyperlink>
      <w:r w:rsidRPr="00E452F9">
        <w:rPr>
          <w:rFonts w:ascii="Arial" w:hAnsi="Arial" w:cs="Arial"/>
        </w:rPr>
        <w:t xml:space="preserve">. </w:t>
      </w:r>
    </w:p>
    <w:p w14:paraId="4A4BAB9B"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t xml:space="preserve">Wagner, J. and Walstad, W.B. (2018). The Effects of Financial Education on Short-Term and Long-Term Financial Behaviors. </w:t>
      </w:r>
      <w:r w:rsidRPr="00E452F9">
        <w:rPr>
          <w:rFonts w:ascii="Arial" w:hAnsi="Arial" w:cs="Arial"/>
          <w:i/>
          <w:iCs/>
        </w:rPr>
        <w:t>Journal of Consumer Affairs</w:t>
      </w:r>
      <w:r w:rsidRPr="00E452F9">
        <w:rPr>
          <w:rFonts w:ascii="Arial" w:hAnsi="Arial" w:cs="Arial"/>
        </w:rPr>
        <w:t xml:space="preserve">, 53(1), pp.234–259. </w:t>
      </w:r>
      <w:proofErr w:type="spellStart"/>
      <w:r w:rsidRPr="00E452F9">
        <w:rPr>
          <w:rFonts w:ascii="Arial" w:hAnsi="Arial" w:cs="Arial"/>
        </w:rPr>
        <w:t>doi</w:t>
      </w:r>
      <w:proofErr w:type="spellEnd"/>
      <w:r w:rsidRPr="00E452F9">
        <w:rPr>
          <w:rFonts w:ascii="Arial" w:hAnsi="Arial" w:cs="Arial"/>
        </w:rPr>
        <w:t xml:space="preserve">: </w:t>
      </w:r>
      <w:hyperlink r:id="rId47" w:history="1">
        <w:r w:rsidRPr="00E452F9">
          <w:rPr>
            <w:rStyle w:val="Hyperlink"/>
            <w:rFonts w:ascii="Arial" w:hAnsi="Arial" w:cs="Arial"/>
          </w:rPr>
          <w:t>https://doi.org/10.1111/joca.12210</w:t>
        </w:r>
      </w:hyperlink>
      <w:r w:rsidRPr="00E452F9">
        <w:rPr>
          <w:rFonts w:ascii="Arial" w:hAnsi="Arial" w:cs="Arial"/>
        </w:rPr>
        <w:t xml:space="preserve">. </w:t>
      </w:r>
    </w:p>
    <w:p w14:paraId="54032C41"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t xml:space="preserve">Wahyuni, P.D. (2021). Free Cash Flow, Debt Policy and Profitability: Analysis the Investment Opportunity Set. </w:t>
      </w:r>
      <w:r w:rsidRPr="00E452F9">
        <w:rPr>
          <w:rFonts w:ascii="Arial" w:hAnsi="Arial" w:cs="Arial"/>
          <w:i/>
          <w:iCs/>
        </w:rPr>
        <w:t>European Journal of Business and Management Research</w:t>
      </w:r>
      <w:r w:rsidRPr="00E452F9">
        <w:rPr>
          <w:rFonts w:ascii="Arial" w:hAnsi="Arial" w:cs="Arial"/>
        </w:rPr>
        <w:t xml:space="preserve">, 6(4), pp.157–162. </w:t>
      </w:r>
      <w:proofErr w:type="spellStart"/>
      <w:r w:rsidRPr="00E452F9">
        <w:rPr>
          <w:rFonts w:ascii="Arial" w:hAnsi="Arial" w:cs="Arial"/>
        </w:rPr>
        <w:t>doi</w:t>
      </w:r>
      <w:proofErr w:type="spellEnd"/>
      <w:r w:rsidRPr="00E452F9">
        <w:rPr>
          <w:rFonts w:ascii="Arial" w:hAnsi="Arial" w:cs="Arial"/>
        </w:rPr>
        <w:t xml:space="preserve">: </w:t>
      </w:r>
      <w:hyperlink r:id="rId48" w:history="1">
        <w:r w:rsidRPr="00E452F9">
          <w:rPr>
            <w:rStyle w:val="Hyperlink"/>
            <w:rFonts w:ascii="Arial" w:hAnsi="Arial" w:cs="Arial"/>
          </w:rPr>
          <w:t>https://doi.org/10.24018/ejbmr.2021.6.4.968</w:t>
        </w:r>
      </w:hyperlink>
      <w:r w:rsidRPr="00E452F9">
        <w:rPr>
          <w:rFonts w:ascii="Arial" w:hAnsi="Arial" w:cs="Arial"/>
        </w:rPr>
        <w:t xml:space="preserve">. </w:t>
      </w:r>
    </w:p>
    <w:p w14:paraId="18C59661" w14:textId="77777777" w:rsidR="006A6F24" w:rsidRPr="00E452F9" w:rsidRDefault="006A6F24" w:rsidP="006A6F24">
      <w:pPr>
        <w:pStyle w:val="NormalWeb"/>
        <w:spacing w:before="0" w:beforeAutospacing="0" w:after="240" w:afterAutospacing="0" w:line="360" w:lineRule="auto"/>
        <w:jc w:val="both"/>
        <w:rPr>
          <w:rFonts w:ascii="Arial" w:hAnsi="Arial" w:cs="Arial"/>
        </w:rPr>
      </w:pPr>
      <w:r w:rsidRPr="00E452F9">
        <w:rPr>
          <w:rFonts w:ascii="Arial" w:hAnsi="Arial" w:cs="Arial"/>
        </w:rPr>
        <w:lastRenderedPageBreak/>
        <w:t xml:space="preserve">Wang, Z., Akbar, M. and Akbar, A. (2020). The Interplay between Working Capital Management and a Firm’s Financial Performance across the Corporate Life Cycle. </w:t>
      </w:r>
      <w:r w:rsidRPr="00E452F9">
        <w:rPr>
          <w:rFonts w:ascii="Arial" w:hAnsi="Arial" w:cs="Arial"/>
          <w:i/>
          <w:iCs/>
        </w:rPr>
        <w:t>Sustainability</w:t>
      </w:r>
      <w:r w:rsidRPr="00E452F9">
        <w:rPr>
          <w:rFonts w:ascii="Arial" w:hAnsi="Arial" w:cs="Arial"/>
        </w:rPr>
        <w:t xml:space="preserve">, 12(4), p.1661. </w:t>
      </w:r>
      <w:proofErr w:type="spellStart"/>
      <w:r w:rsidRPr="00E452F9">
        <w:rPr>
          <w:rFonts w:ascii="Arial" w:hAnsi="Arial" w:cs="Arial"/>
        </w:rPr>
        <w:t>doi</w:t>
      </w:r>
      <w:proofErr w:type="spellEnd"/>
      <w:r w:rsidRPr="00E452F9">
        <w:rPr>
          <w:rFonts w:ascii="Arial" w:hAnsi="Arial" w:cs="Arial"/>
        </w:rPr>
        <w:t xml:space="preserve">: </w:t>
      </w:r>
      <w:hyperlink r:id="rId49" w:history="1">
        <w:r w:rsidRPr="00E452F9">
          <w:rPr>
            <w:rStyle w:val="Hyperlink"/>
            <w:rFonts w:ascii="Arial" w:hAnsi="Arial" w:cs="Arial"/>
          </w:rPr>
          <w:t>https://doi.org/10.3390/su12041661</w:t>
        </w:r>
      </w:hyperlink>
      <w:r w:rsidRPr="00E452F9">
        <w:rPr>
          <w:rFonts w:ascii="Arial" w:hAnsi="Arial" w:cs="Arial"/>
        </w:rPr>
        <w:t xml:space="preserve">. </w:t>
      </w:r>
    </w:p>
    <w:p w14:paraId="6F26B5C4" w14:textId="77777777" w:rsidR="006A6F24" w:rsidRPr="00E452F9" w:rsidRDefault="006A6F24" w:rsidP="006A6F24">
      <w:pPr>
        <w:pStyle w:val="NormalWeb"/>
        <w:spacing w:before="0" w:beforeAutospacing="0" w:after="240" w:afterAutospacing="0" w:line="360" w:lineRule="auto"/>
        <w:jc w:val="both"/>
        <w:rPr>
          <w:rFonts w:ascii="Arial" w:hAnsi="Arial" w:cs="Arial"/>
        </w:rPr>
      </w:pPr>
      <w:proofErr w:type="spellStart"/>
      <w:r w:rsidRPr="00E452F9">
        <w:rPr>
          <w:rFonts w:ascii="Arial" w:hAnsi="Arial" w:cs="Arial"/>
        </w:rPr>
        <w:t>Widiyastuti</w:t>
      </w:r>
      <w:proofErr w:type="spellEnd"/>
      <w:r w:rsidRPr="00E452F9">
        <w:rPr>
          <w:rFonts w:ascii="Arial" w:hAnsi="Arial" w:cs="Arial"/>
        </w:rPr>
        <w:t xml:space="preserve">, I., Rahayu, A., Wibowo, L.A. and </w:t>
      </w:r>
      <w:proofErr w:type="spellStart"/>
      <w:r w:rsidRPr="00E452F9">
        <w:rPr>
          <w:rFonts w:ascii="Arial" w:hAnsi="Arial" w:cs="Arial"/>
        </w:rPr>
        <w:t>Dirgantari</w:t>
      </w:r>
      <w:proofErr w:type="spellEnd"/>
      <w:r w:rsidRPr="00E452F9">
        <w:rPr>
          <w:rFonts w:ascii="Arial" w:hAnsi="Arial" w:cs="Arial"/>
        </w:rPr>
        <w:t xml:space="preserve">, P.D. (2025). Corporate restructuring for firm performance improvement: The strategic role of digital transformation and digital human capital. </w:t>
      </w:r>
      <w:proofErr w:type="spellStart"/>
      <w:r w:rsidRPr="00E452F9">
        <w:rPr>
          <w:rFonts w:ascii="Arial" w:hAnsi="Arial" w:cs="Arial"/>
          <w:i/>
          <w:iCs/>
        </w:rPr>
        <w:t>Diponegoro</w:t>
      </w:r>
      <w:proofErr w:type="spellEnd"/>
      <w:r w:rsidRPr="00E452F9">
        <w:rPr>
          <w:rFonts w:ascii="Arial" w:hAnsi="Arial" w:cs="Arial"/>
          <w:i/>
          <w:iCs/>
        </w:rPr>
        <w:t xml:space="preserve"> International Journal of Business</w:t>
      </w:r>
      <w:r w:rsidRPr="00E452F9">
        <w:rPr>
          <w:rFonts w:ascii="Arial" w:hAnsi="Arial" w:cs="Arial"/>
        </w:rPr>
        <w:t xml:space="preserve">, 8(1), pp.63–75. </w:t>
      </w:r>
      <w:proofErr w:type="spellStart"/>
      <w:r w:rsidRPr="00E452F9">
        <w:rPr>
          <w:rFonts w:ascii="Arial" w:hAnsi="Arial" w:cs="Arial"/>
        </w:rPr>
        <w:t>doi</w:t>
      </w:r>
      <w:proofErr w:type="spellEnd"/>
      <w:r w:rsidRPr="00E452F9">
        <w:rPr>
          <w:rFonts w:ascii="Arial" w:hAnsi="Arial" w:cs="Arial"/>
        </w:rPr>
        <w:t xml:space="preserve">: </w:t>
      </w:r>
      <w:hyperlink r:id="rId50" w:history="1">
        <w:r w:rsidRPr="00E452F9">
          <w:rPr>
            <w:rStyle w:val="Hyperlink"/>
            <w:rFonts w:ascii="Arial" w:hAnsi="Arial" w:cs="Arial"/>
          </w:rPr>
          <w:t>https://doi.org/10.14710/dijb.8.1.2025.63-75</w:t>
        </w:r>
      </w:hyperlink>
      <w:r w:rsidRPr="00E452F9">
        <w:rPr>
          <w:rFonts w:ascii="Arial" w:hAnsi="Arial" w:cs="Arial"/>
        </w:rPr>
        <w:t xml:space="preserve">. </w:t>
      </w:r>
    </w:p>
    <w:p w14:paraId="73DAC28C" w14:textId="77777777" w:rsidR="006A6F24" w:rsidRDefault="006A6F24" w:rsidP="00405732">
      <w:pPr>
        <w:spacing w:line="360" w:lineRule="auto"/>
        <w:jc w:val="both"/>
        <w:rPr>
          <w:rFonts w:ascii="Arial" w:hAnsi="Arial" w:cs="Arial"/>
          <w:lang w:bidi="th-TH"/>
        </w:rPr>
      </w:pPr>
    </w:p>
    <w:p w14:paraId="3B6FBB47" w14:textId="77777777" w:rsidR="006A6F24" w:rsidRDefault="006A6F24" w:rsidP="00405732">
      <w:pPr>
        <w:spacing w:line="360" w:lineRule="auto"/>
        <w:jc w:val="both"/>
        <w:rPr>
          <w:rFonts w:ascii="Arial" w:hAnsi="Arial" w:cs="Arial"/>
          <w:lang w:bidi="th-TH"/>
        </w:rPr>
      </w:pPr>
    </w:p>
    <w:p w14:paraId="1BD096DB" w14:textId="77777777" w:rsidR="006A6F24" w:rsidRDefault="006A6F24" w:rsidP="00405732">
      <w:pPr>
        <w:spacing w:line="360" w:lineRule="auto"/>
        <w:jc w:val="both"/>
        <w:rPr>
          <w:rFonts w:ascii="Arial" w:hAnsi="Arial" w:cs="Arial"/>
          <w:lang w:bidi="th-TH"/>
        </w:rPr>
      </w:pPr>
    </w:p>
    <w:p w14:paraId="7B66471C" w14:textId="77777777" w:rsidR="006A6F24" w:rsidRDefault="006A6F24" w:rsidP="00405732">
      <w:pPr>
        <w:spacing w:line="360" w:lineRule="auto"/>
        <w:jc w:val="both"/>
        <w:rPr>
          <w:rFonts w:ascii="Arial" w:hAnsi="Arial" w:cs="Arial"/>
          <w:lang w:bidi="th-TH"/>
        </w:rPr>
      </w:pPr>
    </w:p>
    <w:p w14:paraId="5E22CABD" w14:textId="77777777" w:rsidR="006A6F24" w:rsidRDefault="006A6F24" w:rsidP="00405732">
      <w:pPr>
        <w:spacing w:line="360" w:lineRule="auto"/>
        <w:jc w:val="both"/>
        <w:rPr>
          <w:rFonts w:ascii="Arial" w:hAnsi="Arial" w:cs="Arial"/>
          <w:lang w:bidi="th-TH"/>
        </w:rPr>
      </w:pPr>
    </w:p>
    <w:p w14:paraId="66DB55F8" w14:textId="77777777" w:rsidR="006A6F24" w:rsidRDefault="006A6F24" w:rsidP="00405732">
      <w:pPr>
        <w:spacing w:line="360" w:lineRule="auto"/>
        <w:jc w:val="both"/>
        <w:rPr>
          <w:rFonts w:ascii="Arial" w:hAnsi="Arial" w:cs="Arial"/>
          <w:lang w:bidi="th-TH"/>
        </w:rPr>
      </w:pPr>
    </w:p>
    <w:p w14:paraId="0528E677" w14:textId="77777777" w:rsidR="006A6F24" w:rsidRDefault="006A6F24" w:rsidP="00405732">
      <w:pPr>
        <w:spacing w:line="360" w:lineRule="auto"/>
        <w:jc w:val="both"/>
        <w:rPr>
          <w:rFonts w:ascii="Arial" w:hAnsi="Arial" w:cs="Arial"/>
          <w:lang w:bidi="th-TH"/>
        </w:rPr>
      </w:pPr>
    </w:p>
    <w:p w14:paraId="54714569" w14:textId="77777777" w:rsidR="006A6F24" w:rsidRDefault="006A6F24" w:rsidP="00405732">
      <w:pPr>
        <w:spacing w:line="360" w:lineRule="auto"/>
        <w:jc w:val="both"/>
        <w:rPr>
          <w:rFonts w:ascii="Arial" w:hAnsi="Arial" w:cs="Arial"/>
          <w:lang w:bidi="th-TH"/>
        </w:rPr>
      </w:pPr>
    </w:p>
    <w:p w14:paraId="1C02D2AB" w14:textId="77777777" w:rsidR="006A6F24" w:rsidRDefault="006A6F24" w:rsidP="00405732">
      <w:pPr>
        <w:spacing w:line="360" w:lineRule="auto"/>
        <w:jc w:val="both"/>
        <w:rPr>
          <w:rFonts w:ascii="Arial" w:hAnsi="Arial" w:cs="Arial"/>
          <w:lang w:bidi="th-TH"/>
        </w:rPr>
      </w:pPr>
    </w:p>
    <w:p w14:paraId="6B017879" w14:textId="77777777" w:rsidR="006A6F24" w:rsidRDefault="006A6F24" w:rsidP="00405732">
      <w:pPr>
        <w:spacing w:line="360" w:lineRule="auto"/>
        <w:jc w:val="both"/>
        <w:rPr>
          <w:rFonts w:ascii="Arial" w:hAnsi="Arial" w:cs="Arial"/>
          <w:lang w:bidi="th-TH"/>
        </w:rPr>
      </w:pPr>
    </w:p>
    <w:p w14:paraId="35811067" w14:textId="77777777" w:rsidR="006A6F24" w:rsidRDefault="006A6F24" w:rsidP="00405732">
      <w:pPr>
        <w:spacing w:line="360" w:lineRule="auto"/>
        <w:jc w:val="both"/>
        <w:rPr>
          <w:rFonts w:ascii="Arial" w:hAnsi="Arial" w:cs="Arial"/>
          <w:lang w:bidi="th-TH"/>
        </w:rPr>
      </w:pPr>
    </w:p>
    <w:p w14:paraId="60228420" w14:textId="77777777" w:rsidR="006A6F24" w:rsidRDefault="006A6F24" w:rsidP="00405732">
      <w:pPr>
        <w:spacing w:line="360" w:lineRule="auto"/>
        <w:jc w:val="both"/>
        <w:rPr>
          <w:rFonts w:ascii="Arial" w:hAnsi="Arial" w:cs="Arial"/>
          <w:lang w:bidi="th-TH"/>
        </w:rPr>
      </w:pPr>
    </w:p>
    <w:p w14:paraId="027091F3" w14:textId="77777777" w:rsidR="006A6F24" w:rsidRDefault="006A6F24" w:rsidP="00405732">
      <w:pPr>
        <w:spacing w:line="360" w:lineRule="auto"/>
        <w:jc w:val="both"/>
        <w:rPr>
          <w:rFonts w:ascii="Arial" w:hAnsi="Arial" w:cs="Arial"/>
          <w:lang w:bidi="th-TH"/>
        </w:rPr>
      </w:pPr>
    </w:p>
    <w:p w14:paraId="791D5289" w14:textId="77777777" w:rsidR="006A6F24" w:rsidRDefault="006A6F24" w:rsidP="00405732">
      <w:pPr>
        <w:spacing w:line="360" w:lineRule="auto"/>
        <w:jc w:val="both"/>
        <w:rPr>
          <w:rFonts w:ascii="Arial" w:hAnsi="Arial" w:cs="Arial"/>
          <w:lang w:bidi="th-TH"/>
        </w:rPr>
      </w:pPr>
    </w:p>
    <w:p w14:paraId="5CEB0457" w14:textId="77777777" w:rsidR="006A6F24" w:rsidRDefault="006A6F24" w:rsidP="00405732">
      <w:pPr>
        <w:spacing w:line="360" w:lineRule="auto"/>
        <w:jc w:val="both"/>
        <w:rPr>
          <w:rFonts w:ascii="Arial" w:hAnsi="Arial" w:cs="Arial"/>
          <w:lang w:bidi="th-TH"/>
        </w:rPr>
      </w:pPr>
    </w:p>
    <w:p w14:paraId="3E8BF842" w14:textId="77777777" w:rsidR="006A6F24" w:rsidRDefault="006A6F24" w:rsidP="00405732">
      <w:pPr>
        <w:spacing w:line="360" w:lineRule="auto"/>
        <w:jc w:val="both"/>
        <w:rPr>
          <w:rFonts w:ascii="Arial" w:hAnsi="Arial" w:cs="Arial"/>
          <w:lang w:bidi="th-TH"/>
        </w:rPr>
      </w:pPr>
    </w:p>
    <w:p w14:paraId="4B77D03D" w14:textId="77777777" w:rsidR="006A6F24" w:rsidRDefault="006A6F24" w:rsidP="00405732">
      <w:pPr>
        <w:spacing w:line="360" w:lineRule="auto"/>
        <w:jc w:val="both"/>
        <w:rPr>
          <w:rFonts w:ascii="Arial" w:hAnsi="Arial" w:cs="Arial"/>
          <w:lang w:bidi="th-TH"/>
        </w:rPr>
      </w:pPr>
    </w:p>
    <w:p w14:paraId="19667E70" w14:textId="77777777" w:rsidR="006A6F24" w:rsidRDefault="006A6F24" w:rsidP="00405732">
      <w:pPr>
        <w:spacing w:line="360" w:lineRule="auto"/>
        <w:jc w:val="both"/>
        <w:rPr>
          <w:rFonts w:ascii="Arial" w:hAnsi="Arial" w:cs="Arial"/>
          <w:lang w:bidi="th-TH"/>
        </w:rPr>
      </w:pPr>
    </w:p>
    <w:p w14:paraId="7314DDE9" w14:textId="77777777" w:rsidR="006A6F24" w:rsidRDefault="006A6F24" w:rsidP="00405732">
      <w:pPr>
        <w:spacing w:line="360" w:lineRule="auto"/>
        <w:jc w:val="both"/>
        <w:rPr>
          <w:rFonts w:ascii="Arial" w:hAnsi="Arial" w:cs="Arial"/>
          <w:lang w:bidi="th-TH"/>
        </w:rPr>
      </w:pPr>
    </w:p>
    <w:p w14:paraId="3CA56B8C" w14:textId="77777777" w:rsidR="006A6F24" w:rsidRDefault="006A6F24" w:rsidP="00405732">
      <w:pPr>
        <w:spacing w:line="360" w:lineRule="auto"/>
        <w:jc w:val="both"/>
        <w:rPr>
          <w:rFonts w:ascii="Arial" w:hAnsi="Arial" w:cs="Arial"/>
          <w:lang w:bidi="th-TH"/>
        </w:rPr>
      </w:pPr>
    </w:p>
    <w:p w14:paraId="0D7971D6" w14:textId="77777777" w:rsidR="006A6F24" w:rsidRDefault="006A6F24" w:rsidP="00405732">
      <w:pPr>
        <w:spacing w:line="360" w:lineRule="auto"/>
        <w:jc w:val="both"/>
        <w:rPr>
          <w:rFonts w:ascii="Arial" w:hAnsi="Arial" w:cs="Arial"/>
          <w:lang w:bidi="th-TH"/>
        </w:rPr>
      </w:pPr>
    </w:p>
    <w:p w14:paraId="2D34EACF" w14:textId="77777777" w:rsidR="006A6F24" w:rsidRDefault="006A6F24" w:rsidP="00405732">
      <w:pPr>
        <w:spacing w:line="360" w:lineRule="auto"/>
        <w:jc w:val="both"/>
        <w:rPr>
          <w:rFonts w:ascii="Arial" w:hAnsi="Arial" w:cs="Arial"/>
          <w:lang w:bidi="th-TH"/>
        </w:rPr>
      </w:pPr>
    </w:p>
    <w:p w14:paraId="1EC877F3" w14:textId="77777777" w:rsidR="006A6F24" w:rsidRDefault="006A6F24" w:rsidP="00405732">
      <w:pPr>
        <w:spacing w:line="360" w:lineRule="auto"/>
        <w:jc w:val="both"/>
        <w:rPr>
          <w:rFonts w:ascii="Arial" w:hAnsi="Arial" w:cs="Arial"/>
          <w:lang w:bidi="th-TH"/>
        </w:rPr>
      </w:pPr>
    </w:p>
    <w:p w14:paraId="3DE28F81" w14:textId="77777777" w:rsidR="006A6F24" w:rsidRDefault="006A6F24" w:rsidP="00405732">
      <w:pPr>
        <w:spacing w:line="360" w:lineRule="auto"/>
        <w:jc w:val="both"/>
        <w:rPr>
          <w:rFonts w:ascii="Arial" w:hAnsi="Arial" w:cs="Arial"/>
          <w:lang w:bidi="th-TH"/>
        </w:rPr>
      </w:pPr>
    </w:p>
    <w:p w14:paraId="493B7B63" w14:textId="77777777" w:rsidR="006A6F24" w:rsidRDefault="006A6F24" w:rsidP="00405732">
      <w:pPr>
        <w:spacing w:line="360" w:lineRule="auto"/>
        <w:jc w:val="both"/>
        <w:rPr>
          <w:rFonts w:ascii="Arial" w:hAnsi="Arial" w:cs="Arial"/>
          <w:lang w:bidi="th-TH"/>
        </w:rPr>
      </w:pPr>
    </w:p>
    <w:p w14:paraId="3039B0D0" w14:textId="77777777" w:rsidR="006A6F24" w:rsidRPr="00DB5CB7" w:rsidRDefault="006A6F24" w:rsidP="006A6F24">
      <w:pPr>
        <w:pStyle w:val="Heading1"/>
        <w:spacing w:line="360" w:lineRule="auto"/>
        <w:jc w:val="both"/>
        <w:rPr>
          <w:rFonts w:ascii="Arial" w:hAnsi="Arial" w:cs="Arial"/>
          <w:szCs w:val="24"/>
        </w:rPr>
      </w:pPr>
      <w:bookmarkStart w:id="22" w:name="_Toc213243611"/>
      <w:r w:rsidRPr="00E452F9">
        <w:rPr>
          <w:rFonts w:ascii="Arial" w:hAnsi="Arial" w:cs="Arial"/>
          <w:szCs w:val="24"/>
        </w:rPr>
        <w:lastRenderedPageBreak/>
        <w:t>Appendices</w:t>
      </w:r>
      <w:bookmarkEnd w:id="22"/>
    </w:p>
    <w:tbl>
      <w:tblPr>
        <w:tblStyle w:val="PlainTable1"/>
        <w:tblW w:w="0" w:type="auto"/>
        <w:tblLook w:val="04A0" w:firstRow="1" w:lastRow="0" w:firstColumn="1" w:lastColumn="0" w:noHBand="0" w:noVBand="1"/>
      </w:tblPr>
      <w:tblGrid>
        <w:gridCol w:w="750"/>
        <w:gridCol w:w="2897"/>
        <w:gridCol w:w="2590"/>
      </w:tblGrid>
      <w:tr w:rsidR="006A6F24" w:rsidRPr="00F75065" w14:paraId="225BCED1" w14:textId="77777777" w:rsidTr="006446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40F57A" w14:textId="77777777" w:rsidR="006A6F24" w:rsidRPr="00F75065" w:rsidRDefault="006A6F24" w:rsidP="006446E2">
            <w:pPr>
              <w:spacing w:line="360" w:lineRule="auto"/>
              <w:jc w:val="both"/>
              <w:rPr>
                <w:rFonts w:ascii="Arial" w:hAnsi="Arial" w:cs="Arial"/>
              </w:rPr>
            </w:pPr>
            <w:r w:rsidRPr="00F75065">
              <w:rPr>
                <w:rFonts w:ascii="Arial" w:hAnsi="Arial" w:cs="Arial"/>
              </w:rPr>
              <w:t>Year</w:t>
            </w:r>
          </w:p>
        </w:tc>
        <w:tc>
          <w:tcPr>
            <w:tcW w:w="0" w:type="auto"/>
            <w:hideMark/>
          </w:tcPr>
          <w:p w14:paraId="471621F6" w14:textId="77777777" w:rsidR="006A6F24" w:rsidRPr="00F75065" w:rsidRDefault="006A6F24"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Gross Profit Margin (%)</w:t>
            </w:r>
          </w:p>
        </w:tc>
        <w:tc>
          <w:tcPr>
            <w:tcW w:w="0" w:type="auto"/>
            <w:hideMark/>
          </w:tcPr>
          <w:p w14:paraId="3721AFA3" w14:textId="77777777" w:rsidR="006A6F24" w:rsidRPr="00F75065" w:rsidRDefault="006A6F24"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Net Profit Margin (%)</w:t>
            </w:r>
          </w:p>
        </w:tc>
      </w:tr>
      <w:tr w:rsidR="006A6F24" w:rsidRPr="00F75065" w14:paraId="588EC4ED"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19F028" w14:textId="77777777" w:rsidR="006A6F24" w:rsidRPr="00F75065" w:rsidRDefault="006A6F24" w:rsidP="006446E2">
            <w:pPr>
              <w:spacing w:line="360" w:lineRule="auto"/>
              <w:jc w:val="both"/>
              <w:rPr>
                <w:rFonts w:ascii="Arial" w:hAnsi="Arial" w:cs="Arial"/>
              </w:rPr>
            </w:pPr>
            <w:r w:rsidRPr="00F75065">
              <w:rPr>
                <w:rFonts w:ascii="Arial" w:hAnsi="Arial" w:cs="Arial"/>
              </w:rPr>
              <w:t>2020</w:t>
            </w:r>
          </w:p>
        </w:tc>
        <w:tc>
          <w:tcPr>
            <w:tcW w:w="0" w:type="auto"/>
            <w:hideMark/>
          </w:tcPr>
          <w:p w14:paraId="791F0C43"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28.67</w:t>
            </w:r>
          </w:p>
        </w:tc>
        <w:tc>
          <w:tcPr>
            <w:tcW w:w="0" w:type="auto"/>
            <w:hideMark/>
          </w:tcPr>
          <w:p w14:paraId="37266F76"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6.28</w:t>
            </w:r>
          </w:p>
        </w:tc>
      </w:tr>
      <w:tr w:rsidR="006A6F24" w:rsidRPr="00F75065" w14:paraId="517EA02A"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7825A7BD" w14:textId="77777777" w:rsidR="006A6F24" w:rsidRPr="00F75065" w:rsidRDefault="006A6F24" w:rsidP="006446E2">
            <w:pPr>
              <w:spacing w:line="360" w:lineRule="auto"/>
              <w:jc w:val="both"/>
              <w:rPr>
                <w:rFonts w:ascii="Arial" w:hAnsi="Arial" w:cs="Arial"/>
              </w:rPr>
            </w:pPr>
            <w:r w:rsidRPr="00F75065">
              <w:rPr>
                <w:rFonts w:ascii="Arial" w:hAnsi="Arial" w:cs="Arial"/>
              </w:rPr>
              <w:t>2021</w:t>
            </w:r>
          </w:p>
        </w:tc>
        <w:tc>
          <w:tcPr>
            <w:tcW w:w="0" w:type="auto"/>
            <w:hideMark/>
          </w:tcPr>
          <w:p w14:paraId="57A0F039"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28.76</w:t>
            </w:r>
          </w:p>
        </w:tc>
        <w:tc>
          <w:tcPr>
            <w:tcW w:w="0" w:type="auto"/>
            <w:hideMark/>
          </w:tcPr>
          <w:p w14:paraId="542CB091"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0.88</w:t>
            </w:r>
          </w:p>
        </w:tc>
      </w:tr>
      <w:tr w:rsidR="006A6F24" w:rsidRPr="00F75065" w14:paraId="504620A0"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D33DE8" w14:textId="77777777" w:rsidR="006A6F24" w:rsidRPr="00F75065" w:rsidRDefault="006A6F24" w:rsidP="006446E2">
            <w:pPr>
              <w:spacing w:line="360" w:lineRule="auto"/>
              <w:jc w:val="both"/>
              <w:rPr>
                <w:rFonts w:ascii="Arial" w:hAnsi="Arial" w:cs="Arial"/>
              </w:rPr>
            </w:pPr>
            <w:r w:rsidRPr="00F75065">
              <w:rPr>
                <w:rFonts w:ascii="Arial" w:hAnsi="Arial" w:cs="Arial"/>
              </w:rPr>
              <w:t>2022</w:t>
            </w:r>
          </w:p>
        </w:tc>
        <w:tc>
          <w:tcPr>
            <w:tcW w:w="0" w:type="auto"/>
            <w:hideMark/>
          </w:tcPr>
          <w:p w14:paraId="1FFAAE2C"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28.06</w:t>
            </w:r>
          </w:p>
        </w:tc>
        <w:tc>
          <w:tcPr>
            <w:tcW w:w="0" w:type="auto"/>
            <w:hideMark/>
          </w:tcPr>
          <w:p w14:paraId="6EF88D00"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0.07</w:t>
            </w:r>
          </w:p>
        </w:tc>
      </w:tr>
      <w:tr w:rsidR="006A6F24" w:rsidRPr="00F75065" w14:paraId="10654D54"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2D5E7C0F" w14:textId="77777777" w:rsidR="006A6F24" w:rsidRPr="00F75065" w:rsidRDefault="006A6F24" w:rsidP="006446E2">
            <w:pPr>
              <w:spacing w:line="360" w:lineRule="auto"/>
              <w:jc w:val="both"/>
              <w:rPr>
                <w:rFonts w:ascii="Arial" w:hAnsi="Arial" w:cs="Arial"/>
              </w:rPr>
            </w:pPr>
            <w:r w:rsidRPr="00F75065">
              <w:rPr>
                <w:rFonts w:ascii="Arial" w:hAnsi="Arial" w:cs="Arial"/>
              </w:rPr>
              <w:t>2023</w:t>
            </w:r>
          </w:p>
        </w:tc>
        <w:tc>
          <w:tcPr>
            <w:tcW w:w="0" w:type="auto"/>
            <w:hideMark/>
          </w:tcPr>
          <w:p w14:paraId="1CCA0E70"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23.20</w:t>
            </w:r>
          </w:p>
        </w:tc>
        <w:tc>
          <w:tcPr>
            <w:tcW w:w="0" w:type="auto"/>
            <w:hideMark/>
          </w:tcPr>
          <w:p w14:paraId="0E98A101"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-23.36</w:t>
            </w:r>
          </w:p>
        </w:tc>
      </w:tr>
      <w:tr w:rsidR="006A6F24" w:rsidRPr="00F75065" w14:paraId="6D95DD5C"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543834" w14:textId="77777777" w:rsidR="006A6F24" w:rsidRPr="00F75065" w:rsidRDefault="006A6F24" w:rsidP="006446E2">
            <w:pPr>
              <w:spacing w:line="360" w:lineRule="auto"/>
              <w:jc w:val="both"/>
              <w:rPr>
                <w:rFonts w:ascii="Arial" w:hAnsi="Arial" w:cs="Arial"/>
              </w:rPr>
            </w:pPr>
            <w:r w:rsidRPr="00F75065">
              <w:rPr>
                <w:rFonts w:ascii="Arial" w:hAnsi="Arial" w:cs="Arial"/>
              </w:rPr>
              <w:t>2024</w:t>
            </w:r>
          </w:p>
        </w:tc>
        <w:tc>
          <w:tcPr>
            <w:tcW w:w="0" w:type="auto"/>
            <w:hideMark/>
          </w:tcPr>
          <w:p w14:paraId="4EFCEE91"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28.87</w:t>
            </w:r>
          </w:p>
        </w:tc>
        <w:tc>
          <w:tcPr>
            <w:tcW w:w="0" w:type="auto"/>
            <w:hideMark/>
          </w:tcPr>
          <w:p w14:paraId="58591C0C"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-6.08</w:t>
            </w:r>
          </w:p>
        </w:tc>
      </w:tr>
    </w:tbl>
    <w:p w14:paraId="295A0CEE" w14:textId="77777777" w:rsidR="006A6F24" w:rsidRDefault="006A6F24" w:rsidP="006A6F24">
      <w:pPr>
        <w:spacing w:line="360" w:lineRule="auto"/>
        <w:jc w:val="both"/>
        <w:rPr>
          <w:rFonts w:ascii="Arial" w:hAnsi="Arial" w:cs="Arial"/>
          <w:lang w:bidi="th-TH"/>
        </w:rPr>
      </w:pPr>
    </w:p>
    <w:tbl>
      <w:tblPr>
        <w:tblStyle w:val="PlainTable1"/>
        <w:tblW w:w="0" w:type="auto"/>
        <w:tblLook w:val="04A0" w:firstRow="1" w:lastRow="0" w:firstColumn="1" w:lastColumn="0" w:noHBand="0" w:noVBand="1"/>
      </w:tblPr>
      <w:tblGrid>
        <w:gridCol w:w="750"/>
        <w:gridCol w:w="1750"/>
        <w:gridCol w:w="1550"/>
      </w:tblGrid>
      <w:tr w:rsidR="006A6F24" w:rsidRPr="00F75065" w14:paraId="4FEE0339" w14:textId="77777777" w:rsidTr="006446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AEDFB2" w14:textId="77777777" w:rsidR="006A6F24" w:rsidRPr="00F75065" w:rsidRDefault="006A6F24" w:rsidP="006446E2">
            <w:pPr>
              <w:spacing w:line="360" w:lineRule="auto"/>
              <w:jc w:val="both"/>
              <w:rPr>
                <w:rFonts w:ascii="Arial" w:hAnsi="Arial" w:cs="Arial"/>
              </w:rPr>
            </w:pPr>
            <w:r w:rsidRPr="00F75065">
              <w:rPr>
                <w:rFonts w:ascii="Arial" w:hAnsi="Arial" w:cs="Arial"/>
              </w:rPr>
              <w:t>Year</w:t>
            </w:r>
          </w:p>
        </w:tc>
        <w:tc>
          <w:tcPr>
            <w:tcW w:w="0" w:type="auto"/>
            <w:hideMark/>
          </w:tcPr>
          <w:p w14:paraId="15C8BCAF" w14:textId="77777777" w:rsidR="006A6F24" w:rsidRPr="00F75065" w:rsidRDefault="006A6F24"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Current Ratio</w:t>
            </w:r>
          </w:p>
        </w:tc>
        <w:tc>
          <w:tcPr>
            <w:tcW w:w="0" w:type="auto"/>
            <w:hideMark/>
          </w:tcPr>
          <w:p w14:paraId="50FB335B" w14:textId="77777777" w:rsidR="006A6F24" w:rsidRPr="00F75065" w:rsidRDefault="006A6F24"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Quick Ratio</w:t>
            </w:r>
          </w:p>
        </w:tc>
      </w:tr>
      <w:tr w:rsidR="006A6F24" w:rsidRPr="00F75065" w14:paraId="694F7526"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FE8163" w14:textId="77777777" w:rsidR="006A6F24" w:rsidRPr="00F75065" w:rsidRDefault="006A6F24" w:rsidP="006446E2">
            <w:pPr>
              <w:spacing w:line="360" w:lineRule="auto"/>
              <w:jc w:val="both"/>
              <w:rPr>
                <w:rFonts w:ascii="Arial" w:hAnsi="Arial" w:cs="Arial"/>
              </w:rPr>
            </w:pPr>
            <w:r w:rsidRPr="00F75065">
              <w:rPr>
                <w:rFonts w:ascii="Arial" w:hAnsi="Arial" w:cs="Arial"/>
              </w:rPr>
              <w:t>2020</w:t>
            </w:r>
          </w:p>
        </w:tc>
        <w:tc>
          <w:tcPr>
            <w:tcW w:w="0" w:type="auto"/>
            <w:hideMark/>
          </w:tcPr>
          <w:p w14:paraId="56B6B171"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1.82</w:t>
            </w:r>
          </w:p>
        </w:tc>
        <w:tc>
          <w:tcPr>
            <w:tcW w:w="0" w:type="auto"/>
            <w:hideMark/>
          </w:tcPr>
          <w:p w14:paraId="39C22D45"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1.15</w:t>
            </w:r>
          </w:p>
        </w:tc>
      </w:tr>
      <w:tr w:rsidR="006A6F24" w:rsidRPr="00F75065" w14:paraId="5FB733E4"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284E1EC7" w14:textId="77777777" w:rsidR="006A6F24" w:rsidRPr="00F75065" w:rsidRDefault="006A6F24" w:rsidP="006446E2">
            <w:pPr>
              <w:spacing w:line="360" w:lineRule="auto"/>
              <w:jc w:val="both"/>
              <w:rPr>
                <w:rFonts w:ascii="Arial" w:hAnsi="Arial" w:cs="Arial"/>
              </w:rPr>
            </w:pPr>
            <w:r w:rsidRPr="00F75065">
              <w:rPr>
                <w:rFonts w:ascii="Arial" w:hAnsi="Arial" w:cs="Arial"/>
              </w:rPr>
              <w:t>2021</w:t>
            </w:r>
          </w:p>
        </w:tc>
        <w:tc>
          <w:tcPr>
            <w:tcW w:w="0" w:type="auto"/>
            <w:hideMark/>
          </w:tcPr>
          <w:p w14:paraId="57FF8851"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1.56</w:t>
            </w:r>
          </w:p>
        </w:tc>
        <w:tc>
          <w:tcPr>
            <w:tcW w:w="0" w:type="auto"/>
            <w:hideMark/>
          </w:tcPr>
          <w:p w14:paraId="011D64F8"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0.93</w:t>
            </w:r>
          </w:p>
        </w:tc>
      </w:tr>
      <w:tr w:rsidR="006A6F24" w:rsidRPr="00F75065" w14:paraId="5AA4E29A"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4E9BB5" w14:textId="77777777" w:rsidR="006A6F24" w:rsidRPr="00F75065" w:rsidRDefault="006A6F24" w:rsidP="006446E2">
            <w:pPr>
              <w:spacing w:line="360" w:lineRule="auto"/>
              <w:jc w:val="both"/>
              <w:rPr>
                <w:rFonts w:ascii="Arial" w:hAnsi="Arial" w:cs="Arial"/>
              </w:rPr>
            </w:pPr>
            <w:r w:rsidRPr="00F75065">
              <w:rPr>
                <w:rFonts w:ascii="Arial" w:hAnsi="Arial" w:cs="Arial"/>
              </w:rPr>
              <w:t>2022</w:t>
            </w:r>
          </w:p>
        </w:tc>
        <w:tc>
          <w:tcPr>
            <w:tcW w:w="0" w:type="auto"/>
            <w:hideMark/>
          </w:tcPr>
          <w:p w14:paraId="6CB82094"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1.56</w:t>
            </w:r>
          </w:p>
        </w:tc>
        <w:tc>
          <w:tcPr>
            <w:tcW w:w="0" w:type="auto"/>
            <w:hideMark/>
          </w:tcPr>
          <w:p w14:paraId="6EC6C5F3"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0.91</w:t>
            </w:r>
          </w:p>
        </w:tc>
      </w:tr>
      <w:tr w:rsidR="006A6F24" w:rsidRPr="00F75065" w14:paraId="21C933D1"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02961A5F" w14:textId="77777777" w:rsidR="006A6F24" w:rsidRPr="00F75065" w:rsidRDefault="006A6F24" w:rsidP="006446E2">
            <w:pPr>
              <w:spacing w:line="360" w:lineRule="auto"/>
              <w:jc w:val="both"/>
              <w:rPr>
                <w:rFonts w:ascii="Arial" w:hAnsi="Arial" w:cs="Arial"/>
              </w:rPr>
            </w:pPr>
            <w:r w:rsidRPr="00F75065">
              <w:rPr>
                <w:rFonts w:ascii="Arial" w:hAnsi="Arial" w:cs="Arial"/>
              </w:rPr>
              <w:t>2023</w:t>
            </w:r>
          </w:p>
        </w:tc>
        <w:tc>
          <w:tcPr>
            <w:tcW w:w="0" w:type="auto"/>
            <w:hideMark/>
          </w:tcPr>
          <w:p w14:paraId="537E5B9E"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1.61</w:t>
            </w:r>
          </w:p>
        </w:tc>
        <w:tc>
          <w:tcPr>
            <w:tcW w:w="0" w:type="auto"/>
            <w:hideMark/>
          </w:tcPr>
          <w:p w14:paraId="318DA394"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1.06</w:t>
            </w:r>
          </w:p>
        </w:tc>
      </w:tr>
      <w:tr w:rsidR="006A6F24" w:rsidRPr="00F75065" w14:paraId="1C37A31C"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D5A49B" w14:textId="77777777" w:rsidR="006A6F24" w:rsidRPr="00F75065" w:rsidRDefault="006A6F24" w:rsidP="006446E2">
            <w:pPr>
              <w:spacing w:line="360" w:lineRule="auto"/>
              <w:jc w:val="both"/>
              <w:rPr>
                <w:rFonts w:ascii="Arial" w:hAnsi="Arial" w:cs="Arial"/>
              </w:rPr>
            </w:pPr>
            <w:r w:rsidRPr="00F75065">
              <w:rPr>
                <w:rFonts w:ascii="Arial" w:hAnsi="Arial" w:cs="Arial"/>
              </w:rPr>
              <w:t>2024</w:t>
            </w:r>
          </w:p>
        </w:tc>
        <w:tc>
          <w:tcPr>
            <w:tcW w:w="0" w:type="auto"/>
            <w:hideMark/>
          </w:tcPr>
          <w:p w14:paraId="25189352"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1.53</w:t>
            </w:r>
          </w:p>
        </w:tc>
        <w:tc>
          <w:tcPr>
            <w:tcW w:w="0" w:type="auto"/>
            <w:hideMark/>
          </w:tcPr>
          <w:p w14:paraId="3AD86F6E"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1.03</w:t>
            </w:r>
          </w:p>
        </w:tc>
      </w:tr>
    </w:tbl>
    <w:p w14:paraId="1D791BFA" w14:textId="77777777" w:rsidR="006A6F24" w:rsidRDefault="006A6F24" w:rsidP="006A6F24">
      <w:pPr>
        <w:spacing w:line="360" w:lineRule="auto"/>
        <w:jc w:val="both"/>
        <w:rPr>
          <w:rFonts w:ascii="Arial" w:hAnsi="Arial" w:cs="Arial"/>
          <w:lang w:bidi="th-TH"/>
        </w:rPr>
      </w:pPr>
    </w:p>
    <w:tbl>
      <w:tblPr>
        <w:tblStyle w:val="PlainTable1"/>
        <w:tblW w:w="0" w:type="auto"/>
        <w:tblLook w:val="04A0" w:firstRow="1" w:lastRow="0" w:firstColumn="1" w:lastColumn="0" w:noHBand="0" w:noVBand="1"/>
      </w:tblPr>
      <w:tblGrid>
        <w:gridCol w:w="750"/>
        <w:gridCol w:w="3239"/>
        <w:gridCol w:w="4418"/>
      </w:tblGrid>
      <w:tr w:rsidR="006A6F24" w:rsidRPr="00F75065" w14:paraId="26D3E9E7" w14:textId="77777777" w:rsidTr="006446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32FF24" w14:textId="77777777" w:rsidR="006A6F24" w:rsidRPr="00F75065" w:rsidRDefault="006A6F24" w:rsidP="006446E2">
            <w:pPr>
              <w:spacing w:line="360" w:lineRule="auto"/>
              <w:jc w:val="both"/>
              <w:rPr>
                <w:rFonts w:ascii="Arial" w:hAnsi="Arial" w:cs="Arial"/>
              </w:rPr>
            </w:pPr>
            <w:r w:rsidRPr="00F75065">
              <w:rPr>
                <w:rFonts w:ascii="Arial" w:hAnsi="Arial" w:cs="Arial"/>
              </w:rPr>
              <w:t>Year</w:t>
            </w:r>
          </w:p>
        </w:tc>
        <w:tc>
          <w:tcPr>
            <w:tcW w:w="0" w:type="auto"/>
            <w:hideMark/>
          </w:tcPr>
          <w:p w14:paraId="2172E032" w14:textId="77777777" w:rsidR="006A6F24" w:rsidRPr="00F75065" w:rsidRDefault="006A6F24"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Inventory Turnover (times)</w:t>
            </w:r>
          </w:p>
        </w:tc>
        <w:tc>
          <w:tcPr>
            <w:tcW w:w="0" w:type="auto"/>
            <w:hideMark/>
          </w:tcPr>
          <w:p w14:paraId="4F0FA904" w14:textId="77777777" w:rsidR="006A6F24" w:rsidRPr="00F75065" w:rsidRDefault="006A6F24"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Receivables Collection Period (days)</w:t>
            </w:r>
          </w:p>
        </w:tc>
      </w:tr>
      <w:tr w:rsidR="006A6F24" w:rsidRPr="00F75065" w14:paraId="5BD3C4A4"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C10887" w14:textId="77777777" w:rsidR="006A6F24" w:rsidRPr="00F75065" w:rsidRDefault="006A6F24" w:rsidP="006446E2">
            <w:pPr>
              <w:spacing w:line="360" w:lineRule="auto"/>
              <w:jc w:val="both"/>
              <w:rPr>
                <w:rFonts w:ascii="Arial" w:hAnsi="Arial" w:cs="Arial"/>
              </w:rPr>
            </w:pPr>
            <w:r w:rsidRPr="00F75065">
              <w:rPr>
                <w:rFonts w:ascii="Arial" w:hAnsi="Arial" w:cs="Arial"/>
              </w:rPr>
              <w:t>2020</w:t>
            </w:r>
          </w:p>
        </w:tc>
        <w:tc>
          <w:tcPr>
            <w:tcW w:w="0" w:type="auto"/>
            <w:hideMark/>
          </w:tcPr>
          <w:p w14:paraId="4A70F311"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3.64</w:t>
            </w:r>
          </w:p>
        </w:tc>
        <w:tc>
          <w:tcPr>
            <w:tcW w:w="0" w:type="auto"/>
            <w:hideMark/>
          </w:tcPr>
          <w:p w14:paraId="6A29ACB6"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76.88</w:t>
            </w:r>
          </w:p>
        </w:tc>
      </w:tr>
      <w:tr w:rsidR="006A6F24" w:rsidRPr="00F75065" w14:paraId="3C1F0615"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662BB173" w14:textId="77777777" w:rsidR="006A6F24" w:rsidRPr="00F75065" w:rsidRDefault="006A6F24" w:rsidP="006446E2">
            <w:pPr>
              <w:spacing w:line="360" w:lineRule="auto"/>
              <w:jc w:val="both"/>
              <w:rPr>
                <w:rFonts w:ascii="Arial" w:hAnsi="Arial" w:cs="Arial"/>
              </w:rPr>
            </w:pPr>
            <w:r w:rsidRPr="00F75065">
              <w:rPr>
                <w:rFonts w:ascii="Arial" w:hAnsi="Arial" w:cs="Arial"/>
              </w:rPr>
              <w:t>2021</w:t>
            </w:r>
          </w:p>
        </w:tc>
        <w:tc>
          <w:tcPr>
            <w:tcW w:w="0" w:type="auto"/>
            <w:hideMark/>
          </w:tcPr>
          <w:p w14:paraId="35437BDE"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3.36</w:t>
            </w:r>
          </w:p>
        </w:tc>
        <w:tc>
          <w:tcPr>
            <w:tcW w:w="0" w:type="auto"/>
            <w:hideMark/>
          </w:tcPr>
          <w:p w14:paraId="78F3CD7C"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78.41</w:t>
            </w:r>
          </w:p>
        </w:tc>
      </w:tr>
      <w:tr w:rsidR="006A6F24" w:rsidRPr="00F75065" w14:paraId="50879E22"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392D2C" w14:textId="77777777" w:rsidR="006A6F24" w:rsidRPr="00F75065" w:rsidRDefault="006A6F24" w:rsidP="006446E2">
            <w:pPr>
              <w:spacing w:line="360" w:lineRule="auto"/>
              <w:jc w:val="both"/>
              <w:rPr>
                <w:rFonts w:ascii="Arial" w:hAnsi="Arial" w:cs="Arial"/>
              </w:rPr>
            </w:pPr>
            <w:r w:rsidRPr="00F75065">
              <w:rPr>
                <w:rFonts w:ascii="Arial" w:hAnsi="Arial" w:cs="Arial"/>
              </w:rPr>
              <w:t>2022</w:t>
            </w:r>
          </w:p>
        </w:tc>
        <w:tc>
          <w:tcPr>
            <w:tcW w:w="0" w:type="auto"/>
            <w:hideMark/>
          </w:tcPr>
          <w:p w14:paraId="6586A6C8"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2.84</w:t>
            </w:r>
          </w:p>
        </w:tc>
        <w:tc>
          <w:tcPr>
            <w:tcW w:w="0" w:type="auto"/>
            <w:hideMark/>
          </w:tcPr>
          <w:p w14:paraId="79B93087"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75.52</w:t>
            </w:r>
          </w:p>
        </w:tc>
      </w:tr>
      <w:tr w:rsidR="006A6F24" w:rsidRPr="00F75065" w14:paraId="5C6FFC4C"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7DCA5830" w14:textId="77777777" w:rsidR="006A6F24" w:rsidRPr="00F75065" w:rsidRDefault="006A6F24" w:rsidP="006446E2">
            <w:pPr>
              <w:spacing w:line="360" w:lineRule="auto"/>
              <w:jc w:val="both"/>
              <w:rPr>
                <w:rFonts w:ascii="Arial" w:hAnsi="Arial" w:cs="Arial"/>
              </w:rPr>
            </w:pPr>
            <w:r w:rsidRPr="00F75065">
              <w:rPr>
                <w:rFonts w:ascii="Arial" w:hAnsi="Arial" w:cs="Arial"/>
              </w:rPr>
              <w:t>2023</w:t>
            </w:r>
          </w:p>
        </w:tc>
        <w:tc>
          <w:tcPr>
            <w:tcW w:w="0" w:type="auto"/>
            <w:hideMark/>
          </w:tcPr>
          <w:p w14:paraId="56A62179"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2.83</w:t>
            </w:r>
          </w:p>
        </w:tc>
        <w:tc>
          <w:tcPr>
            <w:tcW w:w="0" w:type="auto"/>
            <w:hideMark/>
          </w:tcPr>
          <w:p w14:paraId="3E5EF87F"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97.76</w:t>
            </w:r>
          </w:p>
        </w:tc>
      </w:tr>
      <w:tr w:rsidR="006A6F24" w:rsidRPr="00F75065" w14:paraId="1F0D0E3E"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2ED97C" w14:textId="77777777" w:rsidR="006A6F24" w:rsidRPr="00F75065" w:rsidRDefault="006A6F24" w:rsidP="006446E2">
            <w:pPr>
              <w:spacing w:line="360" w:lineRule="auto"/>
              <w:jc w:val="both"/>
              <w:rPr>
                <w:rFonts w:ascii="Arial" w:hAnsi="Arial" w:cs="Arial"/>
              </w:rPr>
            </w:pPr>
            <w:r w:rsidRPr="00F75065">
              <w:rPr>
                <w:rFonts w:ascii="Arial" w:hAnsi="Arial" w:cs="Arial"/>
              </w:rPr>
              <w:t>2024</w:t>
            </w:r>
          </w:p>
        </w:tc>
        <w:tc>
          <w:tcPr>
            <w:tcW w:w="0" w:type="auto"/>
            <w:hideMark/>
          </w:tcPr>
          <w:p w14:paraId="535A36C6"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3.35</w:t>
            </w:r>
          </w:p>
        </w:tc>
        <w:tc>
          <w:tcPr>
            <w:tcW w:w="0" w:type="auto"/>
            <w:hideMark/>
          </w:tcPr>
          <w:p w14:paraId="46F423C5"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105.56</w:t>
            </w:r>
          </w:p>
        </w:tc>
      </w:tr>
    </w:tbl>
    <w:p w14:paraId="52E8138C" w14:textId="77777777" w:rsidR="006A6F24" w:rsidRDefault="006A6F24" w:rsidP="006A6F24">
      <w:pPr>
        <w:spacing w:line="360" w:lineRule="auto"/>
        <w:jc w:val="both"/>
        <w:rPr>
          <w:rFonts w:ascii="Arial" w:hAnsi="Arial" w:cs="Arial"/>
          <w:lang w:bidi="th-TH"/>
        </w:rPr>
      </w:pPr>
    </w:p>
    <w:tbl>
      <w:tblPr>
        <w:tblStyle w:val="PlainTable1"/>
        <w:tblW w:w="0" w:type="auto"/>
        <w:tblLook w:val="04A0" w:firstRow="1" w:lastRow="0" w:firstColumn="1" w:lastColumn="0" w:noHBand="0" w:noVBand="1"/>
      </w:tblPr>
      <w:tblGrid>
        <w:gridCol w:w="750"/>
        <w:gridCol w:w="2536"/>
        <w:gridCol w:w="3764"/>
      </w:tblGrid>
      <w:tr w:rsidR="006A6F24" w:rsidRPr="00F75065" w14:paraId="0813967D" w14:textId="77777777" w:rsidTr="006446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42D673" w14:textId="77777777" w:rsidR="006A6F24" w:rsidRPr="00F75065" w:rsidRDefault="006A6F24" w:rsidP="006446E2">
            <w:pPr>
              <w:spacing w:line="360" w:lineRule="auto"/>
              <w:jc w:val="both"/>
              <w:rPr>
                <w:rFonts w:ascii="Arial" w:hAnsi="Arial" w:cs="Arial"/>
              </w:rPr>
            </w:pPr>
            <w:r w:rsidRPr="00F75065">
              <w:rPr>
                <w:rFonts w:ascii="Arial" w:hAnsi="Arial" w:cs="Arial"/>
              </w:rPr>
              <w:t>Year</w:t>
            </w:r>
          </w:p>
        </w:tc>
        <w:tc>
          <w:tcPr>
            <w:tcW w:w="0" w:type="auto"/>
            <w:hideMark/>
          </w:tcPr>
          <w:p w14:paraId="1B29C588" w14:textId="77777777" w:rsidR="006A6F24" w:rsidRPr="00F75065" w:rsidRDefault="006A6F24"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Debt-to-Equity Ratio</w:t>
            </w:r>
          </w:p>
        </w:tc>
        <w:tc>
          <w:tcPr>
            <w:tcW w:w="0" w:type="auto"/>
            <w:hideMark/>
          </w:tcPr>
          <w:p w14:paraId="2C8BBE63" w14:textId="77777777" w:rsidR="006A6F24" w:rsidRPr="00F75065" w:rsidRDefault="006A6F24"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Interest Coverage Ratio (times)</w:t>
            </w:r>
          </w:p>
        </w:tc>
      </w:tr>
      <w:tr w:rsidR="006A6F24" w:rsidRPr="00F75065" w14:paraId="44B4D582"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80E790" w14:textId="77777777" w:rsidR="006A6F24" w:rsidRPr="00F75065" w:rsidRDefault="006A6F24" w:rsidP="006446E2">
            <w:pPr>
              <w:spacing w:line="360" w:lineRule="auto"/>
              <w:jc w:val="both"/>
              <w:rPr>
                <w:rFonts w:ascii="Arial" w:hAnsi="Arial" w:cs="Arial"/>
              </w:rPr>
            </w:pPr>
            <w:r w:rsidRPr="00F75065">
              <w:rPr>
                <w:rFonts w:ascii="Arial" w:hAnsi="Arial" w:cs="Arial"/>
              </w:rPr>
              <w:t>2020</w:t>
            </w:r>
          </w:p>
        </w:tc>
        <w:tc>
          <w:tcPr>
            <w:tcW w:w="0" w:type="auto"/>
            <w:hideMark/>
          </w:tcPr>
          <w:p w14:paraId="56407B51"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0.63</w:t>
            </w:r>
          </w:p>
        </w:tc>
        <w:tc>
          <w:tcPr>
            <w:tcW w:w="0" w:type="auto"/>
            <w:hideMark/>
          </w:tcPr>
          <w:p w14:paraId="02C7C3F2"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26.21</w:t>
            </w:r>
          </w:p>
        </w:tc>
      </w:tr>
      <w:tr w:rsidR="006A6F24" w:rsidRPr="00F75065" w14:paraId="099BF2D5"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686FB7B7" w14:textId="77777777" w:rsidR="006A6F24" w:rsidRPr="00F75065" w:rsidRDefault="006A6F24" w:rsidP="006446E2">
            <w:pPr>
              <w:spacing w:line="360" w:lineRule="auto"/>
              <w:jc w:val="both"/>
              <w:rPr>
                <w:rFonts w:ascii="Arial" w:hAnsi="Arial" w:cs="Arial"/>
              </w:rPr>
            </w:pPr>
            <w:r w:rsidRPr="00F75065">
              <w:rPr>
                <w:rFonts w:ascii="Arial" w:hAnsi="Arial" w:cs="Arial"/>
              </w:rPr>
              <w:t>2021</w:t>
            </w:r>
          </w:p>
        </w:tc>
        <w:tc>
          <w:tcPr>
            <w:tcW w:w="0" w:type="auto"/>
            <w:hideMark/>
          </w:tcPr>
          <w:p w14:paraId="20E7D002"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0.85</w:t>
            </w:r>
          </w:p>
        </w:tc>
        <w:tc>
          <w:tcPr>
            <w:tcW w:w="0" w:type="auto"/>
            <w:hideMark/>
          </w:tcPr>
          <w:p w14:paraId="78239F1C"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41.08</w:t>
            </w:r>
          </w:p>
        </w:tc>
      </w:tr>
      <w:tr w:rsidR="006A6F24" w:rsidRPr="00F75065" w14:paraId="3650F7BB"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BF7A05" w14:textId="77777777" w:rsidR="006A6F24" w:rsidRPr="00F75065" w:rsidRDefault="006A6F24" w:rsidP="006446E2">
            <w:pPr>
              <w:spacing w:line="360" w:lineRule="auto"/>
              <w:jc w:val="both"/>
              <w:rPr>
                <w:rFonts w:ascii="Arial" w:hAnsi="Arial" w:cs="Arial"/>
              </w:rPr>
            </w:pPr>
            <w:r w:rsidRPr="00F75065">
              <w:rPr>
                <w:rFonts w:ascii="Arial" w:hAnsi="Arial" w:cs="Arial"/>
              </w:rPr>
              <w:t>2022</w:t>
            </w:r>
          </w:p>
        </w:tc>
        <w:tc>
          <w:tcPr>
            <w:tcW w:w="0" w:type="auto"/>
            <w:hideMark/>
          </w:tcPr>
          <w:p w14:paraId="52B8E4D6"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0.88</w:t>
            </w:r>
          </w:p>
        </w:tc>
        <w:tc>
          <w:tcPr>
            <w:tcW w:w="0" w:type="auto"/>
            <w:hideMark/>
          </w:tcPr>
          <w:p w14:paraId="1A2FC979"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6.61</w:t>
            </w:r>
          </w:p>
        </w:tc>
      </w:tr>
      <w:tr w:rsidR="006A6F24" w:rsidRPr="00F75065" w14:paraId="0D423D9A"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5B3C936E" w14:textId="77777777" w:rsidR="006A6F24" w:rsidRPr="00F75065" w:rsidRDefault="006A6F24" w:rsidP="006446E2">
            <w:pPr>
              <w:spacing w:line="360" w:lineRule="auto"/>
              <w:jc w:val="both"/>
              <w:rPr>
                <w:rFonts w:ascii="Arial" w:hAnsi="Arial" w:cs="Arial"/>
              </w:rPr>
            </w:pPr>
            <w:r w:rsidRPr="00F75065">
              <w:rPr>
                <w:rFonts w:ascii="Arial" w:hAnsi="Arial" w:cs="Arial"/>
              </w:rPr>
              <w:t>2023</w:t>
            </w:r>
          </w:p>
        </w:tc>
        <w:tc>
          <w:tcPr>
            <w:tcW w:w="0" w:type="auto"/>
            <w:hideMark/>
          </w:tcPr>
          <w:p w14:paraId="3DF0BC47"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0.99</w:t>
            </w:r>
          </w:p>
        </w:tc>
        <w:tc>
          <w:tcPr>
            <w:tcW w:w="0" w:type="auto"/>
            <w:hideMark/>
          </w:tcPr>
          <w:p w14:paraId="5773B70C"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-19.69</w:t>
            </w:r>
          </w:p>
        </w:tc>
      </w:tr>
      <w:tr w:rsidR="006A6F24" w:rsidRPr="00F75065" w14:paraId="66ABC72F"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41E22F" w14:textId="77777777" w:rsidR="006A6F24" w:rsidRPr="00F75065" w:rsidRDefault="006A6F24" w:rsidP="006446E2">
            <w:pPr>
              <w:spacing w:line="360" w:lineRule="auto"/>
              <w:jc w:val="both"/>
              <w:rPr>
                <w:rFonts w:ascii="Arial" w:hAnsi="Arial" w:cs="Arial"/>
              </w:rPr>
            </w:pPr>
            <w:r w:rsidRPr="00F75065">
              <w:rPr>
                <w:rFonts w:ascii="Arial" w:hAnsi="Arial" w:cs="Arial"/>
              </w:rPr>
              <w:t>2024</w:t>
            </w:r>
          </w:p>
        </w:tc>
        <w:tc>
          <w:tcPr>
            <w:tcW w:w="0" w:type="auto"/>
            <w:hideMark/>
          </w:tcPr>
          <w:p w14:paraId="178F097B"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1.11</w:t>
            </w:r>
          </w:p>
        </w:tc>
        <w:tc>
          <w:tcPr>
            <w:tcW w:w="0" w:type="auto"/>
            <w:hideMark/>
          </w:tcPr>
          <w:p w14:paraId="656B7671"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-4.55</w:t>
            </w:r>
          </w:p>
        </w:tc>
      </w:tr>
    </w:tbl>
    <w:p w14:paraId="415D37FD" w14:textId="77777777" w:rsidR="006A6F24" w:rsidRDefault="006A6F24" w:rsidP="00405732">
      <w:pPr>
        <w:spacing w:line="360" w:lineRule="auto"/>
        <w:jc w:val="both"/>
        <w:rPr>
          <w:rFonts w:ascii="Arial" w:hAnsi="Arial" w:cs="Arial"/>
          <w:lang w:bidi="th-TH"/>
        </w:rPr>
      </w:pPr>
    </w:p>
    <w:tbl>
      <w:tblPr>
        <w:tblStyle w:val="PlainTable1"/>
        <w:tblW w:w="0" w:type="auto"/>
        <w:tblLook w:val="04A0" w:firstRow="1" w:lastRow="0" w:firstColumn="1" w:lastColumn="0" w:noHBand="0" w:noVBand="1"/>
      </w:tblPr>
      <w:tblGrid>
        <w:gridCol w:w="750"/>
        <w:gridCol w:w="3176"/>
        <w:gridCol w:w="3338"/>
      </w:tblGrid>
      <w:tr w:rsidR="006A6F24" w:rsidRPr="00F75065" w14:paraId="38EA6671" w14:textId="77777777" w:rsidTr="006446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42EA91" w14:textId="77777777" w:rsidR="006A6F24" w:rsidRPr="00F75065" w:rsidRDefault="006A6F24" w:rsidP="006446E2">
            <w:pPr>
              <w:spacing w:line="360" w:lineRule="auto"/>
              <w:jc w:val="both"/>
              <w:rPr>
                <w:rFonts w:ascii="Arial" w:hAnsi="Arial" w:cs="Arial"/>
              </w:rPr>
            </w:pPr>
            <w:r w:rsidRPr="00F75065">
              <w:rPr>
                <w:rFonts w:ascii="Arial" w:hAnsi="Arial" w:cs="Arial"/>
              </w:rPr>
              <w:t>Year</w:t>
            </w:r>
          </w:p>
        </w:tc>
        <w:tc>
          <w:tcPr>
            <w:tcW w:w="0" w:type="auto"/>
            <w:hideMark/>
          </w:tcPr>
          <w:p w14:paraId="072D80A4" w14:textId="77777777" w:rsidR="006A6F24" w:rsidRPr="00F75065" w:rsidRDefault="006A6F24"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Return on Equity (ROE %)</w:t>
            </w:r>
          </w:p>
        </w:tc>
        <w:tc>
          <w:tcPr>
            <w:tcW w:w="0" w:type="auto"/>
            <w:hideMark/>
          </w:tcPr>
          <w:p w14:paraId="77ACBD63" w14:textId="77777777" w:rsidR="006A6F24" w:rsidRPr="00F75065" w:rsidRDefault="006A6F24"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Earnings Per Share (EPS £)</w:t>
            </w:r>
          </w:p>
        </w:tc>
      </w:tr>
      <w:tr w:rsidR="006A6F24" w:rsidRPr="00F75065" w14:paraId="6BC71E3C"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68D10C" w14:textId="77777777" w:rsidR="006A6F24" w:rsidRPr="00F75065" w:rsidRDefault="006A6F24" w:rsidP="006446E2">
            <w:pPr>
              <w:spacing w:line="360" w:lineRule="auto"/>
              <w:jc w:val="both"/>
              <w:rPr>
                <w:rFonts w:ascii="Arial" w:hAnsi="Arial" w:cs="Arial"/>
              </w:rPr>
            </w:pPr>
            <w:r w:rsidRPr="00F75065">
              <w:rPr>
                <w:rFonts w:ascii="Arial" w:hAnsi="Arial" w:cs="Arial"/>
              </w:rPr>
              <w:t>2020</w:t>
            </w:r>
          </w:p>
        </w:tc>
        <w:tc>
          <w:tcPr>
            <w:tcW w:w="0" w:type="auto"/>
            <w:hideMark/>
          </w:tcPr>
          <w:p w14:paraId="37288497"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12.31</w:t>
            </w:r>
          </w:p>
        </w:tc>
        <w:tc>
          <w:tcPr>
            <w:tcW w:w="0" w:type="auto"/>
            <w:hideMark/>
          </w:tcPr>
          <w:p w14:paraId="2873566B"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2.78</w:t>
            </w:r>
          </w:p>
        </w:tc>
      </w:tr>
      <w:tr w:rsidR="006A6F24" w:rsidRPr="00F75065" w14:paraId="5159E3FF"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50DFDC0E" w14:textId="77777777" w:rsidR="006A6F24" w:rsidRPr="00F75065" w:rsidRDefault="006A6F24" w:rsidP="006446E2">
            <w:pPr>
              <w:spacing w:line="360" w:lineRule="auto"/>
              <w:jc w:val="both"/>
              <w:rPr>
                <w:rFonts w:ascii="Arial" w:hAnsi="Arial" w:cs="Arial"/>
              </w:rPr>
            </w:pPr>
            <w:r w:rsidRPr="00F75065">
              <w:rPr>
                <w:rFonts w:ascii="Arial" w:hAnsi="Arial" w:cs="Arial"/>
              </w:rPr>
              <w:t>2021</w:t>
            </w:r>
          </w:p>
        </w:tc>
        <w:tc>
          <w:tcPr>
            <w:tcW w:w="0" w:type="auto"/>
            <w:hideMark/>
          </w:tcPr>
          <w:p w14:paraId="3709F375"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1.80</w:t>
            </w:r>
          </w:p>
        </w:tc>
        <w:tc>
          <w:tcPr>
            <w:tcW w:w="0" w:type="auto"/>
            <w:hideMark/>
          </w:tcPr>
          <w:p w14:paraId="13CD9856"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0.39</w:t>
            </w:r>
          </w:p>
        </w:tc>
      </w:tr>
      <w:tr w:rsidR="006A6F24" w:rsidRPr="00F75065" w14:paraId="7A411336"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8C95CB" w14:textId="77777777" w:rsidR="006A6F24" w:rsidRPr="00F75065" w:rsidRDefault="006A6F24" w:rsidP="006446E2">
            <w:pPr>
              <w:spacing w:line="360" w:lineRule="auto"/>
              <w:jc w:val="both"/>
              <w:rPr>
                <w:rFonts w:ascii="Arial" w:hAnsi="Arial" w:cs="Arial"/>
              </w:rPr>
            </w:pPr>
            <w:r w:rsidRPr="00F75065">
              <w:rPr>
                <w:rFonts w:ascii="Arial" w:hAnsi="Arial" w:cs="Arial"/>
              </w:rPr>
              <w:lastRenderedPageBreak/>
              <w:t>2022</w:t>
            </w:r>
          </w:p>
        </w:tc>
        <w:tc>
          <w:tcPr>
            <w:tcW w:w="0" w:type="auto"/>
            <w:hideMark/>
          </w:tcPr>
          <w:p w14:paraId="2C5B2C4B"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0.15</w:t>
            </w:r>
          </w:p>
        </w:tc>
        <w:tc>
          <w:tcPr>
            <w:tcW w:w="0" w:type="auto"/>
            <w:hideMark/>
          </w:tcPr>
          <w:p w14:paraId="40BEFEC8"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0.03</w:t>
            </w:r>
          </w:p>
        </w:tc>
      </w:tr>
      <w:tr w:rsidR="006A6F24" w:rsidRPr="00F75065" w14:paraId="229C13C1"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2D8AEAF7" w14:textId="77777777" w:rsidR="006A6F24" w:rsidRPr="00F75065" w:rsidRDefault="006A6F24" w:rsidP="006446E2">
            <w:pPr>
              <w:spacing w:line="360" w:lineRule="auto"/>
              <w:jc w:val="both"/>
              <w:rPr>
                <w:rFonts w:ascii="Arial" w:hAnsi="Arial" w:cs="Arial"/>
              </w:rPr>
            </w:pPr>
            <w:r w:rsidRPr="00F75065">
              <w:rPr>
                <w:rFonts w:ascii="Arial" w:hAnsi="Arial" w:cs="Arial"/>
              </w:rPr>
              <w:t>2023</w:t>
            </w:r>
          </w:p>
        </w:tc>
        <w:tc>
          <w:tcPr>
            <w:tcW w:w="0" w:type="auto"/>
            <w:hideMark/>
          </w:tcPr>
          <w:p w14:paraId="4564D262"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-43.95</w:t>
            </w:r>
          </w:p>
        </w:tc>
        <w:tc>
          <w:tcPr>
            <w:tcW w:w="0" w:type="auto"/>
            <w:hideMark/>
          </w:tcPr>
          <w:p w14:paraId="47E7CC79"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-7.64</w:t>
            </w:r>
          </w:p>
        </w:tc>
      </w:tr>
      <w:tr w:rsidR="006A6F24" w:rsidRPr="00F75065" w14:paraId="48E96252"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AE85C3" w14:textId="77777777" w:rsidR="006A6F24" w:rsidRPr="00F75065" w:rsidRDefault="006A6F24" w:rsidP="006446E2">
            <w:pPr>
              <w:spacing w:line="360" w:lineRule="auto"/>
              <w:jc w:val="both"/>
              <w:rPr>
                <w:rFonts w:ascii="Arial" w:hAnsi="Arial" w:cs="Arial"/>
              </w:rPr>
            </w:pPr>
            <w:r w:rsidRPr="00F75065">
              <w:rPr>
                <w:rFonts w:ascii="Arial" w:hAnsi="Arial" w:cs="Arial"/>
              </w:rPr>
              <w:t>2024</w:t>
            </w:r>
          </w:p>
        </w:tc>
        <w:tc>
          <w:tcPr>
            <w:tcW w:w="0" w:type="auto"/>
            <w:hideMark/>
          </w:tcPr>
          <w:p w14:paraId="3A4E81F3"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-14.47</w:t>
            </w:r>
          </w:p>
        </w:tc>
        <w:tc>
          <w:tcPr>
            <w:tcW w:w="0" w:type="auto"/>
            <w:hideMark/>
          </w:tcPr>
          <w:p w14:paraId="70DC27A2"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-1.85</w:t>
            </w:r>
          </w:p>
        </w:tc>
      </w:tr>
    </w:tbl>
    <w:p w14:paraId="3C6DAFFE" w14:textId="77777777" w:rsidR="006A6F24" w:rsidRDefault="006A6F24" w:rsidP="006A6F24">
      <w:pPr>
        <w:spacing w:line="360" w:lineRule="auto"/>
        <w:jc w:val="both"/>
        <w:rPr>
          <w:rFonts w:ascii="Arial" w:hAnsi="Arial" w:cs="Arial"/>
          <w:lang w:bidi="th-TH"/>
        </w:rPr>
      </w:pPr>
    </w:p>
    <w:tbl>
      <w:tblPr>
        <w:tblStyle w:val="PlainTable1"/>
        <w:tblW w:w="0" w:type="auto"/>
        <w:tblLook w:val="04A0" w:firstRow="1" w:lastRow="0" w:firstColumn="1" w:lastColumn="0" w:noHBand="0" w:noVBand="1"/>
      </w:tblPr>
      <w:tblGrid>
        <w:gridCol w:w="750"/>
        <w:gridCol w:w="3283"/>
        <w:gridCol w:w="2564"/>
      </w:tblGrid>
      <w:tr w:rsidR="006A6F24" w:rsidRPr="00F75065" w14:paraId="037EC8FC" w14:textId="77777777" w:rsidTr="006446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0572B2" w14:textId="77777777" w:rsidR="006A6F24" w:rsidRPr="00F75065" w:rsidRDefault="006A6F24" w:rsidP="006446E2">
            <w:pPr>
              <w:spacing w:line="360" w:lineRule="auto"/>
              <w:jc w:val="both"/>
              <w:rPr>
                <w:rFonts w:ascii="Arial" w:hAnsi="Arial" w:cs="Arial"/>
              </w:rPr>
            </w:pPr>
            <w:r w:rsidRPr="00F75065">
              <w:rPr>
                <w:rFonts w:ascii="Arial" w:hAnsi="Arial" w:cs="Arial"/>
              </w:rPr>
              <w:t>Year</w:t>
            </w:r>
          </w:p>
        </w:tc>
        <w:tc>
          <w:tcPr>
            <w:tcW w:w="0" w:type="auto"/>
            <w:hideMark/>
          </w:tcPr>
          <w:p w14:paraId="070E0530" w14:textId="77777777" w:rsidR="006A6F24" w:rsidRPr="00F75065" w:rsidRDefault="006A6F24"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Operating Cash Flow Ratio</w:t>
            </w:r>
          </w:p>
        </w:tc>
        <w:tc>
          <w:tcPr>
            <w:tcW w:w="0" w:type="auto"/>
            <w:hideMark/>
          </w:tcPr>
          <w:p w14:paraId="3FE9B2D7" w14:textId="77777777" w:rsidR="006A6F24" w:rsidRPr="00F75065" w:rsidRDefault="006A6F24"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Free Cash Flow (£m)</w:t>
            </w:r>
          </w:p>
        </w:tc>
      </w:tr>
      <w:tr w:rsidR="006A6F24" w:rsidRPr="00F75065" w14:paraId="20FC7F7A"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F12E16" w14:textId="77777777" w:rsidR="006A6F24" w:rsidRPr="00F75065" w:rsidRDefault="006A6F24" w:rsidP="006446E2">
            <w:pPr>
              <w:spacing w:line="360" w:lineRule="auto"/>
              <w:jc w:val="both"/>
              <w:rPr>
                <w:rFonts w:ascii="Arial" w:hAnsi="Arial" w:cs="Arial"/>
              </w:rPr>
            </w:pPr>
            <w:r w:rsidRPr="00F75065">
              <w:rPr>
                <w:rFonts w:ascii="Arial" w:hAnsi="Arial" w:cs="Arial"/>
              </w:rPr>
              <w:t>2020</w:t>
            </w:r>
          </w:p>
        </w:tc>
        <w:tc>
          <w:tcPr>
            <w:tcW w:w="0" w:type="auto"/>
            <w:hideMark/>
          </w:tcPr>
          <w:p w14:paraId="0C81C0DC"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0.41</w:t>
            </w:r>
          </w:p>
        </w:tc>
        <w:tc>
          <w:tcPr>
            <w:tcW w:w="0" w:type="auto"/>
            <w:hideMark/>
          </w:tcPr>
          <w:p w14:paraId="68D07A9B"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50,158</w:t>
            </w:r>
          </w:p>
        </w:tc>
      </w:tr>
      <w:tr w:rsidR="006A6F24" w:rsidRPr="00F75065" w14:paraId="43995871"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11B325C4" w14:textId="77777777" w:rsidR="006A6F24" w:rsidRPr="00F75065" w:rsidRDefault="006A6F24" w:rsidP="006446E2">
            <w:pPr>
              <w:spacing w:line="360" w:lineRule="auto"/>
              <w:jc w:val="both"/>
              <w:rPr>
                <w:rFonts w:ascii="Arial" w:hAnsi="Arial" w:cs="Arial"/>
              </w:rPr>
            </w:pPr>
            <w:r w:rsidRPr="00F75065">
              <w:rPr>
                <w:rFonts w:ascii="Arial" w:hAnsi="Arial" w:cs="Arial"/>
              </w:rPr>
              <w:t>2021</w:t>
            </w:r>
          </w:p>
        </w:tc>
        <w:tc>
          <w:tcPr>
            <w:tcW w:w="0" w:type="auto"/>
            <w:hideMark/>
          </w:tcPr>
          <w:p w14:paraId="20BC9DC2"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0.19</w:t>
            </w:r>
          </w:p>
        </w:tc>
        <w:tc>
          <w:tcPr>
            <w:tcW w:w="0" w:type="auto"/>
            <w:hideMark/>
          </w:tcPr>
          <w:p w14:paraId="7EFCCEE0"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23,242</w:t>
            </w:r>
          </w:p>
        </w:tc>
      </w:tr>
      <w:tr w:rsidR="006A6F24" w:rsidRPr="00F75065" w14:paraId="6E20CA30"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E2C4A2" w14:textId="77777777" w:rsidR="006A6F24" w:rsidRPr="00F75065" w:rsidRDefault="006A6F24" w:rsidP="006446E2">
            <w:pPr>
              <w:spacing w:line="360" w:lineRule="auto"/>
              <w:jc w:val="both"/>
              <w:rPr>
                <w:rFonts w:ascii="Arial" w:hAnsi="Arial" w:cs="Arial"/>
              </w:rPr>
            </w:pPr>
            <w:r w:rsidRPr="00F75065">
              <w:rPr>
                <w:rFonts w:ascii="Arial" w:hAnsi="Arial" w:cs="Arial"/>
              </w:rPr>
              <w:t>2022</w:t>
            </w:r>
          </w:p>
        </w:tc>
        <w:tc>
          <w:tcPr>
            <w:tcW w:w="0" w:type="auto"/>
            <w:hideMark/>
          </w:tcPr>
          <w:p w14:paraId="529E7608"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0.05</w:t>
            </w:r>
          </w:p>
        </w:tc>
        <w:tc>
          <w:tcPr>
            <w:tcW w:w="0" w:type="auto"/>
            <w:hideMark/>
          </w:tcPr>
          <w:p w14:paraId="2423026D"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-9,659</w:t>
            </w:r>
          </w:p>
        </w:tc>
      </w:tr>
      <w:tr w:rsidR="006A6F24" w:rsidRPr="00F75065" w14:paraId="4F696C06"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7AF99549" w14:textId="77777777" w:rsidR="006A6F24" w:rsidRPr="00F75065" w:rsidRDefault="006A6F24" w:rsidP="006446E2">
            <w:pPr>
              <w:spacing w:line="360" w:lineRule="auto"/>
              <w:jc w:val="both"/>
              <w:rPr>
                <w:rFonts w:ascii="Arial" w:hAnsi="Arial" w:cs="Arial"/>
              </w:rPr>
            </w:pPr>
            <w:r w:rsidRPr="00F75065">
              <w:rPr>
                <w:rFonts w:ascii="Arial" w:hAnsi="Arial" w:cs="Arial"/>
              </w:rPr>
              <w:t>2023</w:t>
            </w:r>
          </w:p>
        </w:tc>
        <w:tc>
          <w:tcPr>
            <w:tcW w:w="0" w:type="auto"/>
            <w:hideMark/>
          </w:tcPr>
          <w:p w14:paraId="53E1097B"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0.16</w:t>
            </w:r>
          </w:p>
        </w:tc>
        <w:tc>
          <w:tcPr>
            <w:tcW w:w="0" w:type="auto"/>
            <w:hideMark/>
          </w:tcPr>
          <w:p w14:paraId="7B35862D" w14:textId="77777777" w:rsidR="006A6F24" w:rsidRPr="00F75065" w:rsidRDefault="006A6F24"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75065">
              <w:rPr>
                <w:rFonts w:ascii="Arial" w:hAnsi="Arial" w:cs="Arial"/>
              </w:rPr>
              <w:t>11,313</w:t>
            </w:r>
          </w:p>
        </w:tc>
      </w:tr>
      <w:tr w:rsidR="006A6F24" w:rsidRPr="00F75065" w14:paraId="41CCC53A"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620FCD" w14:textId="77777777" w:rsidR="006A6F24" w:rsidRPr="00F75065" w:rsidRDefault="006A6F24" w:rsidP="006446E2">
            <w:pPr>
              <w:spacing w:line="360" w:lineRule="auto"/>
              <w:jc w:val="both"/>
              <w:rPr>
                <w:rFonts w:ascii="Arial" w:hAnsi="Arial" w:cs="Arial"/>
              </w:rPr>
            </w:pPr>
            <w:r w:rsidRPr="00F75065">
              <w:rPr>
                <w:rFonts w:ascii="Arial" w:hAnsi="Arial" w:cs="Arial"/>
              </w:rPr>
              <w:t>2024</w:t>
            </w:r>
          </w:p>
        </w:tc>
        <w:tc>
          <w:tcPr>
            <w:tcW w:w="0" w:type="auto"/>
            <w:hideMark/>
          </w:tcPr>
          <w:p w14:paraId="3F04FB59"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0.09</w:t>
            </w:r>
          </w:p>
        </w:tc>
        <w:tc>
          <w:tcPr>
            <w:tcW w:w="0" w:type="auto"/>
            <w:hideMark/>
          </w:tcPr>
          <w:p w14:paraId="3D2B50EF" w14:textId="77777777" w:rsidR="006A6F24" w:rsidRPr="00F75065" w:rsidRDefault="006A6F24"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75065">
              <w:rPr>
                <w:rFonts w:ascii="Arial" w:hAnsi="Arial" w:cs="Arial"/>
              </w:rPr>
              <w:t>6,394</w:t>
            </w:r>
          </w:p>
        </w:tc>
      </w:tr>
    </w:tbl>
    <w:p w14:paraId="67B72B31" w14:textId="77777777" w:rsidR="006A6F24" w:rsidRDefault="006A6F24" w:rsidP="006A6F24">
      <w:pPr>
        <w:spacing w:line="360" w:lineRule="auto"/>
        <w:jc w:val="both"/>
        <w:rPr>
          <w:rFonts w:ascii="Arial" w:hAnsi="Arial" w:cs="Arial"/>
          <w:lang w:bidi="th-TH"/>
        </w:rPr>
      </w:pPr>
      <w:r>
        <w:rPr>
          <w:rFonts w:ascii="Arial" w:hAnsi="Arial" w:cs="Arial"/>
          <w:noProof/>
          <w:lang w:bidi="th-TH"/>
        </w:rPr>
        <w:drawing>
          <wp:inline distT="0" distB="0" distL="0" distR="0" wp14:anchorId="574481B6" wp14:editId="7A310233">
            <wp:extent cx="3629465" cy="2867025"/>
            <wp:effectExtent l="0" t="0" r="9525" b="0"/>
            <wp:docPr id="16537713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44415" cy="2878834"/>
                    </a:xfrm>
                    <a:prstGeom prst="rect">
                      <a:avLst/>
                    </a:prstGeom>
                    <a:noFill/>
                  </pic:spPr>
                </pic:pic>
              </a:graphicData>
            </a:graphic>
          </wp:inline>
        </w:drawing>
      </w:r>
    </w:p>
    <w:p w14:paraId="7900F0EE" w14:textId="77777777" w:rsidR="006A6F24" w:rsidRDefault="006A6F24" w:rsidP="006A6F24">
      <w:pPr>
        <w:spacing w:line="360" w:lineRule="auto"/>
        <w:jc w:val="both"/>
        <w:rPr>
          <w:rFonts w:ascii="Arial" w:hAnsi="Arial" w:cs="Arial"/>
          <w:lang w:bidi="th-TH"/>
        </w:rPr>
      </w:pPr>
      <w:r>
        <w:rPr>
          <w:rFonts w:ascii="Arial" w:hAnsi="Arial" w:cs="Arial"/>
          <w:noProof/>
          <w:lang w:bidi="th-TH"/>
        </w:rPr>
        <w:drawing>
          <wp:inline distT="0" distB="0" distL="0" distR="0" wp14:anchorId="452E4B9F" wp14:editId="1C17FE96">
            <wp:extent cx="3457575" cy="2769712"/>
            <wp:effectExtent l="0" t="0" r="0" b="0"/>
            <wp:docPr id="8043102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61910" cy="2773185"/>
                    </a:xfrm>
                    <a:prstGeom prst="rect">
                      <a:avLst/>
                    </a:prstGeom>
                    <a:noFill/>
                  </pic:spPr>
                </pic:pic>
              </a:graphicData>
            </a:graphic>
          </wp:inline>
        </w:drawing>
      </w:r>
    </w:p>
    <w:p w14:paraId="3427DD83" w14:textId="77777777" w:rsidR="006A6F24" w:rsidRDefault="006A6F24" w:rsidP="006A6F24">
      <w:pPr>
        <w:spacing w:line="360" w:lineRule="auto"/>
        <w:jc w:val="both"/>
        <w:rPr>
          <w:rFonts w:ascii="Arial" w:hAnsi="Arial" w:cs="Arial"/>
          <w:lang w:bidi="th-TH"/>
        </w:rPr>
      </w:pPr>
      <w:r>
        <w:rPr>
          <w:rFonts w:ascii="Arial" w:hAnsi="Arial" w:cs="Arial"/>
          <w:noProof/>
          <w:lang w:bidi="th-TH"/>
        </w:rPr>
        <w:lastRenderedPageBreak/>
        <w:drawing>
          <wp:inline distT="0" distB="0" distL="0" distR="0" wp14:anchorId="5F8E8294" wp14:editId="7934498B">
            <wp:extent cx="3476625" cy="2760671"/>
            <wp:effectExtent l="0" t="0" r="0" b="1905"/>
            <wp:docPr id="17779571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81599" cy="2764620"/>
                    </a:xfrm>
                    <a:prstGeom prst="rect">
                      <a:avLst/>
                    </a:prstGeom>
                    <a:noFill/>
                  </pic:spPr>
                </pic:pic>
              </a:graphicData>
            </a:graphic>
          </wp:inline>
        </w:drawing>
      </w:r>
    </w:p>
    <w:p w14:paraId="7869B896" w14:textId="77777777" w:rsidR="006A6F24" w:rsidRDefault="006A6F24" w:rsidP="006A6F24">
      <w:pPr>
        <w:spacing w:line="360" w:lineRule="auto"/>
        <w:jc w:val="both"/>
        <w:rPr>
          <w:rFonts w:ascii="Arial" w:hAnsi="Arial" w:cs="Arial"/>
          <w:lang w:bidi="th-TH"/>
        </w:rPr>
      </w:pPr>
      <w:r>
        <w:rPr>
          <w:rFonts w:ascii="Arial" w:hAnsi="Arial" w:cs="Arial"/>
          <w:noProof/>
          <w:lang w:bidi="th-TH"/>
        </w:rPr>
        <w:drawing>
          <wp:inline distT="0" distB="0" distL="0" distR="0" wp14:anchorId="65F65B45" wp14:editId="371856FC">
            <wp:extent cx="3695700" cy="2919346"/>
            <wp:effectExtent l="0" t="0" r="0" b="0"/>
            <wp:docPr id="1038703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04450" cy="2926258"/>
                    </a:xfrm>
                    <a:prstGeom prst="rect">
                      <a:avLst/>
                    </a:prstGeom>
                    <a:noFill/>
                  </pic:spPr>
                </pic:pic>
              </a:graphicData>
            </a:graphic>
          </wp:inline>
        </w:drawing>
      </w:r>
    </w:p>
    <w:p w14:paraId="0ADB5612" w14:textId="77777777" w:rsidR="006A6F24" w:rsidRDefault="006A6F24" w:rsidP="006A6F24">
      <w:pPr>
        <w:spacing w:line="360" w:lineRule="auto"/>
        <w:jc w:val="both"/>
        <w:rPr>
          <w:rFonts w:ascii="Arial" w:hAnsi="Arial" w:cs="Arial"/>
          <w:lang w:bidi="th-TH"/>
        </w:rPr>
      </w:pPr>
      <w:r>
        <w:rPr>
          <w:rFonts w:ascii="Arial" w:hAnsi="Arial" w:cs="Arial"/>
          <w:noProof/>
          <w:lang w:bidi="th-TH"/>
        </w:rPr>
        <w:drawing>
          <wp:inline distT="0" distB="0" distL="0" distR="0" wp14:anchorId="3BCDD11F" wp14:editId="61DC685A">
            <wp:extent cx="3364188" cy="2657475"/>
            <wp:effectExtent l="0" t="0" r="8255" b="0"/>
            <wp:docPr id="18280789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69071" cy="2661332"/>
                    </a:xfrm>
                    <a:prstGeom prst="rect">
                      <a:avLst/>
                    </a:prstGeom>
                    <a:noFill/>
                  </pic:spPr>
                </pic:pic>
              </a:graphicData>
            </a:graphic>
          </wp:inline>
        </w:drawing>
      </w:r>
    </w:p>
    <w:p w14:paraId="1B81A285" w14:textId="77777777" w:rsidR="006A6F24" w:rsidRDefault="006A6F24" w:rsidP="006A6F24">
      <w:pPr>
        <w:spacing w:line="360" w:lineRule="auto"/>
        <w:jc w:val="both"/>
        <w:rPr>
          <w:rFonts w:ascii="Arial" w:hAnsi="Arial" w:cs="Arial"/>
          <w:lang w:bidi="th-TH"/>
        </w:rPr>
      </w:pPr>
      <w:r w:rsidRPr="00352753">
        <w:rPr>
          <w:rFonts w:ascii="Arial" w:hAnsi="Arial" w:cs="Arial"/>
          <w:noProof/>
          <w:highlight w:val="yellow"/>
          <w:lang w:bidi="th-TH"/>
        </w:rPr>
        <w:lastRenderedPageBreak/>
        <w:drawing>
          <wp:inline distT="0" distB="0" distL="0" distR="0" wp14:anchorId="5F9C3995" wp14:editId="0759F0C2">
            <wp:extent cx="3629025" cy="2742868"/>
            <wp:effectExtent l="0" t="0" r="0" b="635"/>
            <wp:docPr id="66443508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35611" cy="2747846"/>
                    </a:xfrm>
                    <a:prstGeom prst="rect">
                      <a:avLst/>
                    </a:prstGeom>
                    <a:noFill/>
                  </pic:spPr>
                </pic:pic>
              </a:graphicData>
            </a:graphic>
          </wp:inline>
        </w:drawing>
      </w:r>
    </w:p>
    <w:p w14:paraId="24AD592D" w14:textId="63EEBA9C" w:rsidR="006A6F24" w:rsidRDefault="006A6F24" w:rsidP="00405732">
      <w:pPr>
        <w:spacing w:line="360" w:lineRule="auto"/>
        <w:jc w:val="both"/>
        <w:rPr>
          <w:rFonts w:ascii="Arial" w:hAnsi="Arial" w:cs="Arial"/>
          <w:lang w:bidi="th-TH"/>
        </w:rPr>
      </w:pPr>
      <w:r w:rsidRPr="00D85C6F">
        <w:rPr>
          <w:rFonts w:ascii="Arial" w:hAnsi="Arial" w:cs="Arial"/>
          <w:b/>
          <w:bCs/>
          <w:noProof/>
          <w:lang w:bidi="th-TH"/>
        </w:rPr>
        <w:drawing>
          <wp:inline distT="0" distB="0" distL="0" distR="0" wp14:anchorId="5879EF6D" wp14:editId="58E312FF">
            <wp:extent cx="4505954" cy="3553321"/>
            <wp:effectExtent l="0" t="0" r="9525" b="9525"/>
            <wp:docPr id="528247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83493" name=""/>
                    <pic:cNvPicPr/>
                  </pic:nvPicPr>
                  <pic:blipFill>
                    <a:blip r:embed="rId6"/>
                    <a:stretch>
                      <a:fillRect/>
                    </a:stretch>
                  </pic:blipFill>
                  <pic:spPr>
                    <a:xfrm>
                      <a:off x="0" y="0"/>
                      <a:ext cx="4505954" cy="3553321"/>
                    </a:xfrm>
                    <a:prstGeom prst="rect">
                      <a:avLst/>
                    </a:prstGeom>
                  </pic:spPr>
                </pic:pic>
              </a:graphicData>
            </a:graphic>
          </wp:inline>
        </w:drawing>
      </w:r>
    </w:p>
    <w:p w14:paraId="60B2D6F3" w14:textId="77777777" w:rsidR="006A6F24" w:rsidRDefault="006A6F24" w:rsidP="00405732">
      <w:pPr>
        <w:spacing w:line="360" w:lineRule="auto"/>
        <w:jc w:val="both"/>
        <w:rPr>
          <w:rFonts w:ascii="Arial" w:hAnsi="Arial" w:cs="Arial"/>
          <w:lang w:bidi="th-TH"/>
        </w:rPr>
      </w:pPr>
    </w:p>
    <w:p w14:paraId="6A490CA3" w14:textId="0F76BE2E" w:rsidR="006A6F24" w:rsidRDefault="006A6F24" w:rsidP="00405732">
      <w:pPr>
        <w:spacing w:line="360" w:lineRule="auto"/>
        <w:jc w:val="both"/>
        <w:rPr>
          <w:rFonts w:ascii="Arial" w:hAnsi="Arial" w:cs="Arial"/>
          <w:lang w:bidi="th-TH"/>
        </w:rPr>
      </w:pPr>
      <w:r w:rsidRPr="00D85C6F">
        <w:rPr>
          <w:rFonts w:ascii="Arial" w:hAnsi="Arial" w:cs="Arial"/>
          <w:noProof/>
          <w:lang w:bidi="th-TH"/>
        </w:rPr>
        <w:lastRenderedPageBreak/>
        <w:drawing>
          <wp:inline distT="0" distB="0" distL="0" distR="0" wp14:anchorId="596AB2F1" wp14:editId="6D5FA549">
            <wp:extent cx="4477375" cy="3600953"/>
            <wp:effectExtent l="0" t="0" r="0" b="0"/>
            <wp:docPr id="1563571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329244" name=""/>
                    <pic:cNvPicPr/>
                  </pic:nvPicPr>
                  <pic:blipFill>
                    <a:blip r:embed="rId8"/>
                    <a:stretch>
                      <a:fillRect/>
                    </a:stretch>
                  </pic:blipFill>
                  <pic:spPr>
                    <a:xfrm>
                      <a:off x="0" y="0"/>
                      <a:ext cx="4477375" cy="3600953"/>
                    </a:xfrm>
                    <a:prstGeom prst="rect">
                      <a:avLst/>
                    </a:prstGeom>
                  </pic:spPr>
                </pic:pic>
              </a:graphicData>
            </a:graphic>
          </wp:inline>
        </w:drawing>
      </w:r>
    </w:p>
    <w:p w14:paraId="6A855D82" w14:textId="77777777" w:rsidR="006A6F24" w:rsidRDefault="006A6F24" w:rsidP="00405732">
      <w:pPr>
        <w:spacing w:line="360" w:lineRule="auto"/>
        <w:jc w:val="both"/>
        <w:rPr>
          <w:rFonts w:ascii="Arial" w:hAnsi="Arial" w:cs="Arial"/>
          <w:lang w:bidi="th-TH"/>
        </w:rPr>
      </w:pPr>
    </w:p>
    <w:p w14:paraId="380A54E3" w14:textId="77777777" w:rsidR="006A6F24" w:rsidRDefault="006A6F24" w:rsidP="00405732">
      <w:pPr>
        <w:spacing w:line="360" w:lineRule="auto"/>
        <w:jc w:val="both"/>
        <w:rPr>
          <w:rFonts w:ascii="Arial" w:hAnsi="Arial" w:cs="Arial"/>
          <w:lang w:bidi="th-TH"/>
        </w:rPr>
      </w:pPr>
    </w:p>
    <w:p w14:paraId="422C5169" w14:textId="6351111C" w:rsidR="006A6F24" w:rsidRDefault="006A6F24" w:rsidP="00405732">
      <w:pPr>
        <w:spacing w:line="360" w:lineRule="auto"/>
        <w:jc w:val="both"/>
        <w:rPr>
          <w:rFonts w:ascii="Arial" w:hAnsi="Arial" w:cs="Arial"/>
          <w:lang w:bidi="th-TH"/>
        </w:rPr>
      </w:pPr>
      <w:r w:rsidRPr="00D85C6F">
        <w:rPr>
          <w:rFonts w:ascii="Arial" w:hAnsi="Arial" w:cs="Arial"/>
          <w:noProof/>
          <w:lang w:bidi="th-TH"/>
        </w:rPr>
        <w:drawing>
          <wp:inline distT="0" distB="0" distL="0" distR="0" wp14:anchorId="4ED54903" wp14:editId="675ECB7C">
            <wp:extent cx="4591691" cy="3591426"/>
            <wp:effectExtent l="0" t="0" r="0" b="9525"/>
            <wp:docPr id="563058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41888" name=""/>
                    <pic:cNvPicPr/>
                  </pic:nvPicPr>
                  <pic:blipFill>
                    <a:blip r:embed="rId10"/>
                    <a:stretch>
                      <a:fillRect/>
                    </a:stretch>
                  </pic:blipFill>
                  <pic:spPr>
                    <a:xfrm>
                      <a:off x="0" y="0"/>
                      <a:ext cx="4591691" cy="3591426"/>
                    </a:xfrm>
                    <a:prstGeom prst="rect">
                      <a:avLst/>
                    </a:prstGeom>
                  </pic:spPr>
                </pic:pic>
              </a:graphicData>
            </a:graphic>
          </wp:inline>
        </w:drawing>
      </w:r>
    </w:p>
    <w:p w14:paraId="29DFC7EF" w14:textId="77777777" w:rsidR="006A6F24" w:rsidRDefault="006A6F24" w:rsidP="00405732">
      <w:pPr>
        <w:spacing w:line="360" w:lineRule="auto"/>
        <w:jc w:val="both"/>
        <w:rPr>
          <w:rFonts w:ascii="Arial" w:hAnsi="Arial" w:cs="Arial"/>
          <w:lang w:bidi="th-TH"/>
        </w:rPr>
      </w:pPr>
    </w:p>
    <w:p w14:paraId="41361464" w14:textId="52B92122" w:rsidR="006A6F24" w:rsidRPr="00E452F9" w:rsidRDefault="006A6F24" w:rsidP="00405732">
      <w:pPr>
        <w:spacing w:line="360" w:lineRule="auto"/>
        <w:jc w:val="both"/>
        <w:rPr>
          <w:rFonts w:ascii="Arial" w:hAnsi="Arial" w:cs="Arial"/>
          <w:lang w:bidi="th-TH"/>
        </w:rPr>
      </w:pPr>
      <w:r w:rsidRPr="00D85C6F">
        <w:rPr>
          <w:rFonts w:ascii="Arial" w:hAnsi="Arial" w:cs="Arial"/>
          <w:noProof/>
          <w:lang w:bidi="th-TH"/>
        </w:rPr>
        <w:lastRenderedPageBreak/>
        <w:drawing>
          <wp:inline distT="0" distB="0" distL="0" distR="0" wp14:anchorId="23390945" wp14:editId="5E254F77">
            <wp:extent cx="4620270" cy="3553321"/>
            <wp:effectExtent l="0" t="0" r="8890" b="9525"/>
            <wp:docPr id="1976042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614186" name=""/>
                    <pic:cNvPicPr/>
                  </pic:nvPicPr>
                  <pic:blipFill>
                    <a:blip r:embed="rId12"/>
                    <a:stretch>
                      <a:fillRect/>
                    </a:stretch>
                  </pic:blipFill>
                  <pic:spPr>
                    <a:xfrm>
                      <a:off x="0" y="0"/>
                      <a:ext cx="4620270" cy="3553321"/>
                    </a:xfrm>
                    <a:prstGeom prst="rect">
                      <a:avLst/>
                    </a:prstGeom>
                  </pic:spPr>
                </pic:pic>
              </a:graphicData>
            </a:graphic>
          </wp:inline>
        </w:drawing>
      </w:r>
    </w:p>
    <w:p w14:paraId="7E617FFB" w14:textId="77777777" w:rsidR="00405732" w:rsidRDefault="00405732" w:rsidP="00405732">
      <w:pPr>
        <w:jc w:val="center"/>
        <w:rPr>
          <w:rFonts w:ascii="Arial" w:hAnsi="Arial" w:cs="Arial"/>
        </w:rPr>
      </w:pPr>
    </w:p>
    <w:p w14:paraId="3881668F" w14:textId="77777777" w:rsidR="006A6F24" w:rsidRDefault="006A6F24" w:rsidP="00405732">
      <w:pPr>
        <w:jc w:val="center"/>
        <w:rPr>
          <w:rFonts w:ascii="Arial" w:hAnsi="Arial" w:cs="Arial"/>
        </w:rPr>
      </w:pPr>
    </w:p>
    <w:p w14:paraId="0938E44A" w14:textId="0064B541" w:rsidR="006A6F24" w:rsidRDefault="006A6F24" w:rsidP="005A4652">
      <w:pPr>
        <w:rPr>
          <w:rFonts w:ascii="Arial" w:hAnsi="Arial" w:cs="Arial"/>
        </w:rPr>
      </w:pPr>
      <w:r w:rsidRPr="00D85C6F">
        <w:rPr>
          <w:rFonts w:ascii="Arial" w:hAnsi="Arial" w:cs="Arial"/>
          <w:noProof/>
          <w:lang w:bidi="th-TH"/>
        </w:rPr>
        <w:drawing>
          <wp:inline distT="0" distB="0" distL="0" distR="0" wp14:anchorId="328A1FCD" wp14:editId="1F4D8E61">
            <wp:extent cx="4582164" cy="3658111"/>
            <wp:effectExtent l="0" t="0" r="0" b="0"/>
            <wp:docPr id="1626125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559832" name=""/>
                    <pic:cNvPicPr/>
                  </pic:nvPicPr>
                  <pic:blipFill>
                    <a:blip r:embed="rId14"/>
                    <a:stretch>
                      <a:fillRect/>
                    </a:stretch>
                  </pic:blipFill>
                  <pic:spPr>
                    <a:xfrm>
                      <a:off x="0" y="0"/>
                      <a:ext cx="4582164" cy="3658111"/>
                    </a:xfrm>
                    <a:prstGeom prst="rect">
                      <a:avLst/>
                    </a:prstGeom>
                  </pic:spPr>
                </pic:pic>
              </a:graphicData>
            </a:graphic>
          </wp:inline>
        </w:drawing>
      </w:r>
    </w:p>
    <w:p w14:paraId="398DAC0B" w14:textId="77777777" w:rsidR="005A4652" w:rsidRDefault="005A4652" w:rsidP="005A4652">
      <w:pPr>
        <w:rPr>
          <w:rFonts w:ascii="Arial" w:hAnsi="Arial" w:cs="Arial"/>
        </w:rPr>
      </w:pPr>
    </w:p>
    <w:p w14:paraId="30AE877F" w14:textId="77777777" w:rsidR="005A4652" w:rsidRDefault="005A4652" w:rsidP="005A4652">
      <w:pPr>
        <w:rPr>
          <w:rFonts w:ascii="Arial" w:hAnsi="Arial" w:cs="Arial"/>
        </w:rPr>
      </w:pPr>
    </w:p>
    <w:p w14:paraId="79FD45BA" w14:textId="29EC11DB" w:rsidR="005A4652" w:rsidRDefault="005A4652" w:rsidP="005A4652">
      <w:pPr>
        <w:rPr>
          <w:rFonts w:ascii="Arial" w:hAnsi="Arial" w:cs="Arial"/>
        </w:rPr>
      </w:pPr>
      <w:r w:rsidRPr="00D85C6F">
        <w:rPr>
          <w:rFonts w:ascii="Arial" w:hAnsi="Arial" w:cs="Arial"/>
          <w:noProof/>
          <w:lang w:bidi="th-TH"/>
        </w:rPr>
        <w:lastRenderedPageBreak/>
        <w:drawing>
          <wp:inline distT="0" distB="0" distL="0" distR="0" wp14:anchorId="6075BCAF" wp14:editId="1FD46A0E">
            <wp:extent cx="4572638" cy="3591426"/>
            <wp:effectExtent l="0" t="0" r="0" b="9525"/>
            <wp:docPr id="1476633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841545" name=""/>
                    <pic:cNvPicPr/>
                  </pic:nvPicPr>
                  <pic:blipFill>
                    <a:blip r:embed="rId16"/>
                    <a:stretch>
                      <a:fillRect/>
                    </a:stretch>
                  </pic:blipFill>
                  <pic:spPr>
                    <a:xfrm>
                      <a:off x="0" y="0"/>
                      <a:ext cx="4572638" cy="3591426"/>
                    </a:xfrm>
                    <a:prstGeom prst="rect">
                      <a:avLst/>
                    </a:prstGeom>
                  </pic:spPr>
                </pic:pic>
              </a:graphicData>
            </a:graphic>
          </wp:inline>
        </w:drawing>
      </w:r>
    </w:p>
    <w:p w14:paraId="7E4912C4" w14:textId="77777777" w:rsidR="005A4652" w:rsidRDefault="005A4652" w:rsidP="005A4652">
      <w:pPr>
        <w:rPr>
          <w:rFonts w:ascii="Arial" w:hAnsi="Arial" w:cs="Arial"/>
        </w:rPr>
      </w:pPr>
    </w:p>
    <w:p w14:paraId="4C52405F" w14:textId="77777777" w:rsidR="005A4652" w:rsidRDefault="005A4652" w:rsidP="005A4652">
      <w:pPr>
        <w:rPr>
          <w:rFonts w:ascii="Arial" w:hAnsi="Arial" w:cs="Arial"/>
        </w:rPr>
      </w:pPr>
    </w:p>
    <w:p w14:paraId="5F73E795" w14:textId="7C88197D" w:rsidR="005A4652" w:rsidRDefault="005A4652" w:rsidP="005A4652">
      <w:pPr>
        <w:rPr>
          <w:rFonts w:ascii="Arial" w:hAnsi="Arial" w:cs="Arial"/>
        </w:rPr>
      </w:pPr>
      <w:r w:rsidRPr="00FC2BDF">
        <w:rPr>
          <w:rFonts w:ascii="Arial" w:hAnsi="Arial" w:cs="Arial"/>
          <w:noProof/>
          <w:lang w:bidi="th-TH"/>
        </w:rPr>
        <w:drawing>
          <wp:inline distT="0" distB="0" distL="0" distR="0" wp14:anchorId="0C46D2DD" wp14:editId="141424E8">
            <wp:extent cx="4982270" cy="2629267"/>
            <wp:effectExtent l="0" t="0" r="8890" b="0"/>
            <wp:docPr id="226940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855935" name=""/>
                    <pic:cNvPicPr/>
                  </pic:nvPicPr>
                  <pic:blipFill>
                    <a:blip r:embed="rId17"/>
                    <a:stretch>
                      <a:fillRect/>
                    </a:stretch>
                  </pic:blipFill>
                  <pic:spPr>
                    <a:xfrm>
                      <a:off x="0" y="0"/>
                      <a:ext cx="4982270" cy="2629267"/>
                    </a:xfrm>
                    <a:prstGeom prst="rect">
                      <a:avLst/>
                    </a:prstGeom>
                  </pic:spPr>
                </pic:pic>
              </a:graphicData>
            </a:graphic>
          </wp:inline>
        </w:drawing>
      </w:r>
    </w:p>
    <w:p w14:paraId="2D60396B" w14:textId="77777777" w:rsidR="005A4652" w:rsidRDefault="005A4652" w:rsidP="005A4652">
      <w:pPr>
        <w:rPr>
          <w:rFonts w:ascii="Arial" w:hAnsi="Arial" w:cs="Arial"/>
        </w:rPr>
      </w:pPr>
    </w:p>
    <w:p w14:paraId="6F9D553E" w14:textId="77777777" w:rsidR="005A4652" w:rsidRDefault="005A4652" w:rsidP="005A4652">
      <w:pPr>
        <w:rPr>
          <w:rFonts w:ascii="Arial" w:hAnsi="Arial" w:cs="Arial"/>
        </w:rPr>
      </w:pPr>
    </w:p>
    <w:p w14:paraId="76B16E73" w14:textId="0FE72805" w:rsidR="005A4652" w:rsidRDefault="005A4652" w:rsidP="005A4652">
      <w:pPr>
        <w:rPr>
          <w:rFonts w:ascii="Arial" w:hAnsi="Arial" w:cs="Arial"/>
        </w:rPr>
      </w:pPr>
      <w:r w:rsidRPr="000339A0">
        <w:rPr>
          <w:rFonts w:ascii="Arial" w:hAnsi="Arial" w:cs="Arial"/>
          <w:noProof/>
          <w:lang w:bidi="th-TH"/>
        </w:rPr>
        <w:lastRenderedPageBreak/>
        <w:drawing>
          <wp:inline distT="0" distB="0" distL="0" distR="0" wp14:anchorId="31F70423" wp14:editId="6C666EA8">
            <wp:extent cx="3153215" cy="3877216"/>
            <wp:effectExtent l="0" t="0" r="9525" b="9525"/>
            <wp:docPr id="1779974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424963" name=""/>
                    <pic:cNvPicPr/>
                  </pic:nvPicPr>
                  <pic:blipFill>
                    <a:blip r:embed="rId18"/>
                    <a:stretch>
                      <a:fillRect/>
                    </a:stretch>
                  </pic:blipFill>
                  <pic:spPr>
                    <a:xfrm>
                      <a:off x="0" y="0"/>
                      <a:ext cx="3153215" cy="3877216"/>
                    </a:xfrm>
                    <a:prstGeom prst="rect">
                      <a:avLst/>
                    </a:prstGeom>
                  </pic:spPr>
                </pic:pic>
              </a:graphicData>
            </a:graphic>
          </wp:inline>
        </w:drawing>
      </w:r>
    </w:p>
    <w:p w14:paraId="41425AD5" w14:textId="77777777" w:rsidR="005A4652" w:rsidRDefault="005A4652" w:rsidP="005A4652">
      <w:pPr>
        <w:rPr>
          <w:rFonts w:ascii="Arial" w:hAnsi="Arial" w:cs="Arial"/>
        </w:rPr>
      </w:pPr>
    </w:p>
    <w:p w14:paraId="7FBCAA07" w14:textId="77777777" w:rsidR="005A4652" w:rsidRDefault="005A4652" w:rsidP="005A4652">
      <w:pPr>
        <w:rPr>
          <w:rFonts w:ascii="Arial" w:hAnsi="Arial" w:cs="Arial"/>
        </w:rPr>
      </w:pPr>
    </w:p>
    <w:tbl>
      <w:tblPr>
        <w:tblStyle w:val="PlainTable1"/>
        <w:tblW w:w="0" w:type="auto"/>
        <w:tblLook w:val="04A0" w:firstRow="1" w:lastRow="0" w:firstColumn="1" w:lastColumn="0" w:noHBand="0" w:noVBand="1"/>
      </w:tblPr>
      <w:tblGrid>
        <w:gridCol w:w="2230"/>
        <w:gridCol w:w="1261"/>
        <w:gridCol w:w="1270"/>
        <w:gridCol w:w="1270"/>
      </w:tblGrid>
      <w:tr w:rsidR="005A4652" w:rsidRPr="00397D98" w14:paraId="4BC43E4E" w14:textId="77777777" w:rsidTr="006446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805E81" w14:textId="77777777" w:rsidR="005A4652" w:rsidRPr="00397D98" w:rsidRDefault="005A4652" w:rsidP="006446E2">
            <w:pPr>
              <w:spacing w:line="360" w:lineRule="auto"/>
              <w:jc w:val="both"/>
              <w:rPr>
                <w:rFonts w:ascii="Arial" w:hAnsi="Arial" w:cs="Arial"/>
              </w:rPr>
            </w:pPr>
            <w:r w:rsidRPr="00397D98">
              <w:rPr>
                <w:rFonts w:ascii="Arial" w:hAnsi="Arial" w:cs="Arial"/>
              </w:rPr>
              <w:t>Metric</w:t>
            </w:r>
          </w:p>
        </w:tc>
        <w:tc>
          <w:tcPr>
            <w:tcW w:w="0" w:type="auto"/>
            <w:hideMark/>
          </w:tcPr>
          <w:p w14:paraId="4DB664A9" w14:textId="77777777" w:rsidR="005A4652" w:rsidRPr="00397D98" w:rsidRDefault="005A465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Project A</w:t>
            </w:r>
          </w:p>
        </w:tc>
        <w:tc>
          <w:tcPr>
            <w:tcW w:w="0" w:type="auto"/>
            <w:hideMark/>
          </w:tcPr>
          <w:p w14:paraId="69409384" w14:textId="77777777" w:rsidR="005A4652" w:rsidRPr="00397D98" w:rsidRDefault="005A465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Project B</w:t>
            </w:r>
          </w:p>
        </w:tc>
        <w:tc>
          <w:tcPr>
            <w:tcW w:w="0" w:type="auto"/>
            <w:hideMark/>
          </w:tcPr>
          <w:p w14:paraId="6D680CE9" w14:textId="77777777" w:rsidR="005A4652" w:rsidRPr="00397D98" w:rsidRDefault="005A4652" w:rsidP="006446E2">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Project C</w:t>
            </w:r>
          </w:p>
        </w:tc>
      </w:tr>
      <w:tr w:rsidR="005A4652" w:rsidRPr="00397D98" w14:paraId="2FADF3EF"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971352" w14:textId="77777777" w:rsidR="005A4652" w:rsidRPr="00397D98" w:rsidRDefault="005A4652" w:rsidP="006446E2">
            <w:pPr>
              <w:spacing w:line="360" w:lineRule="auto"/>
              <w:jc w:val="both"/>
              <w:rPr>
                <w:rFonts w:ascii="Arial" w:hAnsi="Arial" w:cs="Arial"/>
              </w:rPr>
            </w:pPr>
            <w:r w:rsidRPr="00397D98">
              <w:rPr>
                <w:rFonts w:ascii="Arial" w:hAnsi="Arial" w:cs="Arial"/>
              </w:rPr>
              <w:t>Initial Investment</w:t>
            </w:r>
          </w:p>
        </w:tc>
        <w:tc>
          <w:tcPr>
            <w:tcW w:w="0" w:type="auto"/>
            <w:hideMark/>
          </w:tcPr>
          <w:p w14:paraId="38CD1A97" w14:textId="77777777" w:rsidR="005A4652" w:rsidRPr="00397D98" w:rsidRDefault="005A465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£40m</w:t>
            </w:r>
          </w:p>
        </w:tc>
        <w:tc>
          <w:tcPr>
            <w:tcW w:w="0" w:type="auto"/>
            <w:hideMark/>
          </w:tcPr>
          <w:p w14:paraId="2F81D89D" w14:textId="77777777" w:rsidR="005A4652" w:rsidRPr="00397D98" w:rsidRDefault="005A465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£30m</w:t>
            </w:r>
          </w:p>
        </w:tc>
        <w:tc>
          <w:tcPr>
            <w:tcW w:w="0" w:type="auto"/>
            <w:hideMark/>
          </w:tcPr>
          <w:p w14:paraId="235FDCFF" w14:textId="77777777" w:rsidR="005A4652" w:rsidRPr="00397D98" w:rsidRDefault="005A465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£50m</w:t>
            </w:r>
          </w:p>
        </w:tc>
      </w:tr>
      <w:tr w:rsidR="005A4652" w:rsidRPr="00397D98" w14:paraId="1E3A7E9E"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3F73F4BC" w14:textId="77777777" w:rsidR="005A4652" w:rsidRPr="00397D98" w:rsidRDefault="005A4652" w:rsidP="006446E2">
            <w:pPr>
              <w:spacing w:line="360" w:lineRule="auto"/>
              <w:jc w:val="both"/>
              <w:rPr>
                <w:rFonts w:ascii="Arial" w:hAnsi="Arial" w:cs="Arial"/>
              </w:rPr>
            </w:pPr>
            <w:r w:rsidRPr="00397D98">
              <w:rPr>
                <w:rFonts w:ascii="Arial" w:hAnsi="Arial" w:cs="Arial"/>
              </w:rPr>
              <w:t>Payback Period</w:t>
            </w:r>
          </w:p>
        </w:tc>
        <w:tc>
          <w:tcPr>
            <w:tcW w:w="0" w:type="auto"/>
            <w:hideMark/>
          </w:tcPr>
          <w:p w14:paraId="5E80B320" w14:textId="77777777" w:rsidR="005A4652" w:rsidRPr="00397D98" w:rsidRDefault="005A465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3.4 years</w:t>
            </w:r>
          </w:p>
        </w:tc>
        <w:tc>
          <w:tcPr>
            <w:tcW w:w="0" w:type="auto"/>
            <w:hideMark/>
          </w:tcPr>
          <w:p w14:paraId="0A64C2DF" w14:textId="77777777" w:rsidR="005A4652" w:rsidRPr="00397D98" w:rsidRDefault="005A465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5.0 years</w:t>
            </w:r>
          </w:p>
        </w:tc>
        <w:tc>
          <w:tcPr>
            <w:tcW w:w="0" w:type="auto"/>
            <w:hideMark/>
          </w:tcPr>
          <w:p w14:paraId="56949C3C" w14:textId="77777777" w:rsidR="005A4652" w:rsidRPr="00397D98" w:rsidRDefault="005A465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3.6 years</w:t>
            </w:r>
          </w:p>
        </w:tc>
      </w:tr>
      <w:tr w:rsidR="005A4652" w:rsidRPr="00397D98" w14:paraId="3B3A042D"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183E8D" w14:textId="77777777" w:rsidR="005A4652" w:rsidRPr="00397D98" w:rsidRDefault="005A4652" w:rsidP="006446E2">
            <w:pPr>
              <w:spacing w:line="360" w:lineRule="auto"/>
              <w:jc w:val="both"/>
              <w:rPr>
                <w:rFonts w:ascii="Arial" w:hAnsi="Arial" w:cs="Arial"/>
              </w:rPr>
            </w:pPr>
            <w:r w:rsidRPr="00397D98">
              <w:rPr>
                <w:rFonts w:ascii="Arial" w:hAnsi="Arial" w:cs="Arial"/>
              </w:rPr>
              <w:t>ARR</w:t>
            </w:r>
          </w:p>
        </w:tc>
        <w:tc>
          <w:tcPr>
            <w:tcW w:w="0" w:type="auto"/>
            <w:hideMark/>
          </w:tcPr>
          <w:p w14:paraId="4E24882E" w14:textId="77777777" w:rsidR="005A4652" w:rsidRPr="00397D98" w:rsidRDefault="005A465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7.0%</w:t>
            </w:r>
          </w:p>
        </w:tc>
        <w:tc>
          <w:tcPr>
            <w:tcW w:w="0" w:type="auto"/>
            <w:hideMark/>
          </w:tcPr>
          <w:p w14:paraId="6A892832" w14:textId="77777777" w:rsidR="005A4652" w:rsidRPr="00397D98" w:rsidRDefault="005A465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0.0%</w:t>
            </w:r>
          </w:p>
        </w:tc>
        <w:tc>
          <w:tcPr>
            <w:tcW w:w="0" w:type="auto"/>
            <w:hideMark/>
          </w:tcPr>
          <w:p w14:paraId="2AD7FE0D" w14:textId="77777777" w:rsidR="005A4652" w:rsidRPr="00397D98" w:rsidRDefault="005A465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10.0%</w:t>
            </w:r>
          </w:p>
        </w:tc>
      </w:tr>
      <w:tr w:rsidR="005A4652" w:rsidRPr="00397D98" w14:paraId="38EEB65B"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3BBF08D1" w14:textId="77777777" w:rsidR="005A4652" w:rsidRPr="00397D98" w:rsidRDefault="005A4652" w:rsidP="006446E2">
            <w:pPr>
              <w:spacing w:line="360" w:lineRule="auto"/>
              <w:jc w:val="both"/>
              <w:rPr>
                <w:rFonts w:ascii="Arial" w:hAnsi="Arial" w:cs="Arial"/>
              </w:rPr>
            </w:pPr>
            <w:r w:rsidRPr="00397D98">
              <w:rPr>
                <w:rFonts w:ascii="Arial" w:hAnsi="Arial" w:cs="Arial"/>
              </w:rPr>
              <w:t>NPV</w:t>
            </w:r>
          </w:p>
        </w:tc>
        <w:tc>
          <w:tcPr>
            <w:tcW w:w="0" w:type="auto"/>
            <w:hideMark/>
          </w:tcPr>
          <w:p w14:paraId="2AC204EE" w14:textId="77777777" w:rsidR="005A4652" w:rsidRPr="00397D98" w:rsidRDefault="005A465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£1.323m</w:t>
            </w:r>
          </w:p>
        </w:tc>
        <w:tc>
          <w:tcPr>
            <w:tcW w:w="0" w:type="auto"/>
            <w:hideMark/>
          </w:tcPr>
          <w:p w14:paraId="7043F17B" w14:textId="77777777" w:rsidR="005A4652" w:rsidRPr="00397D98" w:rsidRDefault="005A465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-£7.256m</w:t>
            </w:r>
          </w:p>
        </w:tc>
        <w:tc>
          <w:tcPr>
            <w:tcW w:w="0" w:type="auto"/>
            <w:hideMark/>
          </w:tcPr>
          <w:p w14:paraId="7993DF69" w14:textId="77777777" w:rsidR="005A4652" w:rsidRPr="00397D98" w:rsidRDefault="005A465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£4.225m</w:t>
            </w:r>
          </w:p>
        </w:tc>
      </w:tr>
      <w:tr w:rsidR="005A4652" w:rsidRPr="00397D98" w14:paraId="2517F0FF" w14:textId="77777777" w:rsidTr="006446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D69A99" w14:textId="77777777" w:rsidR="005A4652" w:rsidRPr="00397D98" w:rsidRDefault="005A4652" w:rsidP="006446E2">
            <w:pPr>
              <w:spacing w:line="360" w:lineRule="auto"/>
              <w:jc w:val="both"/>
              <w:rPr>
                <w:rFonts w:ascii="Arial" w:hAnsi="Arial" w:cs="Arial"/>
              </w:rPr>
            </w:pPr>
            <w:r w:rsidRPr="00397D98">
              <w:rPr>
                <w:rFonts w:ascii="Arial" w:hAnsi="Arial" w:cs="Arial"/>
              </w:rPr>
              <w:t>Profitability Index</w:t>
            </w:r>
          </w:p>
        </w:tc>
        <w:tc>
          <w:tcPr>
            <w:tcW w:w="0" w:type="auto"/>
            <w:hideMark/>
          </w:tcPr>
          <w:p w14:paraId="1BF5BBBF" w14:textId="77777777" w:rsidR="005A4652" w:rsidRPr="00397D98" w:rsidRDefault="005A465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1.033</w:t>
            </w:r>
          </w:p>
        </w:tc>
        <w:tc>
          <w:tcPr>
            <w:tcW w:w="0" w:type="auto"/>
            <w:hideMark/>
          </w:tcPr>
          <w:p w14:paraId="3D3051E6" w14:textId="77777777" w:rsidR="005A4652" w:rsidRPr="00397D98" w:rsidRDefault="005A465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0.758</w:t>
            </w:r>
          </w:p>
        </w:tc>
        <w:tc>
          <w:tcPr>
            <w:tcW w:w="0" w:type="auto"/>
            <w:hideMark/>
          </w:tcPr>
          <w:p w14:paraId="01C2B149" w14:textId="77777777" w:rsidR="005A4652" w:rsidRPr="00397D98" w:rsidRDefault="005A4652" w:rsidP="006446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97D98">
              <w:rPr>
                <w:rFonts w:ascii="Arial" w:hAnsi="Arial" w:cs="Arial"/>
              </w:rPr>
              <w:t>1.085</w:t>
            </w:r>
          </w:p>
        </w:tc>
      </w:tr>
      <w:tr w:rsidR="005A4652" w:rsidRPr="00397D98" w14:paraId="4A5A6333" w14:textId="77777777" w:rsidTr="006446E2">
        <w:tc>
          <w:tcPr>
            <w:cnfStyle w:val="001000000000" w:firstRow="0" w:lastRow="0" w:firstColumn="1" w:lastColumn="0" w:oddVBand="0" w:evenVBand="0" w:oddHBand="0" w:evenHBand="0" w:firstRowFirstColumn="0" w:firstRowLastColumn="0" w:lastRowFirstColumn="0" w:lastRowLastColumn="0"/>
            <w:tcW w:w="0" w:type="auto"/>
            <w:hideMark/>
          </w:tcPr>
          <w:p w14:paraId="22853850" w14:textId="77777777" w:rsidR="005A4652" w:rsidRPr="00397D98" w:rsidRDefault="005A4652" w:rsidP="006446E2">
            <w:pPr>
              <w:spacing w:line="360" w:lineRule="auto"/>
              <w:jc w:val="both"/>
              <w:rPr>
                <w:rFonts w:ascii="Arial" w:hAnsi="Arial" w:cs="Arial"/>
              </w:rPr>
            </w:pPr>
            <w:r w:rsidRPr="00397D98">
              <w:rPr>
                <w:rFonts w:ascii="Arial" w:hAnsi="Arial" w:cs="Arial"/>
              </w:rPr>
              <w:t>IRR</w:t>
            </w:r>
          </w:p>
        </w:tc>
        <w:tc>
          <w:tcPr>
            <w:tcW w:w="0" w:type="auto"/>
            <w:hideMark/>
          </w:tcPr>
          <w:p w14:paraId="6BCE1F17" w14:textId="77777777" w:rsidR="005A4652" w:rsidRPr="00397D98" w:rsidRDefault="005A465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11.34%</w:t>
            </w:r>
          </w:p>
        </w:tc>
        <w:tc>
          <w:tcPr>
            <w:tcW w:w="0" w:type="auto"/>
            <w:hideMark/>
          </w:tcPr>
          <w:p w14:paraId="5D8BA0E0" w14:textId="77777777" w:rsidR="005A4652" w:rsidRPr="00397D98" w:rsidRDefault="005A465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&lt;5%</w:t>
            </w:r>
          </w:p>
        </w:tc>
        <w:tc>
          <w:tcPr>
            <w:tcW w:w="0" w:type="auto"/>
            <w:hideMark/>
          </w:tcPr>
          <w:p w14:paraId="50A7A464" w14:textId="77777777" w:rsidR="005A4652" w:rsidRPr="00397D98" w:rsidRDefault="005A4652" w:rsidP="006446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97D98">
              <w:rPr>
                <w:rFonts w:ascii="Arial" w:hAnsi="Arial" w:cs="Arial"/>
              </w:rPr>
              <w:t>12.74%</w:t>
            </w:r>
          </w:p>
        </w:tc>
      </w:tr>
    </w:tbl>
    <w:p w14:paraId="70C33AB7" w14:textId="77777777" w:rsidR="005A4652" w:rsidRDefault="005A4652" w:rsidP="005A4652">
      <w:pPr>
        <w:rPr>
          <w:rFonts w:ascii="Arial" w:hAnsi="Arial" w:cs="Arial"/>
        </w:rPr>
      </w:pPr>
    </w:p>
    <w:p w14:paraId="2F4E0B90" w14:textId="77777777" w:rsidR="005A4652" w:rsidRDefault="005A4652" w:rsidP="005A4652">
      <w:pPr>
        <w:rPr>
          <w:rFonts w:ascii="Arial" w:hAnsi="Arial" w:cs="Arial"/>
        </w:rPr>
      </w:pPr>
    </w:p>
    <w:p w14:paraId="08FDF1FA" w14:textId="401B6449" w:rsidR="005A4652" w:rsidRDefault="005A4652" w:rsidP="005A4652">
      <w:pPr>
        <w:rPr>
          <w:rFonts w:ascii="Arial" w:hAnsi="Arial" w:cs="Arial"/>
        </w:rPr>
      </w:pPr>
      <w:r w:rsidRPr="00CA61BE">
        <w:rPr>
          <w:rFonts w:ascii="Arial" w:hAnsi="Arial" w:cs="Arial"/>
          <w:noProof/>
          <w:lang w:bidi="th-TH"/>
        </w:rPr>
        <w:lastRenderedPageBreak/>
        <w:drawing>
          <wp:inline distT="0" distB="0" distL="0" distR="0" wp14:anchorId="75E3173D" wp14:editId="23FF6D62">
            <wp:extent cx="3781953" cy="3858163"/>
            <wp:effectExtent l="0" t="0" r="9525" b="0"/>
            <wp:docPr id="1659230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630866" name=""/>
                    <pic:cNvPicPr/>
                  </pic:nvPicPr>
                  <pic:blipFill>
                    <a:blip r:embed="rId19"/>
                    <a:stretch>
                      <a:fillRect/>
                    </a:stretch>
                  </pic:blipFill>
                  <pic:spPr>
                    <a:xfrm>
                      <a:off x="0" y="0"/>
                      <a:ext cx="3781953" cy="3858163"/>
                    </a:xfrm>
                    <a:prstGeom prst="rect">
                      <a:avLst/>
                    </a:prstGeom>
                  </pic:spPr>
                </pic:pic>
              </a:graphicData>
            </a:graphic>
          </wp:inline>
        </w:drawing>
      </w:r>
    </w:p>
    <w:p w14:paraId="6ECC1C44" w14:textId="77777777" w:rsidR="005A4652" w:rsidRDefault="005A4652" w:rsidP="005A4652">
      <w:pPr>
        <w:rPr>
          <w:rFonts w:ascii="Arial" w:hAnsi="Arial" w:cs="Arial"/>
        </w:rPr>
      </w:pPr>
    </w:p>
    <w:p w14:paraId="7385263D" w14:textId="77777777" w:rsidR="005A4652" w:rsidRDefault="005A4652" w:rsidP="005A4652">
      <w:pPr>
        <w:rPr>
          <w:rFonts w:ascii="Arial" w:hAnsi="Arial" w:cs="Arial"/>
        </w:rPr>
      </w:pPr>
    </w:p>
    <w:p w14:paraId="11C3FD67" w14:textId="01667480" w:rsidR="005A4652" w:rsidRDefault="005A4652" w:rsidP="005A4652">
      <w:pPr>
        <w:rPr>
          <w:rFonts w:ascii="Arial" w:hAnsi="Arial" w:cs="Arial"/>
        </w:rPr>
      </w:pPr>
      <w:r w:rsidRPr="00CA61BE">
        <w:rPr>
          <w:rFonts w:ascii="Arial" w:hAnsi="Arial" w:cs="Arial"/>
          <w:noProof/>
          <w:lang w:bidi="th-TH"/>
        </w:rPr>
        <w:drawing>
          <wp:inline distT="0" distB="0" distL="0" distR="0" wp14:anchorId="529005D3" wp14:editId="7A3C59C0">
            <wp:extent cx="3867690" cy="3743847"/>
            <wp:effectExtent l="0" t="0" r="0" b="0"/>
            <wp:docPr id="958283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963632" name=""/>
                    <pic:cNvPicPr/>
                  </pic:nvPicPr>
                  <pic:blipFill>
                    <a:blip r:embed="rId20"/>
                    <a:stretch>
                      <a:fillRect/>
                    </a:stretch>
                  </pic:blipFill>
                  <pic:spPr>
                    <a:xfrm>
                      <a:off x="0" y="0"/>
                      <a:ext cx="3867690" cy="3743847"/>
                    </a:xfrm>
                    <a:prstGeom prst="rect">
                      <a:avLst/>
                    </a:prstGeom>
                  </pic:spPr>
                </pic:pic>
              </a:graphicData>
            </a:graphic>
          </wp:inline>
        </w:drawing>
      </w:r>
    </w:p>
    <w:p w14:paraId="706CDB59" w14:textId="77777777" w:rsidR="005A4652" w:rsidRDefault="005A4652" w:rsidP="005A4652">
      <w:pPr>
        <w:rPr>
          <w:rFonts w:ascii="Arial" w:hAnsi="Arial" w:cs="Arial"/>
        </w:rPr>
      </w:pPr>
    </w:p>
    <w:p w14:paraId="657520E4" w14:textId="597BAFFB" w:rsidR="005A4652" w:rsidRDefault="005A4652" w:rsidP="005A4652">
      <w:pPr>
        <w:rPr>
          <w:rFonts w:ascii="Arial" w:hAnsi="Arial" w:cs="Arial"/>
        </w:rPr>
      </w:pPr>
      <w:r w:rsidRPr="00CA61BE">
        <w:rPr>
          <w:rFonts w:ascii="Arial" w:hAnsi="Arial" w:cs="Arial"/>
          <w:noProof/>
          <w:lang w:bidi="th-TH"/>
        </w:rPr>
        <w:lastRenderedPageBreak/>
        <w:drawing>
          <wp:inline distT="0" distB="0" distL="0" distR="0" wp14:anchorId="791B1243" wp14:editId="1E988BA1">
            <wp:extent cx="4782217" cy="1914792"/>
            <wp:effectExtent l="0" t="0" r="0" b="9525"/>
            <wp:docPr id="1598954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74242" name=""/>
                    <pic:cNvPicPr/>
                  </pic:nvPicPr>
                  <pic:blipFill>
                    <a:blip r:embed="rId21"/>
                    <a:stretch>
                      <a:fillRect/>
                    </a:stretch>
                  </pic:blipFill>
                  <pic:spPr>
                    <a:xfrm>
                      <a:off x="0" y="0"/>
                      <a:ext cx="4782217" cy="1914792"/>
                    </a:xfrm>
                    <a:prstGeom prst="rect">
                      <a:avLst/>
                    </a:prstGeom>
                  </pic:spPr>
                </pic:pic>
              </a:graphicData>
            </a:graphic>
          </wp:inline>
        </w:drawing>
      </w:r>
    </w:p>
    <w:p w14:paraId="48C56445" w14:textId="77777777" w:rsidR="005A4652" w:rsidRDefault="005A4652" w:rsidP="005A4652">
      <w:pPr>
        <w:rPr>
          <w:rFonts w:ascii="Arial" w:hAnsi="Arial" w:cs="Arial"/>
        </w:rPr>
      </w:pPr>
    </w:p>
    <w:p w14:paraId="5AFC2770" w14:textId="77777777" w:rsidR="005A4652" w:rsidRDefault="005A4652" w:rsidP="005A4652">
      <w:pPr>
        <w:rPr>
          <w:rFonts w:ascii="Arial" w:hAnsi="Arial" w:cs="Arial"/>
        </w:rPr>
      </w:pPr>
    </w:p>
    <w:p w14:paraId="0F79A5E7" w14:textId="7B19D20E" w:rsidR="005A4652" w:rsidRDefault="005A4652" w:rsidP="005A4652">
      <w:pPr>
        <w:rPr>
          <w:rFonts w:ascii="Arial" w:hAnsi="Arial" w:cs="Arial"/>
        </w:rPr>
      </w:pPr>
      <w:r w:rsidRPr="00CA61BE">
        <w:rPr>
          <w:rFonts w:ascii="Arial" w:hAnsi="Arial" w:cs="Arial"/>
          <w:noProof/>
          <w:lang w:bidi="th-TH"/>
        </w:rPr>
        <w:drawing>
          <wp:inline distT="0" distB="0" distL="0" distR="0" wp14:anchorId="289C4D30" wp14:editId="0F49E5B6">
            <wp:extent cx="4772691" cy="1943371"/>
            <wp:effectExtent l="0" t="0" r="8890" b="0"/>
            <wp:docPr id="1249294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093801" name=""/>
                    <pic:cNvPicPr/>
                  </pic:nvPicPr>
                  <pic:blipFill>
                    <a:blip r:embed="rId22"/>
                    <a:stretch>
                      <a:fillRect/>
                    </a:stretch>
                  </pic:blipFill>
                  <pic:spPr>
                    <a:xfrm>
                      <a:off x="0" y="0"/>
                      <a:ext cx="4772691" cy="1943371"/>
                    </a:xfrm>
                    <a:prstGeom prst="rect">
                      <a:avLst/>
                    </a:prstGeom>
                  </pic:spPr>
                </pic:pic>
              </a:graphicData>
            </a:graphic>
          </wp:inline>
        </w:drawing>
      </w:r>
    </w:p>
    <w:p w14:paraId="27831F1D" w14:textId="77777777" w:rsidR="005A4652" w:rsidRDefault="005A4652" w:rsidP="005A4652">
      <w:pPr>
        <w:rPr>
          <w:rFonts w:ascii="Arial" w:hAnsi="Arial" w:cs="Arial"/>
        </w:rPr>
      </w:pPr>
    </w:p>
    <w:p w14:paraId="7157E428" w14:textId="77777777" w:rsidR="005A4652" w:rsidRDefault="005A4652" w:rsidP="005A4652">
      <w:pPr>
        <w:rPr>
          <w:rFonts w:ascii="Arial" w:hAnsi="Arial" w:cs="Arial"/>
        </w:rPr>
      </w:pPr>
    </w:p>
    <w:p w14:paraId="40D6FF82" w14:textId="3C667BDB" w:rsidR="005A4652" w:rsidRDefault="005A4652" w:rsidP="005A4652">
      <w:pPr>
        <w:rPr>
          <w:rFonts w:ascii="Arial" w:hAnsi="Arial" w:cs="Arial"/>
        </w:rPr>
      </w:pPr>
      <w:r w:rsidRPr="00CA61BE">
        <w:rPr>
          <w:rFonts w:ascii="Arial" w:hAnsi="Arial" w:cs="Arial"/>
          <w:noProof/>
          <w:lang w:bidi="th-TH"/>
        </w:rPr>
        <w:drawing>
          <wp:inline distT="0" distB="0" distL="0" distR="0" wp14:anchorId="42AA445E" wp14:editId="190DB2C0">
            <wp:extent cx="4772691" cy="1952898"/>
            <wp:effectExtent l="0" t="0" r="0" b="9525"/>
            <wp:docPr id="1679536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462868" name=""/>
                    <pic:cNvPicPr/>
                  </pic:nvPicPr>
                  <pic:blipFill>
                    <a:blip r:embed="rId23"/>
                    <a:stretch>
                      <a:fillRect/>
                    </a:stretch>
                  </pic:blipFill>
                  <pic:spPr>
                    <a:xfrm>
                      <a:off x="0" y="0"/>
                      <a:ext cx="4772691" cy="1952898"/>
                    </a:xfrm>
                    <a:prstGeom prst="rect">
                      <a:avLst/>
                    </a:prstGeom>
                  </pic:spPr>
                </pic:pic>
              </a:graphicData>
            </a:graphic>
          </wp:inline>
        </w:drawing>
      </w:r>
    </w:p>
    <w:p w14:paraId="4CD0549E" w14:textId="77777777" w:rsidR="005A4652" w:rsidRDefault="005A4652" w:rsidP="005A4652">
      <w:pPr>
        <w:rPr>
          <w:rFonts w:ascii="Arial" w:hAnsi="Arial" w:cs="Arial"/>
        </w:rPr>
      </w:pPr>
    </w:p>
    <w:p w14:paraId="2DA76D13" w14:textId="77777777" w:rsidR="005A4652" w:rsidRDefault="005A4652" w:rsidP="005A4652">
      <w:pPr>
        <w:rPr>
          <w:rFonts w:ascii="Arial" w:hAnsi="Arial" w:cs="Arial"/>
        </w:rPr>
      </w:pPr>
    </w:p>
    <w:p w14:paraId="089BA7B4" w14:textId="567D546B" w:rsidR="005A4652" w:rsidRDefault="005A4652" w:rsidP="005A4652">
      <w:pPr>
        <w:rPr>
          <w:rFonts w:ascii="Arial" w:hAnsi="Arial" w:cs="Arial"/>
        </w:rPr>
      </w:pPr>
      <w:r w:rsidRPr="00CA61BE">
        <w:rPr>
          <w:rFonts w:ascii="Arial" w:hAnsi="Arial" w:cs="Arial"/>
          <w:noProof/>
          <w:lang w:bidi="th-TH"/>
        </w:rPr>
        <w:drawing>
          <wp:inline distT="0" distB="0" distL="0" distR="0" wp14:anchorId="211C7745" wp14:editId="5C186935">
            <wp:extent cx="4906060" cy="1371791"/>
            <wp:effectExtent l="0" t="0" r="8890" b="0"/>
            <wp:docPr id="897966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56355" name=""/>
                    <pic:cNvPicPr/>
                  </pic:nvPicPr>
                  <pic:blipFill>
                    <a:blip r:embed="rId24"/>
                    <a:stretch>
                      <a:fillRect/>
                    </a:stretch>
                  </pic:blipFill>
                  <pic:spPr>
                    <a:xfrm>
                      <a:off x="0" y="0"/>
                      <a:ext cx="4906060" cy="1371791"/>
                    </a:xfrm>
                    <a:prstGeom prst="rect">
                      <a:avLst/>
                    </a:prstGeom>
                  </pic:spPr>
                </pic:pic>
              </a:graphicData>
            </a:graphic>
          </wp:inline>
        </w:drawing>
      </w:r>
    </w:p>
    <w:p w14:paraId="661075D1" w14:textId="77777777" w:rsidR="005A4652" w:rsidRDefault="005A4652" w:rsidP="005A4652">
      <w:pPr>
        <w:rPr>
          <w:rFonts w:ascii="Arial" w:hAnsi="Arial" w:cs="Arial"/>
        </w:rPr>
      </w:pPr>
    </w:p>
    <w:p w14:paraId="227F0C58" w14:textId="77777777" w:rsidR="005A4652" w:rsidRDefault="005A4652" w:rsidP="005A4652">
      <w:pPr>
        <w:rPr>
          <w:rFonts w:ascii="Arial" w:hAnsi="Arial" w:cs="Arial"/>
        </w:rPr>
      </w:pPr>
    </w:p>
    <w:p w14:paraId="230A109C" w14:textId="449A8FA1" w:rsidR="005A4652" w:rsidRDefault="005A4652" w:rsidP="005A4652">
      <w:pPr>
        <w:rPr>
          <w:rFonts w:ascii="Arial" w:hAnsi="Arial" w:cs="Arial"/>
        </w:rPr>
      </w:pPr>
      <w:r w:rsidRPr="00CA61BE">
        <w:rPr>
          <w:rFonts w:ascii="Arial" w:hAnsi="Arial" w:cs="Arial"/>
          <w:noProof/>
          <w:lang w:bidi="th-TH"/>
        </w:rPr>
        <w:lastRenderedPageBreak/>
        <w:drawing>
          <wp:inline distT="0" distB="0" distL="0" distR="0" wp14:anchorId="7884F32B" wp14:editId="1F71B71A">
            <wp:extent cx="3877216" cy="3905795"/>
            <wp:effectExtent l="0" t="0" r="9525" b="0"/>
            <wp:docPr id="1071599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701769" name=""/>
                    <pic:cNvPicPr/>
                  </pic:nvPicPr>
                  <pic:blipFill>
                    <a:blip r:embed="rId25"/>
                    <a:stretch>
                      <a:fillRect/>
                    </a:stretch>
                  </pic:blipFill>
                  <pic:spPr>
                    <a:xfrm>
                      <a:off x="0" y="0"/>
                      <a:ext cx="3877216" cy="3905795"/>
                    </a:xfrm>
                    <a:prstGeom prst="rect">
                      <a:avLst/>
                    </a:prstGeom>
                  </pic:spPr>
                </pic:pic>
              </a:graphicData>
            </a:graphic>
          </wp:inline>
        </w:drawing>
      </w:r>
    </w:p>
    <w:p w14:paraId="40F5BE79" w14:textId="77777777" w:rsidR="005A4652" w:rsidRDefault="005A4652" w:rsidP="005A4652">
      <w:pPr>
        <w:rPr>
          <w:rFonts w:ascii="Arial" w:hAnsi="Arial" w:cs="Arial"/>
        </w:rPr>
      </w:pPr>
    </w:p>
    <w:p w14:paraId="3EDB414D" w14:textId="77777777" w:rsidR="005A4652" w:rsidRDefault="005A4652" w:rsidP="005A4652">
      <w:pPr>
        <w:rPr>
          <w:rFonts w:ascii="Arial" w:hAnsi="Arial" w:cs="Arial"/>
        </w:rPr>
      </w:pPr>
    </w:p>
    <w:p w14:paraId="5CDA50CB" w14:textId="72B890DF" w:rsidR="001143E9" w:rsidRDefault="005A4652">
      <w:r w:rsidRPr="009F2B35">
        <w:rPr>
          <w:rFonts w:ascii="Arial" w:hAnsi="Arial" w:cs="Arial"/>
          <w:noProof/>
          <w:lang w:bidi="th-TH"/>
        </w:rPr>
        <w:lastRenderedPageBreak/>
        <w:drawing>
          <wp:inline distT="0" distB="0" distL="0" distR="0" wp14:anchorId="2D9AB166" wp14:editId="22946F99">
            <wp:extent cx="4220164" cy="5449060"/>
            <wp:effectExtent l="0" t="0" r="9525" b="0"/>
            <wp:docPr id="1558904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904732" name=""/>
                    <pic:cNvPicPr/>
                  </pic:nvPicPr>
                  <pic:blipFill>
                    <a:blip r:embed="rId51"/>
                    <a:stretch>
                      <a:fillRect/>
                    </a:stretch>
                  </pic:blipFill>
                  <pic:spPr>
                    <a:xfrm>
                      <a:off x="0" y="0"/>
                      <a:ext cx="4220164" cy="5449060"/>
                    </a:xfrm>
                    <a:prstGeom prst="rect">
                      <a:avLst/>
                    </a:prstGeom>
                  </pic:spPr>
                </pic:pic>
              </a:graphicData>
            </a:graphic>
          </wp:inline>
        </w:drawing>
      </w:r>
    </w:p>
    <w:p w14:paraId="402C2408" w14:textId="77777777" w:rsidR="00416C87" w:rsidRDefault="00416C87"/>
    <w:p w14:paraId="5C16DC3C" w14:textId="740BDE4F" w:rsidR="00416C87" w:rsidRDefault="00416C87">
      <w:r w:rsidRPr="009F2B35">
        <w:rPr>
          <w:rFonts w:ascii="Arial" w:hAnsi="Arial" w:cs="Arial"/>
          <w:noProof/>
          <w:lang w:bidi="th-TH"/>
        </w:rPr>
        <w:lastRenderedPageBreak/>
        <w:drawing>
          <wp:inline distT="0" distB="0" distL="0" distR="0" wp14:anchorId="065C67DA" wp14:editId="2208C015">
            <wp:extent cx="4344006" cy="5496692"/>
            <wp:effectExtent l="0" t="0" r="0" b="8890"/>
            <wp:docPr id="110625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25903" name=""/>
                    <pic:cNvPicPr/>
                  </pic:nvPicPr>
                  <pic:blipFill>
                    <a:blip r:embed="rId52"/>
                    <a:stretch>
                      <a:fillRect/>
                    </a:stretch>
                  </pic:blipFill>
                  <pic:spPr>
                    <a:xfrm>
                      <a:off x="0" y="0"/>
                      <a:ext cx="4344006" cy="5496692"/>
                    </a:xfrm>
                    <a:prstGeom prst="rect">
                      <a:avLst/>
                    </a:prstGeom>
                  </pic:spPr>
                </pic:pic>
              </a:graphicData>
            </a:graphic>
          </wp:inline>
        </w:drawing>
      </w:r>
    </w:p>
    <w:sectPr w:rsidR="00416C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732"/>
    <w:rsid w:val="001143E9"/>
    <w:rsid w:val="00273E83"/>
    <w:rsid w:val="00405732"/>
    <w:rsid w:val="00416C87"/>
    <w:rsid w:val="005A4652"/>
    <w:rsid w:val="006A6F24"/>
    <w:rsid w:val="006B6FF8"/>
    <w:rsid w:val="00D540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54EAF"/>
  <w15:chartTrackingRefBased/>
  <w15:docId w15:val="{256D6FF1-0847-4880-9966-B8510F647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732"/>
    <w:pPr>
      <w:spacing w:after="0" w:line="240" w:lineRule="auto"/>
    </w:pPr>
    <w:rPr>
      <w:sz w:val="24"/>
      <w:szCs w:val="24"/>
      <w:lang w:val="en-GB"/>
    </w:rPr>
  </w:style>
  <w:style w:type="paragraph" w:styleId="Heading1">
    <w:name w:val="heading 1"/>
    <w:basedOn w:val="Normal"/>
    <w:next w:val="Normal"/>
    <w:link w:val="Heading1Char"/>
    <w:uiPriority w:val="9"/>
    <w:qFormat/>
    <w:rsid w:val="00405732"/>
    <w:pPr>
      <w:keepNext/>
      <w:keepLines/>
      <w:spacing w:before="360" w:after="80" w:line="259" w:lineRule="auto"/>
      <w:outlineLvl w:val="0"/>
    </w:pPr>
    <w:rPr>
      <w:rFonts w:asciiTheme="majorHAnsi" w:eastAsiaTheme="majorEastAsia" w:hAnsiTheme="majorHAnsi" w:cstheme="majorBidi"/>
      <w:color w:val="2F5496" w:themeColor="accent1" w:themeShade="BF"/>
      <w:sz w:val="40"/>
      <w:szCs w:val="40"/>
      <w:lang w:val="en-IN"/>
    </w:rPr>
  </w:style>
  <w:style w:type="paragraph" w:styleId="Heading2">
    <w:name w:val="heading 2"/>
    <w:basedOn w:val="Normal"/>
    <w:next w:val="Normal"/>
    <w:link w:val="Heading2Char"/>
    <w:uiPriority w:val="9"/>
    <w:unhideWhenUsed/>
    <w:qFormat/>
    <w:rsid w:val="00405732"/>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lang w:val="en-IN"/>
    </w:rPr>
  </w:style>
  <w:style w:type="paragraph" w:styleId="Heading3">
    <w:name w:val="heading 3"/>
    <w:basedOn w:val="Normal"/>
    <w:next w:val="Normal"/>
    <w:link w:val="Heading3Char"/>
    <w:uiPriority w:val="9"/>
    <w:semiHidden/>
    <w:unhideWhenUsed/>
    <w:qFormat/>
    <w:rsid w:val="00405732"/>
    <w:pPr>
      <w:keepNext/>
      <w:keepLines/>
      <w:spacing w:before="160" w:after="80" w:line="259" w:lineRule="auto"/>
      <w:outlineLvl w:val="2"/>
    </w:pPr>
    <w:rPr>
      <w:rFonts w:eastAsiaTheme="majorEastAsia" w:cstheme="majorBidi"/>
      <w:color w:val="2F5496" w:themeColor="accent1" w:themeShade="BF"/>
      <w:sz w:val="28"/>
      <w:szCs w:val="28"/>
      <w:lang w:val="en-IN"/>
    </w:rPr>
  </w:style>
  <w:style w:type="paragraph" w:styleId="Heading4">
    <w:name w:val="heading 4"/>
    <w:basedOn w:val="Normal"/>
    <w:next w:val="Normal"/>
    <w:link w:val="Heading4Char"/>
    <w:uiPriority w:val="9"/>
    <w:semiHidden/>
    <w:unhideWhenUsed/>
    <w:qFormat/>
    <w:rsid w:val="00405732"/>
    <w:pPr>
      <w:keepNext/>
      <w:keepLines/>
      <w:spacing w:before="80" w:after="40" w:line="259" w:lineRule="auto"/>
      <w:outlineLvl w:val="3"/>
    </w:pPr>
    <w:rPr>
      <w:rFonts w:eastAsiaTheme="majorEastAsia" w:cstheme="majorBidi"/>
      <w:i/>
      <w:iCs/>
      <w:color w:val="2F5496" w:themeColor="accent1" w:themeShade="BF"/>
      <w:sz w:val="22"/>
      <w:szCs w:val="22"/>
      <w:lang w:val="en-IN"/>
    </w:rPr>
  </w:style>
  <w:style w:type="paragraph" w:styleId="Heading5">
    <w:name w:val="heading 5"/>
    <w:basedOn w:val="Normal"/>
    <w:next w:val="Normal"/>
    <w:link w:val="Heading5Char"/>
    <w:uiPriority w:val="9"/>
    <w:semiHidden/>
    <w:unhideWhenUsed/>
    <w:qFormat/>
    <w:rsid w:val="00405732"/>
    <w:pPr>
      <w:keepNext/>
      <w:keepLines/>
      <w:spacing w:before="80" w:after="40" w:line="259" w:lineRule="auto"/>
      <w:outlineLvl w:val="4"/>
    </w:pPr>
    <w:rPr>
      <w:rFonts w:eastAsiaTheme="majorEastAsia" w:cstheme="majorBidi"/>
      <w:color w:val="2F5496" w:themeColor="accent1" w:themeShade="BF"/>
      <w:sz w:val="22"/>
      <w:szCs w:val="22"/>
      <w:lang w:val="en-IN"/>
    </w:rPr>
  </w:style>
  <w:style w:type="paragraph" w:styleId="Heading6">
    <w:name w:val="heading 6"/>
    <w:basedOn w:val="Normal"/>
    <w:next w:val="Normal"/>
    <w:link w:val="Heading6Char"/>
    <w:uiPriority w:val="9"/>
    <w:semiHidden/>
    <w:unhideWhenUsed/>
    <w:qFormat/>
    <w:rsid w:val="00405732"/>
    <w:pPr>
      <w:keepNext/>
      <w:keepLines/>
      <w:spacing w:before="40" w:line="259" w:lineRule="auto"/>
      <w:outlineLvl w:val="5"/>
    </w:pPr>
    <w:rPr>
      <w:rFonts w:eastAsiaTheme="majorEastAsia" w:cstheme="majorBidi"/>
      <w:i/>
      <w:iCs/>
      <w:color w:val="595959" w:themeColor="text1" w:themeTint="A6"/>
      <w:sz w:val="22"/>
      <w:szCs w:val="22"/>
      <w:lang w:val="en-IN"/>
    </w:rPr>
  </w:style>
  <w:style w:type="paragraph" w:styleId="Heading7">
    <w:name w:val="heading 7"/>
    <w:basedOn w:val="Normal"/>
    <w:next w:val="Normal"/>
    <w:link w:val="Heading7Char"/>
    <w:uiPriority w:val="9"/>
    <w:semiHidden/>
    <w:unhideWhenUsed/>
    <w:qFormat/>
    <w:rsid w:val="00405732"/>
    <w:pPr>
      <w:keepNext/>
      <w:keepLines/>
      <w:spacing w:before="40" w:line="259" w:lineRule="auto"/>
      <w:outlineLvl w:val="6"/>
    </w:pPr>
    <w:rPr>
      <w:rFonts w:eastAsiaTheme="majorEastAsia" w:cstheme="majorBidi"/>
      <w:color w:val="595959" w:themeColor="text1" w:themeTint="A6"/>
      <w:sz w:val="22"/>
      <w:szCs w:val="22"/>
      <w:lang w:val="en-IN"/>
    </w:rPr>
  </w:style>
  <w:style w:type="paragraph" w:styleId="Heading8">
    <w:name w:val="heading 8"/>
    <w:basedOn w:val="Normal"/>
    <w:next w:val="Normal"/>
    <w:link w:val="Heading8Char"/>
    <w:uiPriority w:val="9"/>
    <w:semiHidden/>
    <w:unhideWhenUsed/>
    <w:qFormat/>
    <w:rsid w:val="00405732"/>
    <w:pPr>
      <w:keepNext/>
      <w:keepLines/>
      <w:spacing w:line="259" w:lineRule="auto"/>
      <w:outlineLvl w:val="7"/>
    </w:pPr>
    <w:rPr>
      <w:rFonts w:eastAsiaTheme="majorEastAsia" w:cstheme="majorBidi"/>
      <w:i/>
      <w:iCs/>
      <w:color w:val="272727" w:themeColor="text1" w:themeTint="D8"/>
      <w:sz w:val="22"/>
      <w:szCs w:val="22"/>
      <w:lang w:val="en-IN"/>
    </w:rPr>
  </w:style>
  <w:style w:type="paragraph" w:styleId="Heading9">
    <w:name w:val="heading 9"/>
    <w:basedOn w:val="Normal"/>
    <w:next w:val="Normal"/>
    <w:link w:val="Heading9Char"/>
    <w:uiPriority w:val="9"/>
    <w:semiHidden/>
    <w:unhideWhenUsed/>
    <w:qFormat/>
    <w:rsid w:val="00405732"/>
    <w:pPr>
      <w:keepNext/>
      <w:keepLines/>
      <w:spacing w:line="259" w:lineRule="auto"/>
      <w:outlineLvl w:val="8"/>
    </w:pPr>
    <w:rPr>
      <w:rFonts w:eastAsiaTheme="majorEastAsia" w:cstheme="majorBidi"/>
      <w:color w:val="272727" w:themeColor="text1" w:themeTint="D8"/>
      <w:sz w:val="22"/>
      <w:szCs w:val="22"/>
      <w:lang w:val="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73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0573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0573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0573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573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57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57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57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5732"/>
    <w:rPr>
      <w:rFonts w:eastAsiaTheme="majorEastAsia" w:cstheme="majorBidi"/>
      <w:color w:val="272727" w:themeColor="text1" w:themeTint="D8"/>
    </w:rPr>
  </w:style>
  <w:style w:type="paragraph" w:styleId="Title">
    <w:name w:val="Title"/>
    <w:basedOn w:val="Normal"/>
    <w:next w:val="Normal"/>
    <w:link w:val="TitleChar"/>
    <w:uiPriority w:val="10"/>
    <w:qFormat/>
    <w:rsid w:val="00405732"/>
    <w:pPr>
      <w:spacing w:after="80"/>
      <w:contextualSpacing/>
    </w:pPr>
    <w:rPr>
      <w:rFonts w:asciiTheme="majorHAnsi" w:eastAsiaTheme="majorEastAsia" w:hAnsiTheme="majorHAnsi" w:cstheme="majorBidi"/>
      <w:spacing w:val="-10"/>
      <w:kern w:val="28"/>
      <w:sz w:val="56"/>
      <w:szCs w:val="56"/>
      <w:lang w:val="en-IN"/>
    </w:rPr>
  </w:style>
  <w:style w:type="character" w:customStyle="1" w:styleId="TitleChar">
    <w:name w:val="Title Char"/>
    <w:basedOn w:val="DefaultParagraphFont"/>
    <w:link w:val="Title"/>
    <w:uiPriority w:val="10"/>
    <w:rsid w:val="004057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5732"/>
    <w:pPr>
      <w:numPr>
        <w:ilvl w:val="1"/>
      </w:numPr>
      <w:spacing w:after="160" w:line="259" w:lineRule="auto"/>
    </w:pPr>
    <w:rPr>
      <w:rFonts w:eastAsiaTheme="majorEastAsia" w:cstheme="majorBidi"/>
      <w:color w:val="595959" w:themeColor="text1" w:themeTint="A6"/>
      <w:spacing w:val="15"/>
      <w:sz w:val="28"/>
      <w:szCs w:val="28"/>
      <w:lang w:val="en-IN"/>
    </w:rPr>
  </w:style>
  <w:style w:type="character" w:customStyle="1" w:styleId="SubtitleChar">
    <w:name w:val="Subtitle Char"/>
    <w:basedOn w:val="DefaultParagraphFont"/>
    <w:link w:val="Subtitle"/>
    <w:uiPriority w:val="11"/>
    <w:rsid w:val="004057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5732"/>
    <w:pPr>
      <w:spacing w:before="160" w:after="160" w:line="259" w:lineRule="auto"/>
      <w:jc w:val="center"/>
    </w:pPr>
    <w:rPr>
      <w:i/>
      <w:iCs/>
      <w:color w:val="404040" w:themeColor="text1" w:themeTint="BF"/>
      <w:sz w:val="22"/>
      <w:szCs w:val="22"/>
      <w:lang w:val="en-IN"/>
    </w:rPr>
  </w:style>
  <w:style w:type="character" w:customStyle="1" w:styleId="QuoteChar">
    <w:name w:val="Quote Char"/>
    <w:basedOn w:val="DefaultParagraphFont"/>
    <w:link w:val="Quote"/>
    <w:uiPriority w:val="29"/>
    <w:rsid w:val="00405732"/>
    <w:rPr>
      <w:i/>
      <w:iCs/>
      <w:color w:val="404040" w:themeColor="text1" w:themeTint="BF"/>
    </w:rPr>
  </w:style>
  <w:style w:type="paragraph" w:styleId="ListParagraph">
    <w:name w:val="List Paragraph"/>
    <w:basedOn w:val="Normal"/>
    <w:uiPriority w:val="34"/>
    <w:qFormat/>
    <w:rsid w:val="00405732"/>
    <w:pPr>
      <w:spacing w:after="160" w:line="259" w:lineRule="auto"/>
      <w:ind w:left="720"/>
      <w:contextualSpacing/>
    </w:pPr>
    <w:rPr>
      <w:sz w:val="22"/>
      <w:szCs w:val="22"/>
      <w:lang w:val="en-IN"/>
    </w:rPr>
  </w:style>
  <w:style w:type="character" w:styleId="IntenseEmphasis">
    <w:name w:val="Intense Emphasis"/>
    <w:basedOn w:val="DefaultParagraphFont"/>
    <w:uiPriority w:val="21"/>
    <w:qFormat/>
    <w:rsid w:val="00405732"/>
    <w:rPr>
      <w:i/>
      <w:iCs/>
      <w:color w:val="2F5496" w:themeColor="accent1" w:themeShade="BF"/>
    </w:rPr>
  </w:style>
  <w:style w:type="paragraph" w:styleId="IntenseQuote">
    <w:name w:val="Intense Quote"/>
    <w:basedOn w:val="Normal"/>
    <w:next w:val="Normal"/>
    <w:link w:val="IntenseQuoteChar"/>
    <w:uiPriority w:val="30"/>
    <w:qFormat/>
    <w:rsid w:val="00405732"/>
    <w:pPr>
      <w:pBdr>
        <w:top w:val="single" w:sz="4" w:space="10" w:color="2F5496" w:themeColor="accent1" w:themeShade="BF"/>
        <w:bottom w:val="single" w:sz="4" w:space="10" w:color="2F5496" w:themeColor="accent1" w:themeShade="BF"/>
      </w:pBdr>
      <w:spacing w:before="360" w:after="360" w:line="259" w:lineRule="auto"/>
      <w:ind w:left="864" w:right="864"/>
      <w:jc w:val="center"/>
    </w:pPr>
    <w:rPr>
      <w:i/>
      <w:iCs/>
      <w:color w:val="2F5496" w:themeColor="accent1" w:themeShade="BF"/>
      <w:sz w:val="22"/>
      <w:szCs w:val="22"/>
      <w:lang w:val="en-IN"/>
    </w:rPr>
  </w:style>
  <w:style w:type="character" w:customStyle="1" w:styleId="IntenseQuoteChar">
    <w:name w:val="Intense Quote Char"/>
    <w:basedOn w:val="DefaultParagraphFont"/>
    <w:link w:val="IntenseQuote"/>
    <w:uiPriority w:val="30"/>
    <w:rsid w:val="00405732"/>
    <w:rPr>
      <w:i/>
      <w:iCs/>
      <w:color w:val="2F5496" w:themeColor="accent1" w:themeShade="BF"/>
    </w:rPr>
  </w:style>
  <w:style w:type="character" w:styleId="IntenseReference">
    <w:name w:val="Intense Reference"/>
    <w:basedOn w:val="DefaultParagraphFont"/>
    <w:uiPriority w:val="32"/>
    <w:qFormat/>
    <w:rsid w:val="00405732"/>
    <w:rPr>
      <w:b/>
      <w:bCs/>
      <w:smallCaps/>
      <w:color w:val="2F5496" w:themeColor="accent1" w:themeShade="BF"/>
      <w:spacing w:val="5"/>
    </w:rPr>
  </w:style>
  <w:style w:type="character" w:styleId="Hyperlink">
    <w:name w:val="Hyperlink"/>
    <w:basedOn w:val="DefaultParagraphFont"/>
    <w:uiPriority w:val="99"/>
    <w:unhideWhenUsed/>
    <w:rsid w:val="00405732"/>
    <w:rPr>
      <w:color w:val="0563C1" w:themeColor="hyperlink"/>
      <w:u w:val="single"/>
    </w:rPr>
  </w:style>
  <w:style w:type="paragraph" w:styleId="TOCHeading">
    <w:name w:val="TOC Heading"/>
    <w:basedOn w:val="Heading1"/>
    <w:next w:val="Normal"/>
    <w:uiPriority w:val="39"/>
    <w:unhideWhenUsed/>
    <w:qFormat/>
    <w:rsid w:val="0040573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05732"/>
    <w:pPr>
      <w:spacing w:after="100"/>
    </w:pPr>
    <w:rPr>
      <w:rFonts w:ascii="Times New Roman" w:eastAsia="Times New Roman" w:hAnsi="Times New Roman" w:cs="Times New Roman"/>
      <w:kern w:val="0"/>
      <w:lang w:val="en-US"/>
      <w14:ligatures w14:val="none"/>
    </w:rPr>
  </w:style>
  <w:style w:type="paragraph" w:styleId="TOC2">
    <w:name w:val="toc 2"/>
    <w:basedOn w:val="Normal"/>
    <w:next w:val="Normal"/>
    <w:autoRedefine/>
    <w:uiPriority w:val="39"/>
    <w:unhideWhenUsed/>
    <w:rsid w:val="00405732"/>
    <w:pPr>
      <w:spacing w:after="100"/>
      <w:ind w:left="240"/>
    </w:pPr>
    <w:rPr>
      <w:rFonts w:ascii="Times New Roman" w:eastAsia="Times New Roman" w:hAnsi="Times New Roman" w:cs="Times New Roman"/>
      <w:kern w:val="0"/>
      <w:lang w:val="en-US"/>
      <w14:ligatures w14:val="none"/>
    </w:rPr>
  </w:style>
  <w:style w:type="table" w:styleId="PlainTable1">
    <w:name w:val="Plain Table 1"/>
    <w:basedOn w:val="TableNormal"/>
    <w:uiPriority w:val="41"/>
    <w:rsid w:val="00405732"/>
    <w:pPr>
      <w:spacing w:after="0" w:line="240" w:lineRule="auto"/>
    </w:pPr>
    <w:rPr>
      <w:rFonts w:eastAsia="Times New Roman"/>
      <w:szCs w:val="28"/>
      <w:lang w:val="en-US" w:bidi="th-TH"/>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6A6F24"/>
    <w:pPr>
      <w:spacing w:before="100" w:beforeAutospacing="1" w:after="100" w:afterAutospacing="1"/>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hyperlink" Target="https://doi.org/10.1108/mf-11-2017-0487" TargetMode="External"/><Relationship Id="rId39" Type="http://schemas.openxmlformats.org/officeDocument/2006/relationships/hyperlink" Target="https://doi.org/10.1016/j.frl.2024.105740" TargetMode="External"/><Relationship Id="rId21" Type="http://schemas.openxmlformats.org/officeDocument/2006/relationships/image" Target="media/image18.png"/><Relationship Id="rId34" Type="http://schemas.openxmlformats.org/officeDocument/2006/relationships/hyperlink" Target="https://doi.org/10.46661/revmetodoscuanteconempresa.3580" TargetMode="External"/><Relationship Id="rId42" Type="http://schemas.openxmlformats.org/officeDocument/2006/relationships/hyperlink" Target="https://doi.org/10.1016/j.bushor.2021.03.001" TargetMode="External"/><Relationship Id="rId47" Type="http://schemas.openxmlformats.org/officeDocument/2006/relationships/hyperlink" Target="https://doi.org/10.1111/joca.12210" TargetMode="External"/><Relationship Id="rId50" Type="http://schemas.openxmlformats.org/officeDocument/2006/relationships/hyperlink" Target="https://doi.org/10.14710/dijb.8.1.2025.63-75" TargetMode="External"/><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image" Target="media/image13.png"/><Relationship Id="rId29" Type="http://schemas.openxmlformats.org/officeDocument/2006/relationships/hyperlink" Target="https://doi.org/10.14453/aabfj.v16i6.03" TargetMode="External"/><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hyperlink" Target="https://doi.org/10.58314/uuhyt2" TargetMode="External"/><Relationship Id="rId37" Type="http://schemas.openxmlformats.org/officeDocument/2006/relationships/hyperlink" Target="https://doi.org/10.35940/ijrte.a1692.059120" TargetMode="External"/><Relationship Id="rId40" Type="http://schemas.openxmlformats.org/officeDocument/2006/relationships/hyperlink" Target="https://unitesi.unive.it/bitstream/20.500.14247/4284/1/872666-1280209.pdf" TargetMode="External"/><Relationship Id="rId45" Type="http://schemas.openxmlformats.org/officeDocument/2006/relationships/hyperlink" Target="https://doi.org/10.2991/aebmr.k.210311.014" TargetMode="External"/><Relationship Id="rId53"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hyperlink" Target="https://doi.org/10.6007/ijarbss/v12-i11/15276" TargetMode="External"/><Relationship Id="rId44" Type="http://schemas.openxmlformats.org/officeDocument/2006/relationships/hyperlink" Target="https://doie.org/10.0127/IJMRE.2022381724" TargetMode="External"/><Relationship Id="rId52" Type="http://schemas.openxmlformats.org/officeDocument/2006/relationships/image" Target="media/image24.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hyperlink" Target="https://doi.org/10.1108/md-07-2019-0972" TargetMode="External"/><Relationship Id="rId30" Type="http://schemas.openxmlformats.org/officeDocument/2006/relationships/hyperlink" Target="https://doi.org/10.1089/big.2022.0302" TargetMode="External"/><Relationship Id="rId35" Type="http://schemas.openxmlformats.org/officeDocument/2006/relationships/hyperlink" Target="https://doi.org/10.1109/ijcnn52387.2021.9533535" TargetMode="External"/><Relationship Id="rId43" Type="http://schemas.openxmlformats.org/officeDocument/2006/relationships/hyperlink" Target="https://jurnal.kdi.or.id/index.php/ef/article/view/537" TargetMode="External"/><Relationship Id="rId48" Type="http://schemas.openxmlformats.org/officeDocument/2006/relationships/hyperlink" Target="https://doi.org/10.24018/ejbmr.2021.6.4.968" TargetMode="External"/><Relationship Id="rId8" Type="http://schemas.openxmlformats.org/officeDocument/2006/relationships/image" Target="media/image5.png"/><Relationship Id="rId51" Type="http://schemas.openxmlformats.org/officeDocument/2006/relationships/image" Target="media/image23.png"/><Relationship Id="rId3" Type="http://schemas.openxmlformats.org/officeDocument/2006/relationships/webSettings" Target="webSettings.xml"/><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hyperlink" Target="https://doi.org/10.1016/j.jcorpfin.2020.101773" TargetMode="External"/><Relationship Id="rId38" Type="http://schemas.openxmlformats.org/officeDocument/2006/relationships/hyperlink" Target="https://doi.org/10.37641/jimkes.v12i4.2742" TargetMode="External"/><Relationship Id="rId46" Type="http://schemas.openxmlformats.org/officeDocument/2006/relationships/hyperlink" Target="https://doi.org/10.32782/2708-0366/2025.23.14" TargetMode="External"/><Relationship Id="rId20" Type="http://schemas.openxmlformats.org/officeDocument/2006/relationships/image" Target="media/image17.png"/><Relationship Id="rId41" Type="http://schemas.openxmlformats.org/officeDocument/2006/relationships/hyperlink" Target="https://geplat.com/rtep/index.php/tourism/article/view/790" TargetMode="External"/><Relationship Id="rId54"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hyperlink" Target="https://www.researchgate.net/profile/Olufemi-Ademola/publication/386175075_Optimizing_Liquidity_Management_Strategies_to_Enhance_Financial_Performance_in_Nigerian_Manufacturing_Firms/links/674780b3359dcb4d9d3ca183/Optimizing-Liquidity-Management-Strategies-to-Enhance-Financial-Performance-in-Nigerian-Manufacturing-Firms.pdf" TargetMode="External"/><Relationship Id="rId36" Type="http://schemas.openxmlformats.org/officeDocument/2006/relationships/hyperlink" Target="https://doi.org/10.1007/978-981-33-6808-8_5" TargetMode="External"/><Relationship Id="rId49" Type="http://schemas.openxmlformats.org/officeDocument/2006/relationships/hyperlink" Target="https://doi.org/10.3390/su120416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46</Pages>
  <Words>7185</Words>
  <Characters>40955</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charugautam152001@gmail.com</dc:creator>
  <cp:keywords/>
  <dc:description/>
  <cp:lastModifiedBy>charugautam152001@gmail.com</cp:lastModifiedBy>
  <cp:revision>1</cp:revision>
  <dcterms:created xsi:type="dcterms:W3CDTF">2025-12-22T09:53:00Z</dcterms:created>
  <dcterms:modified xsi:type="dcterms:W3CDTF">2025-12-22T10:38:00Z</dcterms:modified>
</cp:coreProperties>
</file>