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686C73" w:rsidRDefault="00ED5964" w:rsidP="00FE52AF">
      <w:pPr>
        <w:pStyle w:val="Style1"/>
      </w:pPr>
      <w:r w:rsidRPr="00686C73">
        <w:rPr>
          <w:noProof/>
        </w:rPr>
        <w:drawing>
          <wp:inline distT="0" distB="0" distL="0" distR="0" wp14:anchorId="530F8B6F" wp14:editId="31D54037">
            <wp:extent cx="4006850" cy="1783464"/>
            <wp:effectExtent l="0" t="0" r="0" b="762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3816" cy="1791016"/>
                    </a:xfrm>
                    <a:prstGeom prst="rect">
                      <a:avLst/>
                    </a:prstGeom>
                    <a:noFill/>
                  </pic:spPr>
                </pic:pic>
              </a:graphicData>
            </a:graphic>
          </wp:inline>
        </w:drawing>
      </w:r>
    </w:p>
    <w:p w14:paraId="24AA416E" w14:textId="77777777" w:rsidR="00ED5964" w:rsidRPr="00686C73" w:rsidRDefault="00ED5964">
      <w:pPr>
        <w:rPr>
          <w:sz w:val="30"/>
          <w:szCs w:val="32"/>
        </w:rPr>
      </w:pPr>
    </w:p>
    <w:p w14:paraId="3BEDB360" w14:textId="77777777" w:rsidR="00ED5964" w:rsidRPr="00686C73" w:rsidRDefault="00ED5964">
      <w:pPr>
        <w:rPr>
          <w:sz w:val="30"/>
          <w:szCs w:val="32"/>
        </w:rPr>
      </w:pPr>
    </w:p>
    <w:p w14:paraId="2EF804A0" w14:textId="575450C5" w:rsidR="00ED5964" w:rsidRPr="00686C73" w:rsidRDefault="00ED5964" w:rsidP="00973FBF">
      <w:pPr>
        <w:spacing w:line="360" w:lineRule="auto"/>
        <w:jc w:val="both"/>
        <w:rPr>
          <w:rFonts w:asciiTheme="minorBidi" w:hAnsiTheme="minorBidi"/>
          <w:sz w:val="38"/>
          <w:szCs w:val="38"/>
        </w:rPr>
      </w:pPr>
      <w:r w:rsidRPr="00686C73">
        <w:rPr>
          <w:rFonts w:asciiTheme="minorBidi" w:hAnsiTheme="minorBidi"/>
          <w:sz w:val="38"/>
          <w:szCs w:val="38"/>
        </w:rPr>
        <w:t xml:space="preserve">Name: </w:t>
      </w:r>
      <w:r w:rsidR="00666A52" w:rsidRPr="00686C73">
        <w:rPr>
          <w:rFonts w:asciiTheme="minorBidi" w:hAnsiTheme="minorBidi"/>
          <w:sz w:val="38"/>
          <w:szCs w:val="38"/>
        </w:rPr>
        <w:t xml:space="preserve">Marites Novenario </w:t>
      </w:r>
    </w:p>
    <w:p w14:paraId="485B6F49" w14:textId="5BBBBDA2" w:rsidR="00ED5964" w:rsidRPr="00686C73" w:rsidRDefault="00ED5964" w:rsidP="00973FBF">
      <w:pPr>
        <w:spacing w:line="360" w:lineRule="auto"/>
        <w:jc w:val="both"/>
        <w:rPr>
          <w:rFonts w:asciiTheme="minorBidi" w:hAnsiTheme="minorBidi"/>
          <w:sz w:val="38"/>
          <w:szCs w:val="38"/>
        </w:rPr>
      </w:pPr>
      <w:r w:rsidRPr="00686C73">
        <w:rPr>
          <w:rFonts w:asciiTheme="minorBidi" w:hAnsiTheme="minorBidi"/>
          <w:sz w:val="38"/>
          <w:szCs w:val="38"/>
        </w:rPr>
        <w:t>Student ID:</w:t>
      </w:r>
      <w:r w:rsidR="00666A52" w:rsidRPr="00686C73">
        <w:rPr>
          <w:rFonts w:asciiTheme="minorBidi" w:hAnsiTheme="minorBidi"/>
          <w:sz w:val="38"/>
          <w:szCs w:val="38"/>
        </w:rPr>
        <w:t>2530441</w:t>
      </w:r>
    </w:p>
    <w:p w14:paraId="3C1E7A20" w14:textId="49487528" w:rsidR="00ED5964" w:rsidRPr="00686C73" w:rsidRDefault="00ED5964" w:rsidP="00973FBF">
      <w:pPr>
        <w:spacing w:line="360" w:lineRule="auto"/>
        <w:jc w:val="both"/>
        <w:rPr>
          <w:rFonts w:asciiTheme="minorBidi" w:hAnsiTheme="minorBidi"/>
          <w:sz w:val="38"/>
          <w:szCs w:val="38"/>
        </w:rPr>
      </w:pPr>
      <w:r w:rsidRPr="00686C73">
        <w:rPr>
          <w:rFonts w:asciiTheme="minorBidi" w:hAnsiTheme="minorBidi"/>
          <w:sz w:val="38"/>
          <w:szCs w:val="38"/>
        </w:rPr>
        <w:t xml:space="preserve">Module Code: </w:t>
      </w:r>
      <w:r w:rsidR="00666A52" w:rsidRPr="00686C73">
        <w:rPr>
          <w:rFonts w:asciiTheme="minorBidi" w:hAnsiTheme="minorBidi"/>
          <w:sz w:val="38"/>
          <w:szCs w:val="38"/>
        </w:rPr>
        <w:t>LCH4001</w:t>
      </w:r>
    </w:p>
    <w:p w14:paraId="4EEB2DA3" w14:textId="470769A7" w:rsidR="00ED5964" w:rsidRPr="00686C73" w:rsidRDefault="00ED5964" w:rsidP="00973FBF">
      <w:pPr>
        <w:spacing w:line="360" w:lineRule="auto"/>
        <w:jc w:val="both"/>
        <w:rPr>
          <w:rFonts w:asciiTheme="minorBidi" w:hAnsiTheme="minorBidi"/>
          <w:sz w:val="38"/>
          <w:szCs w:val="38"/>
        </w:rPr>
      </w:pPr>
      <w:r w:rsidRPr="00686C73">
        <w:rPr>
          <w:rFonts w:asciiTheme="minorBidi" w:hAnsiTheme="minorBidi"/>
          <w:sz w:val="38"/>
          <w:szCs w:val="38"/>
        </w:rPr>
        <w:t xml:space="preserve">Module: </w:t>
      </w:r>
      <w:r w:rsidR="00666A52" w:rsidRPr="00686C73">
        <w:rPr>
          <w:rFonts w:asciiTheme="minorBidi" w:hAnsiTheme="minorBidi"/>
          <w:sz w:val="38"/>
          <w:szCs w:val="38"/>
        </w:rPr>
        <w:t>Academic And Employability Skills</w:t>
      </w:r>
    </w:p>
    <w:p w14:paraId="112342CB" w14:textId="1F92017E" w:rsidR="00ED5964" w:rsidRPr="00686C73" w:rsidRDefault="00ED5964" w:rsidP="00973FBF">
      <w:pPr>
        <w:spacing w:line="360" w:lineRule="auto"/>
        <w:jc w:val="both"/>
        <w:rPr>
          <w:rFonts w:asciiTheme="minorBidi" w:hAnsiTheme="minorBidi"/>
          <w:sz w:val="38"/>
          <w:szCs w:val="38"/>
        </w:rPr>
      </w:pPr>
      <w:r w:rsidRPr="00686C73">
        <w:rPr>
          <w:rFonts w:asciiTheme="minorBidi" w:hAnsiTheme="minorBidi"/>
          <w:sz w:val="38"/>
          <w:szCs w:val="38"/>
        </w:rPr>
        <w:t xml:space="preserve">Lecturer: </w:t>
      </w:r>
      <w:r w:rsidR="00666A52" w:rsidRPr="00686C73">
        <w:rPr>
          <w:rFonts w:asciiTheme="minorBidi" w:hAnsiTheme="minorBidi"/>
          <w:sz w:val="38"/>
          <w:szCs w:val="38"/>
        </w:rPr>
        <w:t>Natalia Dozie</w:t>
      </w:r>
    </w:p>
    <w:p w14:paraId="78C0B80E" w14:textId="77777777" w:rsidR="00ED5964" w:rsidRPr="00686C73" w:rsidRDefault="00ED5964" w:rsidP="00ED5964">
      <w:pPr>
        <w:jc w:val="both"/>
        <w:rPr>
          <w:rFonts w:asciiTheme="minorBidi" w:hAnsiTheme="minorBidi"/>
          <w:sz w:val="38"/>
          <w:szCs w:val="3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sdt>
      <w:sdtPr>
        <w:rPr>
          <w:rFonts w:eastAsiaTheme="minorEastAsia" w:cstheme="minorHAnsi"/>
          <w:b/>
          <w:bCs w:val="0"/>
          <w:color w:val="auto"/>
          <w:kern w:val="2"/>
          <w:sz w:val="20"/>
          <w:szCs w:val="30"/>
          <w:lang w:val="en-GB" w:eastAsia="zh-CN"/>
          <w14:ligatures w14:val="standardContextual"/>
        </w:rPr>
        <w:id w:val="2083777713"/>
        <w:docPartObj>
          <w:docPartGallery w:val="Table of Contents"/>
          <w:docPartUnique/>
        </w:docPartObj>
      </w:sdtPr>
      <w:sdtEndPr>
        <w:rPr>
          <w:bCs/>
          <w:szCs w:val="22"/>
        </w:rPr>
      </w:sdtEndPr>
      <w:sdtContent>
        <w:p w14:paraId="69A45AB4" w14:textId="1BC22B3F" w:rsidR="00184A9A" w:rsidRPr="00FE52AF" w:rsidRDefault="00184A9A" w:rsidP="00FE52AF">
          <w:pPr>
            <w:pStyle w:val="TOCHeading"/>
            <w:jc w:val="center"/>
            <w:rPr>
              <w:b/>
              <w:bCs w:val="0"/>
              <w:color w:val="4472C4" w:themeColor="accent1"/>
              <w:sz w:val="36"/>
              <w:szCs w:val="36"/>
            </w:rPr>
          </w:pPr>
          <w:r w:rsidRPr="00FE52AF">
            <w:rPr>
              <w:b/>
              <w:bCs w:val="0"/>
              <w:color w:val="4471C4"/>
              <w:sz w:val="36"/>
              <w:szCs w:val="36"/>
            </w:rPr>
            <w:t>Table of Contents</w:t>
          </w:r>
        </w:p>
        <w:p w14:paraId="5D61DF53" w14:textId="3325D85A" w:rsidR="00611826" w:rsidRDefault="0156E134" w:rsidP="00611826">
          <w:pPr>
            <w:pStyle w:val="TOC2"/>
            <w:rPr>
              <w:rFonts w:asciiTheme="minorHAnsi" w:hAnsiTheme="minorHAnsi" w:cstheme="minorBidi"/>
              <w:noProof/>
              <w:sz w:val="24"/>
              <w:szCs w:val="24"/>
              <w:lang w:eastAsia="en-GB"/>
            </w:rPr>
          </w:pPr>
          <w:r>
            <w:fldChar w:fldCharType="begin"/>
          </w:r>
          <w:r w:rsidR="00184A9A">
            <w:instrText>TOC \o "1-3" \z \u \h</w:instrText>
          </w:r>
          <w:r>
            <w:fldChar w:fldCharType="separate"/>
          </w:r>
          <w:hyperlink w:anchor="_Toc227259068" w:history="1">
            <w:r w:rsidR="00611826" w:rsidRPr="0065704E">
              <w:rPr>
                <w:rStyle w:val="Hyperlink"/>
                <w:noProof/>
              </w:rPr>
              <w:t>1.</w:t>
            </w:r>
            <w:r w:rsidR="00611826">
              <w:rPr>
                <w:rFonts w:asciiTheme="minorHAnsi" w:hAnsiTheme="minorHAnsi" w:cstheme="minorBidi"/>
                <w:noProof/>
                <w:sz w:val="24"/>
                <w:szCs w:val="24"/>
                <w:lang w:eastAsia="en-GB"/>
              </w:rPr>
              <w:tab/>
            </w:r>
            <w:r w:rsidR="00611826" w:rsidRPr="0065704E">
              <w:rPr>
                <w:rStyle w:val="Hyperlink"/>
                <w:noProof/>
              </w:rPr>
              <w:t>Introduction</w:t>
            </w:r>
            <w:r w:rsidR="00611826">
              <w:rPr>
                <w:noProof/>
                <w:webHidden/>
              </w:rPr>
              <w:tab/>
            </w:r>
            <w:r w:rsidR="00611826">
              <w:rPr>
                <w:noProof/>
                <w:webHidden/>
              </w:rPr>
              <w:fldChar w:fldCharType="begin"/>
            </w:r>
            <w:r w:rsidR="00611826">
              <w:rPr>
                <w:noProof/>
                <w:webHidden/>
              </w:rPr>
              <w:instrText xml:space="preserve"> PAGEREF _Toc227259068 \h </w:instrText>
            </w:r>
            <w:r w:rsidR="00611826">
              <w:rPr>
                <w:noProof/>
                <w:webHidden/>
              </w:rPr>
            </w:r>
            <w:r w:rsidR="00611826">
              <w:rPr>
                <w:noProof/>
                <w:webHidden/>
              </w:rPr>
              <w:fldChar w:fldCharType="separate"/>
            </w:r>
            <w:r w:rsidR="00611826">
              <w:rPr>
                <w:noProof/>
                <w:webHidden/>
              </w:rPr>
              <w:t>3</w:t>
            </w:r>
            <w:r w:rsidR="00611826">
              <w:rPr>
                <w:noProof/>
                <w:webHidden/>
              </w:rPr>
              <w:fldChar w:fldCharType="end"/>
            </w:r>
          </w:hyperlink>
        </w:p>
        <w:p w14:paraId="0EC16712" w14:textId="1BD4F454" w:rsidR="00611826" w:rsidRDefault="00611826" w:rsidP="00611826">
          <w:pPr>
            <w:pStyle w:val="TOC2"/>
            <w:rPr>
              <w:rFonts w:asciiTheme="minorHAnsi" w:hAnsiTheme="minorHAnsi" w:cstheme="minorBidi"/>
              <w:noProof/>
              <w:sz w:val="24"/>
              <w:szCs w:val="24"/>
              <w:lang w:eastAsia="en-GB"/>
            </w:rPr>
          </w:pPr>
          <w:hyperlink w:anchor="_Toc227259069" w:history="1">
            <w:r w:rsidRPr="0065704E">
              <w:rPr>
                <w:rStyle w:val="Hyperlink"/>
                <w:noProof/>
              </w:rPr>
              <w:t>2 The Healthcare Assistant in the Health and Social Care Field</w:t>
            </w:r>
            <w:r>
              <w:rPr>
                <w:noProof/>
                <w:webHidden/>
              </w:rPr>
              <w:tab/>
            </w:r>
            <w:r>
              <w:rPr>
                <w:noProof/>
                <w:webHidden/>
              </w:rPr>
              <w:fldChar w:fldCharType="begin"/>
            </w:r>
            <w:r>
              <w:rPr>
                <w:noProof/>
                <w:webHidden/>
              </w:rPr>
              <w:instrText xml:space="preserve"> PAGEREF _Toc227259069 \h </w:instrText>
            </w:r>
            <w:r>
              <w:rPr>
                <w:noProof/>
                <w:webHidden/>
              </w:rPr>
            </w:r>
            <w:r>
              <w:rPr>
                <w:noProof/>
                <w:webHidden/>
              </w:rPr>
              <w:fldChar w:fldCharType="separate"/>
            </w:r>
            <w:r>
              <w:rPr>
                <w:noProof/>
                <w:webHidden/>
              </w:rPr>
              <w:t>3</w:t>
            </w:r>
            <w:r>
              <w:rPr>
                <w:noProof/>
                <w:webHidden/>
              </w:rPr>
              <w:fldChar w:fldCharType="end"/>
            </w:r>
          </w:hyperlink>
        </w:p>
        <w:p w14:paraId="2C9BD0F1" w14:textId="57612377" w:rsidR="00611826" w:rsidRDefault="00611826" w:rsidP="00611826">
          <w:pPr>
            <w:pStyle w:val="TOC2"/>
            <w:rPr>
              <w:rFonts w:asciiTheme="minorHAnsi" w:hAnsiTheme="minorHAnsi" w:cstheme="minorBidi"/>
              <w:noProof/>
              <w:sz w:val="24"/>
              <w:szCs w:val="24"/>
              <w:lang w:eastAsia="en-GB"/>
            </w:rPr>
          </w:pPr>
          <w:hyperlink w:anchor="_Toc227259070" w:history="1">
            <w:r w:rsidRPr="0065704E">
              <w:rPr>
                <w:rStyle w:val="Hyperlink"/>
                <w:noProof/>
              </w:rPr>
              <w:t>2.1 Description of The Healthcare Assistant in Health and Social Care</w:t>
            </w:r>
            <w:r>
              <w:rPr>
                <w:noProof/>
                <w:webHidden/>
              </w:rPr>
              <w:tab/>
            </w:r>
            <w:r>
              <w:rPr>
                <w:noProof/>
                <w:webHidden/>
              </w:rPr>
              <w:fldChar w:fldCharType="begin"/>
            </w:r>
            <w:r>
              <w:rPr>
                <w:noProof/>
                <w:webHidden/>
              </w:rPr>
              <w:instrText xml:space="preserve"> PAGEREF _Toc227259070 \h </w:instrText>
            </w:r>
            <w:r>
              <w:rPr>
                <w:noProof/>
                <w:webHidden/>
              </w:rPr>
            </w:r>
            <w:r>
              <w:rPr>
                <w:noProof/>
                <w:webHidden/>
              </w:rPr>
              <w:fldChar w:fldCharType="separate"/>
            </w:r>
            <w:r>
              <w:rPr>
                <w:noProof/>
                <w:webHidden/>
              </w:rPr>
              <w:t>3</w:t>
            </w:r>
            <w:r>
              <w:rPr>
                <w:noProof/>
                <w:webHidden/>
              </w:rPr>
              <w:fldChar w:fldCharType="end"/>
            </w:r>
          </w:hyperlink>
        </w:p>
        <w:p w14:paraId="70AB7840" w14:textId="71BDB88C" w:rsidR="00611826" w:rsidRDefault="00611826" w:rsidP="00611826">
          <w:pPr>
            <w:pStyle w:val="TOC2"/>
            <w:rPr>
              <w:rFonts w:asciiTheme="minorHAnsi" w:hAnsiTheme="minorHAnsi" w:cstheme="minorBidi"/>
              <w:noProof/>
              <w:sz w:val="24"/>
              <w:szCs w:val="24"/>
              <w:lang w:eastAsia="en-GB"/>
            </w:rPr>
          </w:pPr>
          <w:hyperlink w:anchor="_Toc227259071" w:history="1">
            <w:r w:rsidRPr="0065704E">
              <w:rPr>
                <w:rStyle w:val="Hyperlink"/>
                <w:noProof/>
              </w:rPr>
              <w:t>2.2 Explanation of Most Significant Skills Needed for The Healthcare Assistant in Health and Social Care</w:t>
            </w:r>
            <w:r>
              <w:rPr>
                <w:noProof/>
                <w:webHidden/>
              </w:rPr>
              <w:tab/>
            </w:r>
            <w:r>
              <w:rPr>
                <w:noProof/>
                <w:webHidden/>
              </w:rPr>
              <w:fldChar w:fldCharType="begin"/>
            </w:r>
            <w:r>
              <w:rPr>
                <w:noProof/>
                <w:webHidden/>
              </w:rPr>
              <w:instrText xml:space="preserve"> PAGEREF _Toc227259071 \h </w:instrText>
            </w:r>
            <w:r>
              <w:rPr>
                <w:noProof/>
                <w:webHidden/>
              </w:rPr>
            </w:r>
            <w:r>
              <w:rPr>
                <w:noProof/>
                <w:webHidden/>
              </w:rPr>
              <w:fldChar w:fldCharType="separate"/>
            </w:r>
            <w:r>
              <w:rPr>
                <w:noProof/>
                <w:webHidden/>
              </w:rPr>
              <w:t>4</w:t>
            </w:r>
            <w:r>
              <w:rPr>
                <w:noProof/>
                <w:webHidden/>
              </w:rPr>
              <w:fldChar w:fldCharType="end"/>
            </w:r>
          </w:hyperlink>
        </w:p>
        <w:p w14:paraId="7D31331F" w14:textId="2429F005" w:rsidR="00611826" w:rsidRDefault="00611826" w:rsidP="00611826">
          <w:pPr>
            <w:pStyle w:val="TOC2"/>
            <w:rPr>
              <w:rFonts w:asciiTheme="minorHAnsi" w:hAnsiTheme="minorHAnsi" w:cstheme="minorBidi"/>
              <w:noProof/>
              <w:sz w:val="24"/>
              <w:szCs w:val="24"/>
              <w:lang w:eastAsia="en-GB"/>
            </w:rPr>
          </w:pPr>
          <w:hyperlink w:anchor="_Toc227259072" w:history="1">
            <w:r w:rsidRPr="0065704E">
              <w:rPr>
                <w:rStyle w:val="Hyperlink"/>
                <w:noProof/>
              </w:rPr>
              <w:t>3 Strategies for Skill Improvement for The Healthcare Assistant</w:t>
            </w:r>
            <w:r>
              <w:rPr>
                <w:noProof/>
                <w:webHidden/>
              </w:rPr>
              <w:tab/>
            </w:r>
            <w:r>
              <w:rPr>
                <w:noProof/>
                <w:webHidden/>
              </w:rPr>
              <w:fldChar w:fldCharType="begin"/>
            </w:r>
            <w:r>
              <w:rPr>
                <w:noProof/>
                <w:webHidden/>
              </w:rPr>
              <w:instrText xml:space="preserve"> PAGEREF _Toc227259072 \h </w:instrText>
            </w:r>
            <w:r>
              <w:rPr>
                <w:noProof/>
                <w:webHidden/>
              </w:rPr>
            </w:r>
            <w:r>
              <w:rPr>
                <w:noProof/>
                <w:webHidden/>
              </w:rPr>
              <w:fldChar w:fldCharType="separate"/>
            </w:r>
            <w:r>
              <w:rPr>
                <w:noProof/>
                <w:webHidden/>
              </w:rPr>
              <w:t>5</w:t>
            </w:r>
            <w:r>
              <w:rPr>
                <w:noProof/>
                <w:webHidden/>
              </w:rPr>
              <w:fldChar w:fldCharType="end"/>
            </w:r>
          </w:hyperlink>
        </w:p>
        <w:p w14:paraId="63832079" w14:textId="59EADD40" w:rsidR="00611826" w:rsidRDefault="00611826" w:rsidP="00611826">
          <w:pPr>
            <w:pStyle w:val="TOC2"/>
            <w:rPr>
              <w:rFonts w:asciiTheme="minorHAnsi" w:hAnsiTheme="minorHAnsi" w:cstheme="minorBidi"/>
              <w:noProof/>
              <w:sz w:val="24"/>
              <w:szCs w:val="24"/>
              <w:lang w:eastAsia="en-GB"/>
            </w:rPr>
          </w:pPr>
          <w:hyperlink w:anchor="_Toc227259073" w:history="1">
            <w:r w:rsidRPr="0065704E">
              <w:rPr>
                <w:rStyle w:val="Hyperlink"/>
                <w:noProof/>
              </w:rPr>
              <w:t>3.1 Three Strategies to Improve the Skills for The Healthcare Assistant</w:t>
            </w:r>
            <w:r>
              <w:rPr>
                <w:noProof/>
                <w:webHidden/>
              </w:rPr>
              <w:tab/>
            </w:r>
            <w:r>
              <w:rPr>
                <w:noProof/>
                <w:webHidden/>
              </w:rPr>
              <w:fldChar w:fldCharType="begin"/>
            </w:r>
            <w:r>
              <w:rPr>
                <w:noProof/>
                <w:webHidden/>
              </w:rPr>
              <w:instrText xml:space="preserve"> PAGEREF _Toc227259073 \h </w:instrText>
            </w:r>
            <w:r>
              <w:rPr>
                <w:noProof/>
                <w:webHidden/>
              </w:rPr>
            </w:r>
            <w:r>
              <w:rPr>
                <w:noProof/>
                <w:webHidden/>
              </w:rPr>
              <w:fldChar w:fldCharType="separate"/>
            </w:r>
            <w:r>
              <w:rPr>
                <w:noProof/>
                <w:webHidden/>
              </w:rPr>
              <w:t>5</w:t>
            </w:r>
            <w:r>
              <w:rPr>
                <w:noProof/>
                <w:webHidden/>
              </w:rPr>
              <w:fldChar w:fldCharType="end"/>
            </w:r>
          </w:hyperlink>
        </w:p>
        <w:p w14:paraId="3881B7AC" w14:textId="2D1CE186" w:rsidR="00611826" w:rsidRDefault="00611826" w:rsidP="00611826">
          <w:pPr>
            <w:pStyle w:val="TOC2"/>
            <w:rPr>
              <w:rFonts w:asciiTheme="minorHAnsi" w:hAnsiTheme="minorHAnsi" w:cstheme="minorBidi"/>
              <w:noProof/>
              <w:sz w:val="24"/>
              <w:szCs w:val="24"/>
              <w:lang w:eastAsia="en-GB"/>
            </w:rPr>
          </w:pPr>
          <w:hyperlink w:anchor="_Toc227259074" w:history="1">
            <w:r w:rsidRPr="0065704E">
              <w:rPr>
                <w:rStyle w:val="Hyperlink"/>
                <w:noProof/>
              </w:rPr>
              <w:t>4 Conclusion</w:t>
            </w:r>
            <w:r>
              <w:rPr>
                <w:noProof/>
                <w:webHidden/>
              </w:rPr>
              <w:tab/>
            </w:r>
            <w:r>
              <w:rPr>
                <w:noProof/>
                <w:webHidden/>
              </w:rPr>
              <w:fldChar w:fldCharType="begin"/>
            </w:r>
            <w:r>
              <w:rPr>
                <w:noProof/>
                <w:webHidden/>
              </w:rPr>
              <w:instrText xml:space="preserve"> PAGEREF _Toc227259074 \h </w:instrText>
            </w:r>
            <w:r>
              <w:rPr>
                <w:noProof/>
                <w:webHidden/>
              </w:rPr>
            </w:r>
            <w:r>
              <w:rPr>
                <w:noProof/>
                <w:webHidden/>
              </w:rPr>
              <w:fldChar w:fldCharType="separate"/>
            </w:r>
            <w:r>
              <w:rPr>
                <w:noProof/>
                <w:webHidden/>
              </w:rPr>
              <w:t>6</w:t>
            </w:r>
            <w:r>
              <w:rPr>
                <w:noProof/>
                <w:webHidden/>
              </w:rPr>
              <w:fldChar w:fldCharType="end"/>
            </w:r>
          </w:hyperlink>
        </w:p>
        <w:p w14:paraId="637002AC" w14:textId="729D085F" w:rsidR="00611826" w:rsidRDefault="00611826" w:rsidP="00611826">
          <w:pPr>
            <w:pStyle w:val="TOC2"/>
            <w:rPr>
              <w:rFonts w:asciiTheme="minorHAnsi" w:hAnsiTheme="minorHAnsi" w:cstheme="minorBidi"/>
              <w:noProof/>
              <w:sz w:val="24"/>
              <w:szCs w:val="24"/>
              <w:lang w:eastAsia="en-GB"/>
            </w:rPr>
          </w:pPr>
          <w:hyperlink w:anchor="_Toc227259075" w:history="1">
            <w:r w:rsidRPr="0065704E">
              <w:rPr>
                <w:rStyle w:val="Hyperlink"/>
                <w:noProof/>
              </w:rPr>
              <w:t>5 Reference List</w:t>
            </w:r>
            <w:r>
              <w:rPr>
                <w:noProof/>
                <w:webHidden/>
              </w:rPr>
              <w:tab/>
            </w:r>
            <w:r>
              <w:rPr>
                <w:noProof/>
                <w:webHidden/>
              </w:rPr>
              <w:fldChar w:fldCharType="begin"/>
            </w:r>
            <w:r>
              <w:rPr>
                <w:noProof/>
                <w:webHidden/>
              </w:rPr>
              <w:instrText xml:space="preserve"> PAGEREF _Toc227259075 \h </w:instrText>
            </w:r>
            <w:r>
              <w:rPr>
                <w:noProof/>
                <w:webHidden/>
              </w:rPr>
            </w:r>
            <w:r>
              <w:rPr>
                <w:noProof/>
                <w:webHidden/>
              </w:rPr>
              <w:fldChar w:fldCharType="separate"/>
            </w:r>
            <w:r>
              <w:rPr>
                <w:noProof/>
                <w:webHidden/>
              </w:rPr>
              <w:t>7</w:t>
            </w:r>
            <w:r>
              <w:rPr>
                <w:noProof/>
                <w:webHidden/>
              </w:rPr>
              <w:fldChar w:fldCharType="end"/>
            </w:r>
          </w:hyperlink>
        </w:p>
        <w:p w14:paraId="2F2A1EA8" w14:textId="5B235B5F" w:rsidR="0156E134" w:rsidRDefault="0156E134" w:rsidP="00611826">
          <w:pPr>
            <w:pStyle w:val="TOC2"/>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142C5DCB" w:rsidR="00A035CD" w:rsidRDefault="00A035CD" w:rsidP="00797F88">
      <w:pPr>
        <w:pStyle w:val="Heading2"/>
        <w:numPr>
          <w:ilvl w:val="1"/>
          <w:numId w:val="33"/>
        </w:numPr>
        <w:rPr>
          <w:color w:val="4471C4"/>
        </w:rPr>
      </w:pPr>
      <w:bookmarkStart w:id="0" w:name="_Toc227259068"/>
      <w:r w:rsidRPr="0CF501EC">
        <w:rPr>
          <w:color w:val="4471C4"/>
        </w:rPr>
        <w:lastRenderedPageBreak/>
        <w:t>Introduction</w:t>
      </w:r>
      <w:bookmarkEnd w:id="0"/>
    </w:p>
    <w:p w14:paraId="2657DFAB" w14:textId="77777777" w:rsidR="00797F88" w:rsidRPr="00797F88" w:rsidRDefault="00797F88" w:rsidP="00797F88"/>
    <w:p w14:paraId="257F02A0" w14:textId="07BFFCDB" w:rsidR="00797F88" w:rsidRPr="00797F88" w:rsidRDefault="00797F88" w:rsidP="00797F88">
      <w:pPr>
        <w:spacing w:line="360" w:lineRule="auto"/>
        <w:jc w:val="both"/>
        <w:rPr>
          <w:rFonts w:ascii="Arial" w:hAnsi="Arial" w:cs="Arial"/>
          <w:sz w:val="22"/>
        </w:rPr>
      </w:pPr>
      <w:r w:rsidRPr="00797F88">
        <w:rPr>
          <w:rFonts w:ascii="Arial" w:hAnsi="Arial" w:cs="Arial"/>
          <w:sz w:val="22"/>
        </w:rPr>
        <w:t xml:space="preserve">The health and social care sector in the United Kingdom </w:t>
      </w:r>
      <w:r w:rsidR="009564D7" w:rsidRPr="00797F88">
        <w:rPr>
          <w:rFonts w:ascii="Arial" w:hAnsi="Arial" w:cs="Arial"/>
          <w:sz w:val="22"/>
        </w:rPr>
        <w:t>serve</w:t>
      </w:r>
      <w:r w:rsidRPr="00797F88">
        <w:rPr>
          <w:rFonts w:ascii="Arial" w:hAnsi="Arial" w:cs="Arial"/>
          <w:sz w:val="22"/>
        </w:rPr>
        <w:t xml:space="preserve"> as the backbone of public wellbeing, providing essential support to vulnerable individuals across various clinical and community settings. Within this diverse field, the role of the Healthcare Assistant (HCA) is pivotal in ensuring the delivery of safe, person-centred care. This report aims to examine the specific duties of the HCA and evaluate three essential skills required for effective practice: communication, safeguarding, and technical clinical monitoring. Furthermore, the report will outline specific strategies for professional development to enhance these competencies. The discussion is structured to provide a clear role description followed by an analysis of skills and practical improvement strategies, concluding with a summary of how these elements contribute to high-quality care standards.</w:t>
      </w:r>
    </w:p>
    <w:p w14:paraId="4CC61BC1" w14:textId="55FEF9DD" w:rsidR="00F36ADC" w:rsidRPr="00242974" w:rsidRDefault="00F36ADC" w:rsidP="0156E134">
      <w:pPr>
        <w:spacing w:after="0" w:line="240" w:lineRule="auto"/>
        <w:rPr>
          <w:sz w:val="22"/>
        </w:rPr>
      </w:pPr>
    </w:p>
    <w:p w14:paraId="64F36E68" w14:textId="21D6F413" w:rsidR="3C659699" w:rsidRDefault="3C659699" w:rsidP="0CF501EC">
      <w:pPr>
        <w:pStyle w:val="Heading2"/>
        <w:rPr>
          <w:color w:val="4472C4" w:themeColor="accent1"/>
        </w:rPr>
      </w:pPr>
      <w:bookmarkStart w:id="1" w:name="_Toc227259069"/>
      <w:r w:rsidRPr="0CF501EC">
        <w:rPr>
          <w:color w:val="4471C4"/>
        </w:rPr>
        <w:t xml:space="preserve">2 </w:t>
      </w:r>
      <w:r w:rsidR="00797F88">
        <w:t xml:space="preserve">The Healthcare Assistant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259320E0" w:rsidR="008B0B22" w:rsidRPr="002976D4" w:rsidRDefault="5CF7C3DB" w:rsidP="0156E134">
      <w:pPr>
        <w:pStyle w:val="Heading2"/>
        <w:rPr>
          <w:color w:val="4472C4" w:themeColor="accent1"/>
        </w:rPr>
      </w:pPr>
      <w:bookmarkStart w:id="2" w:name="_Toc227259070"/>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797F88">
        <w:t xml:space="preserve">The Healthcare Assistant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28AFC85C" w14:textId="77777777" w:rsidR="00797F88" w:rsidRPr="00797F88" w:rsidRDefault="00797F88" w:rsidP="00797F88">
      <w:pPr>
        <w:spacing w:line="360" w:lineRule="auto"/>
        <w:jc w:val="both"/>
        <w:rPr>
          <w:rFonts w:ascii="Arial" w:hAnsi="Arial" w:cs="Arial"/>
          <w:sz w:val="22"/>
        </w:rPr>
      </w:pPr>
      <w:r w:rsidRPr="00797F88">
        <w:rPr>
          <w:rFonts w:ascii="Arial" w:hAnsi="Arial" w:cs="Arial"/>
          <w:sz w:val="22"/>
        </w:rPr>
        <w:t>Healthcare Assistants (HCAs) serve as a cornerstone of the multidisciplinary medical team, offering essential frontline care to patients while assisting senior clinicians. This position carries immense responsibility, as HCAs typically maintain the most consistent direct contact with service users. Consequently, they function as the vital first line of observation, uniquely positioned to detect and report subtle shifts in a patient’s physiological or psychological well-being (NHS Health Careers, 2024). Their presence ensures a continuous flow of communication between the patient and the wider clinical team, which is critical for timely medical interventions and high-quality care.</w:t>
      </w:r>
    </w:p>
    <w:p w14:paraId="7AA63A40" w14:textId="77777777" w:rsidR="00797F88" w:rsidRPr="00797F88" w:rsidRDefault="00797F88" w:rsidP="00797F88">
      <w:pPr>
        <w:spacing w:line="360" w:lineRule="auto"/>
        <w:jc w:val="both"/>
        <w:rPr>
          <w:rFonts w:ascii="Arial" w:hAnsi="Arial" w:cs="Arial"/>
          <w:sz w:val="22"/>
        </w:rPr>
      </w:pPr>
      <w:r w:rsidRPr="00797F88">
        <w:rPr>
          <w:rFonts w:ascii="Arial" w:hAnsi="Arial" w:cs="Arial"/>
          <w:sz w:val="22"/>
        </w:rPr>
        <w:t xml:space="preserve"> </w:t>
      </w:r>
    </w:p>
    <w:p w14:paraId="5615985E" w14:textId="77777777" w:rsidR="00797F88" w:rsidRPr="00797F88" w:rsidRDefault="00797F88" w:rsidP="00797F88">
      <w:pPr>
        <w:spacing w:line="360" w:lineRule="auto"/>
        <w:jc w:val="both"/>
        <w:rPr>
          <w:rFonts w:ascii="Arial" w:hAnsi="Arial" w:cs="Arial"/>
          <w:sz w:val="22"/>
        </w:rPr>
      </w:pPr>
      <w:r w:rsidRPr="00797F88">
        <w:rPr>
          <w:rFonts w:ascii="Arial" w:hAnsi="Arial" w:cs="Arial"/>
          <w:sz w:val="22"/>
        </w:rPr>
        <w:t>The core responsibilities of an HCA encompass both fundamental personal support and technical clinical assistance. Daily duties involve helping patients with mobility, nutritional intake, and personal hygiene, alongside performing clinical observations such as monitoring oxygen saturation levels and manual blood pressure. To execute these tasks successfully, an individual must possess profound empathy, significant physical endurance, and a disciplined commitment to health and safety regulations. By managing these essential daily requirements, HCAs safeguard the dignity and comfort of patients, allowing registered nurses and physicians to focus on complex medical management within the demanding environments of hospitals or residential care homes.</w:t>
      </w:r>
    </w:p>
    <w:p w14:paraId="1CB8B0F1" w14:textId="34C40497" w:rsidR="0156E134" w:rsidRDefault="0156E134" w:rsidP="0156E134">
      <w:pPr>
        <w:spacing w:after="0" w:line="240" w:lineRule="auto"/>
        <w:jc w:val="both"/>
        <w:rPr>
          <w:sz w:val="22"/>
        </w:rPr>
      </w:pPr>
    </w:p>
    <w:p w14:paraId="4010C35E" w14:textId="0533A46B" w:rsidR="00EC7EBE" w:rsidRDefault="04019B15" w:rsidP="0CF501EC">
      <w:pPr>
        <w:pStyle w:val="Heading2"/>
        <w:rPr>
          <w:color w:val="4471C4"/>
        </w:rPr>
      </w:pPr>
      <w:bookmarkStart w:id="3" w:name="_Toc227259071"/>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51A12">
        <w:t>The Healthcare Assistant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73C5DEF" w14:textId="77777777" w:rsidR="00C06234" w:rsidRPr="00C06234" w:rsidRDefault="00C06234" w:rsidP="00C06234"/>
    <w:p w14:paraId="39CEB4F4" w14:textId="77777777" w:rsidR="00FF3967" w:rsidRPr="00C06234" w:rsidRDefault="00FF3967" w:rsidP="00C06234">
      <w:pPr>
        <w:spacing w:line="360" w:lineRule="auto"/>
        <w:jc w:val="both"/>
        <w:rPr>
          <w:rFonts w:ascii="Arial" w:hAnsi="Arial" w:cs="Arial"/>
          <w:sz w:val="22"/>
        </w:rPr>
      </w:pPr>
      <w:r w:rsidRPr="00C06234">
        <w:rPr>
          <w:rFonts w:ascii="Arial" w:hAnsi="Arial" w:cs="Arial"/>
          <w:sz w:val="22"/>
        </w:rPr>
        <w:t>Effective communication is the first essential skill required for an HCA to ensure patient safety and comfort. In a clinical setting, an HCA must be able to translate complex medical information into simple, reassuring language for patients who may be distressed or confused. For example, when preparing a patient for a procedure, an HCA uses verbal and non-verbal cues to build trust and ensure informed consent is maintained at a basic level. According to Skills for Care (2023), clear communication reduces the risk of clinical errors and improves the overall patient experience by fostering a therapeutic relationship. Without this skill, miscommunications can lead to patient non-compliance or increased anxiety, which may negatively impact recovery outcomes.</w:t>
      </w:r>
    </w:p>
    <w:p w14:paraId="4A00CEC7" w14:textId="77777777" w:rsidR="00FF3967" w:rsidRPr="00C06234" w:rsidRDefault="00FF3967" w:rsidP="00C06234">
      <w:pPr>
        <w:spacing w:line="360" w:lineRule="auto"/>
        <w:jc w:val="both"/>
        <w:rPr>
          <w:rFonts w:ascii="Arial" w:hAnsi="Arial" w:cs="Arial"/>
          <w:sz w:val="22"/>
        </w:rPr>
      </w:pPr>
      <w:r w:rsidRPr="00C06234">
        <w:rPr>
          <w:rFonts w:ascii="Arial" w:hAnsi="Arial" w:cs="Arial"/>
          <w:sz w:val="22"/>
        </w:rPr>
        <w:t xml:space="preserve"> </w:t>
      </w:r>
    </w:p>
    <w:p w14:paraId="1C0995D7" w14:textId="77777777" w:rsidR="00FF3967" w:rsidRPr="00C06234" w:rsidRDefault="00FF3967" w:rsidP="00C06234">
      <w:pPr>
        <w:spacing w:line="360" w:lineRule="auto"/>
        <w:jc w:val="both"/>
        <w:rPr>
          <w:rFonts w:ascii="Arial" w:hAnsi="Arial" w:cs="Arial"/>
          <w:sz w:val="22"/>
        </w:rPr>
      </w:pPr>
      <w:r w:rsidRPr="00C06234">
        <w:rPr>
          <w:rFonts w:ascii="Arial" w:hAnsi="Arial" w:cs="Arial"/>
          <w:sz w:val="22"/>
        </w:rPr>
        <w:t>The second critical skill is safeguarding, which involves the ability to identify signs of abuse or neglect and take appropriate action. HCAs are often the first to notice bruising, changes in behaviour, or environmental risks that suggest a vulnerable adult or child is at risk. A realistic example of this is an HCA noticing a patient becoming unusually withdrawn when a specific visitor is present and reporting this observation to the safeguarding lead. As noted by the Social Care Institute for Excellence (2022), safeguarding is a legal and ethical requirement that ensures the protection of an individual's human rights. If staff lack robust safeguarding skills, vulnerable individuals may remain in harmful situations, leading to severe physical or psychological trauma and legal failings for the healthcare provider.</w:t>
      </w:r>
    </w:p>
    <w:p w14:paraId="36C62203" w14:textId="77777777" w:rsidR="00FF3967" w:rsidRPr="00C06234" w:rsidRDefault="00FF3967" w:rsidP="00C06234">
      <w:pPr>
        <w:spacing w:line="360" w:lineRule="auto"/>
        <w:jc w:val="both"/>
        <w:rPr>
          <w:rFonts w:ascii="Arial" w:hAnsi="Arial" w:cs="Arial"/>
          <w:sz w:val="22"/>
        </w:rPr>
      </w:pPr>
      <w:r w:rsidRPr="00C06234">
        <w:rPr>
          <w:rFonts w:ascii="Arial" w:hAnsi="Arial" w:cs="Arial"/>
          <w:sz w:val="22"/>
        </w:rPr>
        <w:t xml:space="preserve"> </w:t>
      </w:r>
    </w:p>
    <w:p w14:paraId="6A139CD0" w14:textId="77777777" w:rsidR="00FF3967" w:rsidRPr="00C06234" w:rsidRDefault="00FF3967" w:rsidP="00C06234">
      <w:pPr>
        <w:spacing w:line="360" w:lineRule="auto"/>
        <w:jc w:val="both"/>
        <w:rPr>
          <w:rFonts w:ascii="Arial" w:hAnsi="Arial" w:cs="Arial"/>
          <w:sz w:val="22"/>
        </w:rPr>
      </w:pPr>
      <w:r w:rsidRPr="00C06234">
        <w:rPr>
          <w:rFonts w:ascii="Arial" w:hAnsi="Arial" w:cs="Arial"/>
          <w:sz w:val="22"/>
        </w:rPr>
        <w:t>The third significant skill is clinical observation and monitoring, specifically the accurate recording of vital signs. This technical skill requires precision and an understanding of "normal" ranges for heart rate, temperature, and blood pressure. For instance, an HCA must accurately record a patient's respiratory rate and recognise when a high reading requires an immediate escalation to a registered nurse via the National Early Warning Score (NEWS2) system. Royal College of Nursing (2023) research suggests that early detection of clinical deterioration by HCAs significantly reduces mortality rates in hospital settings. A failure to master monitoring skills can result in "failure to rescue" scenarios, where a patient’s declining health goes unnoticed until a critical, and potentially fatal, event occurs.</w:t>
      </w:r>
    </w:p>
    <w:p w14:paraId="7338813D" w14:textId="77777777" w:rsidR="00C85A7C" w:rsidRPr="00242974" w:rsidRDefault="00C85A7C" w:rsidP="00C85A7C">
      <w:pPr>
        <w:spacing w:after="0" w:line="240" w:lineRule="auto"/>
        <w:jc w:val="both"/>
        <w:rPr>
          <w:sz w:val="21"/>
          <w:szCs w:val="21"/>
        </w:rPr>
      </w:pPr>
    </w:p>
    <w:p w14:paraId="2CAEA1EC" w14:textId="0BCB2AF6" w:rsidR="002370CE" w:rsidRPr="002976D4" w:rsidRDefault="1F09BC6E" w:rsidP="0CF501EC">
      <w:pPr>
        <w:pStyle w:val="Heading2"/>
        <w:rPr>
          <w:color w:val="4472C4" w:themeColor="accent1"/>
        </w:rPr>
      </w:pPr>
      <w:bookmarkStart w:id="4" w:name="_Toc227259072"/>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CC3C18">
        <w:t>The Healthcare Assistant</w:t>
      </w:r>
      <w:bookmarkEnd w:id="4"/>
    </w:p>
    <w:p w14:paraId="01C49510" w14:textId="7047E0CA" w:rsidR="002370CE" w:rsidRPr="002976D4" w:rsidRDefault="0C5D0C5C" w:rsidP="0156E134">
      <w:pPr>
        <w:pStyle w:val="Heading2"/>
        <w:rPr>
          <w:color w:val="4472C4" w:themeColor="accent1"/>
        </w:rPr>
      </w:pPr>
      <w:bookmarkStart w:id="5" w:name="_Toc227259073"/>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CC3C18">
        <w:t>The Healthcare Assistant</w:t>
      </w:r>
      <w:bookmarkEnd w:id="5"/>
    </w:p>
    <w:p w14:paraId="0F6032EC" w14:textId="77777777" w:rsidR="00393483" w:rsidRDefault="00393483" w:rsidP="00393483">
      <w:pPr>
        <w:spacing w:line="360" w:lineRule="auto"/>
        <w:jc w:val="both"/>
        <w:rPr>
          <w:rFonts w:ascii="Arial" w:hAnsi="Arial" w:cs="Arial"/>
          <w:sz w:val="22"/>
        </w:rPr>
      </w:pPr>
    </w:p>
    <w:p w14:paraId="532DEEEB" w14:textId="62952959" w:rsidR="00393483" w:rsidRPr="00393483" w:rsidRDefault="00393483" w:rsidP="00393483">
      <w:pPr>
        <w:spacing w:line="360" w:lineRule="auto"/>
        <w:jc w:val="both"/>
        <w:rPr>
          <w:rFonts w:ascii="Arial" w:hAnsi="Arial" w:cs="Arial"/>
          <w:sz w:val="22"/>
        </w:rPr>
      </w:pPr>
      <w:r w:rsidRPr="00393483">
        <w:rPr>
          <w:rFonts w:ascii="Arial" w:hAnsi="Arial" w:cs="Arial"/>
          <w:sz w:val="22"/>
        </w:rPr>
        <w:t>To enhance interpersonal communication, the implementation of formalized "Active Listening Training" workshops serves as a robust pedagogical strategy. This methodology operates by instructing practitioners to dedicate their full cognitive focus to the interlocutor, ensuring that the underlying message is comprehensively synthesized and that responses are intellectually formulated rather than instinctively delivered. In a practical clinical context, this may involve simulated environments where Healthcare Assistants (HCAs) practice deciphering the non-verbal cues of patients with neurocognitive disorders. Empirical evidence suggests that targeted communication interventions significantly augment the quality of care, as they ensure the patient’s perspective is central to the care planning framework (CQC, 2023). By refining these competencies, the HCA can navigate complex dialogues with greater efficacy and increase the reliability of information disseminated to the broader clinical team.</w:t>
      </w:r>
    </w:p>
    <w:p w14:paraId="243384D0" w14:textId="77777777" w:rsidR="00393483" w:rsidRPr="00393483" w:rsidRDefault="00393483" w:rsidP="00393483">
      <w:pPr>
        <w:spacing w:line="360" w:lineRule="auto"/>
        <w:jc w:val="both"/>
        <w:rPr>
          <w:rFonts w:ascii="Arial" w:hAnsi="Arial" w:cs="Arial"/>
          <w:sz w:val="22"/>
        </w:rPr>
      </w:pPr>
      <w:r w:rsidRPr="00393483">
        <w:rPr>
          <w:rFonts w:ascii="Arial" w:hAnsi="Arial" w:cs="Arial"/>
          <w:sz w:val="22"/>
        </w:rPr>
        <w:t xml:space="preserve"> </w:t>
      </w:r>
    </w:p>
    <w:p w14:paraId="677AF86D" w14:textId="795B1E02" w:rsidR="00393483" w:rsidRPr="00393483" w:rsidRDefault="00393483" w:rsidP="00393483">
      <w:pPr>
        <w:spacing w:line="360" w:lineRule="auto"/>
        <w:jc w:val="both"/>
        <w:rPr>
          <w:rFonts w:ascii="Arial" w:hAnsi="Arial" w:cs="Arial"/>
          <w:sz w:val="22"/>
        </w:rPr>
      </w:pPr>
      <w:r w:rsidRPr="00393483">
        <w:rPr>
          <w:rFonts w:ascii="Arial" w:hAnsi="Arial" w:cs="Arial"/>
          <w:sz w:val="22"/>
        </w:rPr>
        <w:t xml:space="preserve">Furthermore, the cultivation of safeguarding proficiency is best achieved through the strategic application of "Reflective Supervision." This paradigm involves structured, periodic consultations with a supervisor to critically </w:t>
      </w:r>
      <w:r w:rsidR="005B4D6A" w:rsidRPr="00393483">
        <w:rPr>
          <w:rFonts w:ascii="Arial" w:hAnsi="Arial" w:cs="Arial"/>
          <w:sz w:val="22"/>
        </w:rPr>
        <w:t>analyse</w:t>
      </w:r>
      <w:r w:rsidRPr="00393483">
        <w:rPr>
          <w:rFonts w:ascii="Arial" w:hAnsi="Arial" w:cs="Arial"/>
          <w:sz w:val="22"/>
        </w:rPr>
        <w:t xml:space="preserve"> specific cases and the emotional dimensions of safeguarding interventions. Such a strategy facilitates the HCA’s ability to process multifaceted scenarios, thereby bolstering their self-efficacy in implementing safeguarding policies within real-world environments. For example, after the identification of a potential safeguarding concern, the HCA would utilize a reflective session to evaluate their procedural handling and identify longitudinal indicators for future monitoring. According to the Health and Care Professions Council (2024), reflective practice is a vital element of professional standards, serving as a safeguard against professional desensitization and ensuring a proactive approach to risk management.</w:t>
      </w:r>
    </w:p>
    <w:p w14:paraId="739957C5" w14:textId="085C59D4" w:rsidR="00393483" w:rsidRPr="00393483" w:rsidRDefault="00393483" w:rsidP="00393483">
      <w:pPr>
        <w:spacing w:line="360" w:lineRule="auto"/>
        <w:jc w:val="both"/>
        <w:rPr>
          <w:rFonts w:ascii="Arial" w:hAnsi="Arial" w:cs="Arial"/>
          <w:sz w:val="22"/>
        </w:rPr>
      </w:pPr>
      <w:r w:rsidRPr="00393483">
        <w:rPr>
          <w:rFonts w:ascii="Arial" w:hAnsi="Arial" w:cs="Arial"/>
          <w:sz w:val="22"/>
        </w:rPr>
        <w:t xml:space="preserve"> </w:t>
      </w:r>
      <w:r w:rsidR="005B4D6A">
        <w:rPr>
          <w:rFonts w:ascii="Arial" w:hAnsi="Arial" w:cs="Arial"/>
          <w:sz w:val="22"/>
        </w:rPr>
        <w:t xml:space="preserve"> </w:t>
      </w:r>
    </w:p>
    <w:p w14:paraId="5CC9092A" w14:textId="77777777" w:rsidR="00393483" w:rsidRPr="00393483" w:rsidRDefault="00393483" w:rsidP="00393483">
      <w:pPr>
        <w:spacing w:line="360" w:lineRule="auto"/>
        <w:jc w:val="both"/>
        <w:rPr>
          <w:rFonts w:ascii="Arial" w:hAnsi="Arial" w:cs="Arial"/>
          <w:sz w:val="22"/>
        </w:rPr>
      </w:pPr>
      <w:r w:rsidRPr="00393483">
        <w:rPr>
          <w:rFonts w:ascii="Arial" w:hAnsi="Arial" w:cs="Arial"/>
          <w:sz w:val="22"/>
        </w:rPr>
        <w:t xml:space="preserve">Finally, clinical monitoring skills can be systematically improved via "Competency-Based Peer Assessment." This pedagogical approach entails direct observation by a senior clinician or peer while the HCA executes clinical duties—such as the manual measurement of a pulse—followed by immediate corrective feedback. This process ensures that the HCA’s technical execution remains precise and congruent with contemporary NHS clinical guidelines. In high-acuity environments, this may manifest as a weekly validation of skills where practitioners audit one another’s measurements. Extant literature indicates that regular competency </w:t>
      </w:r>
      <w:r w:rsidRPr="00393483">
        <w:rPr>
          <w:rFonts w:ascii="Arial" w:hAnsi="Arial" w:cs="Arial"/>
          <w:sz w:val="22"/>
        </w:rPr>
        <w:lastRenderedPageBreak/>
        <w:t>evaluations are instrumental in preventing "skill drift," a phenomenon where staff inadvertently diverge from established protocols over time, thus maintaining high-level clinical accuracy and enhancing patient safety (NHS England, 2023). Through these integrated strategies, the HCA ensures a high standard of professional practice across clinical and ethical domains.</w:t>
      </w:r>
    </w:p>
    <w:p w14:paraId="58A1B501" w14:textId="2F942CCF" w:rsidR="0156E134" w:rsidRPr="00393483" w:rsidRDefault="0156E134" w:rsidP="00393483">
      <w:pPr>
        <w:spacing w:after="0"/>
        <w:rPr>
          <w:sz w:val="21"/>
          <w:szCs w:val="21"/>
        </w:rPr>
      </w:pPr>
    </w:p>
    <w:p w14:paraId="1497148C" w14:textId="5D9ACA22" w:rsidR="00A946CB" w:rsidRDefault="5617AA6E" w:rsidP="0156E134">
      <w:pPr>
        <w:pStyle w:val="Heading2"/>
        <w:rPr>
          <w:color w:val="4471C4"/>
        </w:rPr>
      </w:pPr>
      <w:bookmarkStart w:id="6" w:name="_Toc227259074"/>
      <w:r w:rsidRPr="0CF501EC">
        <w:rPr>
          <w:color w:val="4471C4"/>
        </w:rPr>
        <w:t>4</w:t>
      </w:r>
      <w:r w:rsidR="00A946CB" w:rsidRPr="0CF501EC">
        <w:rPr>
          <w:color w:val="4471C4"/>
        </w:rPr>
        <w:t xml:space="preserve"> Conclusion</w:t>
      </w:r>
      <w:bookmarkEnd w:id="6"/>
    </w:p>
    <w:p w14:paraId="5D492426" w14:textId="77777777" w:rsidR="00080FF1" w:rsidRPr="00080FF1" w:rsidRDefault="00080FF1" w:rsidP="00080FF1"/>
    <w:p w14:paraId="1CB63660" w14:textId="77777777" w:rsidR="00080FF1" w:rsidRPr="00080FF1" w:rsidRDefault="00080FF1" w:rsidP="00080FF1">
      <w:pPr>
        <w:spacing w:line="360" w:lineRule="auto"/>
        <w:jc w:val="both"/>
        <w:rPr>
          <w:rFonts w:ascii="Arial" w:hAnsi="Arial" w:cs="Arial"/>
          <w:sz w:val="22"/>
        </w:rPr>
      </w:pPr>
      <w:r w:rsidRPr="00080FF1">
        <w:rPr>
          <w:rFonts w:ascii="Arial" w:hAnsi="Arial" w:cs="Arial"/>
          <w:sz w:val="22"/>
        </w:rPr>
        <w:t>In conclusion, the Healthcare Assistant role is a cornerstone of the health and social care sector, requiring a sophisticated blend of interpersonal and technical competencies. As this report has demonstrated, skills in communication, safeguarding, and clinical monitoring are not merely optional but are essential for the delivery of safe and effective care. The analysis shows that a lack of these skills can lead to significant risks, including patient distress, undetected abuse, and clinical deterioration. However, through the application of strategies such as active listening training, reflective supervision, and peer competency assessments, HCAs can continuously improve their practice. Ultimately, the commitment to developing these skills ensures that the healthcare system remains responsive to the needs of the most vulnerable members of society, maintaining high standards of quality and safety.</w:t>
      </w:r>
    </w:p>
    <w:p w14:paraId="5155B0ED" w14:textId="59FCAE54" w:rsidR="00080FF1" w:rsidRDefault="00080FF1">
      <w:pPr>
        <w:rPr>
          <w:sz w:val="21"/>
          <w:szCs w:val="21"/>
        </w:rPr>
      </w:pPr>
      <w:r>
        <w:rPr>
          <w:sz w:val="21"/>
          <w:szCs w:val="21"/>
        </w:rPr>
        <w:br w:type="page"/>
      </w:r>
    </w:p>
    <w:p w14:paraId="6C4B494D" w14:textId="3FD9A722" w:rsidR="00226D31" w:rsidRDefault="00226D31" w:rsidP="0156E134">
      <w:pPr>
        <w:pStyle w:val="Heading2"/>
        <w:rPr>
          <w:color w:val="4471C4"/>
        </w:rPr>
      </w:pPr>
      <w:bookmarkStart w:id="7" w:name="_Toc227259075"/>
      <w:r w:rsidRPr="0CF501EC">
        <w:rPr>
          <w:color w:val="4471C4"/>
        </w:rPr>
        <w:lastRenderedPageBreak/>
        <w:t>5 Reference List</w:t>
      </w:r>
      <w:bookmarkEnd w:id="7"/>
    </w:p>
    <w:p w14:paraId="4C419A02" w14:textId="77777777" w:rsidR="00F647B7" w:rsidRDefault="00F647B7" w:rsidP="00F647B7">
      <w:pPr>
        <w:spacing w:line="360" w:lineRule="auto"/>
        <w:rPr>
          <w:rFonts w:ascii="Arial" w:hAnsi="Arial" w:cs="Arial"/>
          <w:sz w:val="22"/>
        </w:rPr>
      </w:pPr>
    </w:p>
    <w:p w14:paraId="088B679F" w14:textId="00DEF242"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Care Quality Commission (CQC) (2023) </w:t>
      </w:r>
      <w:r w:rsidRPr="005B4D6A">
        <w:rPr>
          <w:rFonts w:ascii="Arial" w:hAnsi="Arial" w:cs="Arial"/>
          <w:i/>
          <w:iCs/>
          <w:sz w:val="22"/>
        </w:rPr>
        <w:t>The state of health care and adult social care in England 2022/23</w:t>
      </w:r>
      <w:r w:rsidRPr="00F647B7">
        <w:rPr>
          <w:rFonts w:ascii="Arial" w:hAnsi="Arial" w:cs="Arial"/>
          <w:sz w:val="22"/>
        </w:rPr>
        <w:t xml:space="preserve">. Available at: </w:t>
      </w:r>
      <w:hyperlink r:id="rId12" w:history="1">
        <w:r w:rsidRPr="005B4D6A">
          <w:rPr>
            <w:rStyle w:val="Hyperlink"/>
            <w:rFonts w:ascii="Arial" w:hAnsi="Arial" w:cs="Arial"/>
            <w:i/>
            <w:iCs/>
            <w:sz w:val="22"/>
          </w:rPr>
          <w:t>https://www.cqc.org.uk</w:t>
        </w:r>
      </w:hyperlink>
      <w:r w:rsidRPr="00F647B7">
        <w:rPr>
          <w:rFonts w:ascii="Arial" w:hAnsi="Arial" w:cs="Arial"/>
          <w:sz w:val="22"/>
        </w:rPr>
        <w:t xml:space="preserve"> (Accessed: 11 April 2026</w:t>
      </w:r>
      <w:r w:rsidR="005B4D6A" w:rsidRPr="00F647B7">
        <w:rPr>
          <w:rFonts w:ascii="Arial" w:hAnsi="Arial" w:cs="Arial"/>
          <w:sz w:val="22"/>
        </w:rPr>
        <w:t>). Health</w:t>
      </w:r>
      <w:r w:rsidRPr="00F647B7">
        <w:rPr>
          <w:rFonts w:ascii="Arial" w:hAnsi="Arial" w:cs="Arial"/>
          <w:sz w:val="22"/>
        </w:rPr>
        <w:t xml:space="preserve"> and Care Professions Council (HCPC) (2024) Standards of proficiency: healthcare assistants. London: HCPC.</w:t>
      </w:r>
    </w:p>
    <w:p w14:paraId="5C992331" w14:textId="77777777"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NHS England (2023) </w:t>
      </w:r>
      <w:r w:rsidRPr="005B4D6A">
        <w:rPr>
          <w:rFonts w:ascii="Arial" w:hAnsi="Arial" w:cs="Arial"/>
          <w:i/>
          <w:iCs/>
          <w:sz w:val="22"/>
        </w:rPr>
        <w:t>The NHS Patient Safety Strategy</w:t>
      </w:r>
      <w:r w:rsidRPr="00F647B7">
        <w:rPr>
          <w:rFonts w:ascii="Arial" w:hAnsi="Arial" w:cs="Arial"/>
          <w:sz w:val="22"/>
        </w:rPr>
        <w:t>: Delivering a safer NHS. London: NHS England.</w:t>
      </w:r>
    </w:p>
    <w:p w14:paraId="55527985" w14:textId="412BB77A"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NHS Health Careers (2024) </w:t>
      </w:r>
      <w:r w:rsidRPr="005B4D6A">
        <w:rPr>
          <w:rFonts w:ascii="Arial" w:hAnsi="Arial" w:cs="Arial"/>
          <w:i/>
          <w:iCs/>
          <w:sz w:val="22"/>
        </w:rPr>
        <w:t>Healthcare Assistant role description</w:t>
      </w:r>
      <w:r w:rsidRPr="00F647B7">
        <w:rPr>
          <w:rFonts w:ascii="Arial" w:hAnsi="Arial" w:cs="Arial"/>
          <w:sz w:val="22"/>
        </w:rPr>
        <w:t xml:space="preserve">. Available at: </w:t>
      </w:r>
      <w:hyperlink r:id="rId13" w:history="1">
        <w:r w:rsidRPr="005B4D6A">
          <w:rPr>
            <w:rStyle w:val="Hyperlink"/>
            <w:rFonts w:ascii="Arial" w:hAnsi="Arial" w:cs="Arial"/>
            <w:sz w:val="22"/>
          </w:rPr>
          <w:t>https://www.healthcareers.nhs.uk</w:t>
        </w:r>
      </w:hyperlink>
      <w:r w:rsidRPr="00F647B7">
        <w:rPr>
          <w:rFonts w:ascii="Arial" w:hAnsi="Arial" w:cs="Arial"/>
          <w:sz w:val="22"/>
        </w:rPr>
        <w:t xml:space="preserve"> (Accessed: 13 April 2026).</w:t>
      </w:r>
    </w:p>
    <w:p w14:paraId="7BE3F7A6" w14:textId="0BBE11E7"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Royal College of Nursing (RCN) (2023) </w:t>
      </w:r>
      <w:r w:rsidRPr="005B4D6A">
        <w:rPr>
          <w:rFonts w:ascii="Arial" w:hAnsi="Arial" w:cs="Arial"/>
          <w:i/>
          <w:iCs/>
          <w:sz w:val="22"/>
        </w:rPr>
        <w:t>Standards for infusion therapy</w:t>
      </w:r>
      <w:r w:rsidRPr="00F647B7">
        <w:rPr>
          <w:rFonts w:ascii="Arial" w:hAnsi="Arial" w:cs="Arial"/>
          <w:sz w:val="22"/>
        </w:rPr>
        <w:t>. 4th edn. London: RCN.</w:t>
      </w:r>
    </w:p>
    <w:p w14:paraId="6B62CCBA" w14:textId="5CA5E531"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Skills for Care (2023) </w:t>
      </w:r>
      <w:r w:rsidRPr="005B4D6A">
        <w:rPr>
          <w:rFonts w:ascii="Arial" w:hAnsi="Arial" w:cs="Arial"/>
          <w:i/>
          <w:iCs/>
          <w:sz w:val="22"/>
        </w:rPr>
        <w:t>The Care Certificate framework</w:t>
      </w:r>
      <w:r w:rsidRPr="00F647B7">
        <w:rPr>
          <w:rFonts w:ascii="Arial" w:hAnsi="Arial" w:cs="Arial"/>
          <w:sz w:val="22"/>
        </w:rPr>
        <w:t xml:space="preserve">. Leeds: Skills for Care. </w:t>
      </w:r>
    </w:p>
    <w:p w14:paraId="4854DFC0" w14:textId="79664771" w:rsidR="00EA7952" w:rsidRPr="00F647B7" w:rsidRDefault="00EA7952" w:rsidP="00F647B7">
      <w:pPr>
        <w:pStyle w:val="ListParagraph"/>
        <w:numPr>
          <w:ilvl w:val="0"/>
          <w:numId w:val="34"/>
        </w:numPr>
        <w:spacing w:line="360" w:lineRule="auto"/>
        <w:jc w:val="both"/>
        <w:rPr>
          <w:rFonts w:ascii="Arial" w:hAnsi="Arial" w:cs="Arial"/>
          <w:sz w:val="22"/>
        </w:rPr>
      </w:pPr>
      <w:r w:rsidRPr="00F647B7">
        <w:rPr>
          <w:rFonts w:ascii="Arial" w:hAnsi="Arial" w:cs="Arial"/>
          <w:sz w:val="22"/>
        </w:rPr>
        <w:t xml:space="preserve">Social Care Institute for Excellence (SCIE) (2022) </w:t>
      </w:r>
      <w:r w:rsidRPr="005B4D6A">
        <w:rPr>
          <w:rFonts w:ascii="Arial" w:hAnsi="Arial" w:cs="Arial"/>
          <w:i/>
          <w:iCs/>
          <w:sz w:val="22"/>
        </w:rPr>
        <w:t>Safeguarding adults</w:t>
      </w:r>
      <w:r w:rsidRPr="00F647B7">
        <w:rPr>
          <w:rFonts w:ascii="Arial" w:hAnsi="Arial" w:cs="Arial"/>
          <w:sz w:val="22"/>
        </w:rPr>
        <w:t xml:space="preserve">: sharing information. Available at: </w:t>
      </w:r>
      <w:hyperlink r:id="rId14" w:history="1">
        <w:r w:rsidRPr="005B4D6A">
          <w:rPr>
            <w:rStyle w:val="Hyperlink"/>
            <w:rFonts w:ascii="Arial" w:hAnsi="Arial" w:cs="Arial"/>
            <w:sz w:val="22"/>
          </w:rPr>
          <w:t>https://www.scie.org.uk</w:t>
        </w:r>
      </w:hyperlink>
      <w:r w:rsidRPr="00F647B7">
        <w:rPr>
          <w:rFonts w:ascii="Arial" w:hAnsi="Arial" w:cs="Arial"/>
          <w:sz w:val="22"/>
        </w:rPr>
        <w:t xml:space="preserve"> (Accessed: 14 April 2026).</w:t>
      </w:r>
    </w:p>
    <w:p w14:paraId="1D0F2D59" w14:textId="04FD5966" w:rsidR="004552CE" w:rsidRPr="005E44B5" w:rsidRDefault="004552CE" w:rsidP="005E44B5">
      <w:pPr>
        <w:rPr>
          <w:color w:val="FF0000"/>
        </w:rPr>
      </w:pPr>
    </w:p>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B1F439" w14:textId="77777777" w:rsidR="008D1CE2" w:rsidRDefault="008D1CE2" w:rsidP="003C7C97">
      <w:pPr>
        <w:spacing w:after="0" w:line="240" w:lineRule="auto"/>
      </w:pPr>
      <w:r>
        <w:separator/>
      </w:r>
    </w:p>
  </w:endnote>
  <w:endnote w:type="continuationSeparator" w:id="0">
    <w:p w14:paraId="2FE8A327" w14:textId="77777777" w:rsidR="008D1CE2" w:rsidRDefault="008D1CE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BFBFD" w14:textId="77777777" w:rsidR="008D1CE2" w:rsidRDefault="008D1CE2" w:rsidP="003C7C97">
      <w:pPr>
        <w:spacing w:after="0" w:line="240" w:lineRule="auto"/>
      </w:pPr>
      <w:r>
        <w:separator/>
      </w:r>
    </w:p>
  </w:footnote>
  <w:footnote w:type="continuationSeparator" w:id="0">
    <w:p w14:paraId="212D2F8C" w14:textId="77777777" w:rsidR="008D1CE2" w:rsidRDefault="008D1CE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1946740"/>
    <w:lvl w:ilvl="0" w:tplc="6AF22AB2">
      <w:start w:val="1"/>
      <w:numFmt w:val="bullet"/>
      <w:lvlText w:val=""/>
      <w:lvlJc w:val="left"/>
      <w:pPr>
        <w:ind w:left="720" w:hanging="360"/>
      </w:pPr>
      <w:rPr>
        <w:rFonts w:ascii="Symbol" w:hAnsi="Symbol" w:hint="default"/>
      </w:rPr>
    </w:lvl>
    <w:lvl w:ilvl="1" w:tplc="4C6E9C94">
      <w:start w:val="1"/>
      <w:numFmt w:val="bullet"/>
      <w:lvlText w:val="o"/>
      <w:lvlJc w:val="left"/>
      <w:pPr>
        <w:ind w:left="1440" w:hanging="360"/>
      </w:pPr>
      <w:rPr>
        <w:rFonts w:ascii="Courier New" w:hAnsi="Courier New" w:hint="default"/>
      </w:rPr>
    </w:lvl>
    <w:lvl w:ilvl="2" w:tplc="6D54BC7C">
      <w:start w:val="1"/>
      <w:numFmt w:val="bullet"/>
      <w:lvlText w:val=""/>
      <w:lvlJc w:val="left"/>
      <w:pPr>
        <w:ind w:left="2160" w:hanging="360"/>
      </w:pPr>
      <w:rPr>
        <w:rFonts w:ascii="Wingdings" w:hAnsi="Wingdings" w:hint="default"/>
      </w:rPr>
    </w:lvl>
    <w:lvl w:ilvl="3" w:tplc="901AC5AE">
      <w:start w:val="1"/>
      <w:numFmt w:val="bullet"/>
      <w:lvlText w:val=""/>
      <w:lvlJc w:val="left"/>
      <w:pPr>
        <w:ind w:left="2880" w:hanging="360"/>
      </w:pPr>
      <w:rPr>
        <w:rFonts w:ascii="Symbol" w:hAnsi="Symbol" w:hint="default"/>
      </w:rPr>
    </w:lvl>
    <w:lvl w:ilvl="4" w:tplc="4B86BA58">
      <w:start w:val="1"/>
      <w:numFmt w:val="bullet"/>
      <w:lvlText w:val="o"/>
      <w:lvlJc w:val="left"/>
      <w:pPr>
        <w:ind w:left="3600" w:hanging="360"/>
      </w:pPr>
      <w:rPr>
        <w:rFonts w:ascii="Courier New" w:hAnsi="Courier New" w:hint="default"/>
      </w:rPr>
    </w:lvl>
    <w:lvl w:ilvl="5" w:tplc="74847A64">
      <w:start w:val="1"/>
      <w:numFmt w:val="bullet"/>
      <w:lvlText w:val=""/>
      <w:lvlJc w:val="left"/>
      <w:pPr>
        <w:ind w:left="4320" w:hanging="360"/>
      </w:pPr>
      <w:rPr>
        <w:rFonts w:ascii="Wingdings" w:hAnsi="Wingdings" w:hint="default"/>
      </w:rPr>
    </w:lvl>
    <w:lvl w:ilvl="6" w:tplc="AA806428">
      <w:start w:val="1"/>
      <w:numFmt w:val="bullet"/>
      <w:lvlText w:val=""/>
      <w:lvlJc w:val="left"/>
      <w:pPr>
        <w:ind w:left="5040" w:hanging="360"/>
      </w:pPr>
      <w:rPr>
        <w:rFonts w:ascii="Symbol" w:hAnsi="Symbol" w:hint="default"/>
      </w:rPr>
    </w:lvl>
    <w:lvl w:ilvl="7" w:tplc="AB601EB6">
      <w:start w:val="1"/>
      <w:numFmt w:val="bullet"/>
      <w:lvlText w:val="o"/>
      <w:lvlJc w:val="left"/>
      <w:pPr>
        <w:ind w:left="5760" w:hanging="360"/>
      </w:pPr>
      <w:rPr>
        <w:rFonts w:ascii="Courier New" w:hAnsi="Courier New" w:hint="default"/>
      </w:rPr>
    </w:lvl>
    <w:lvl w:ilvl="8" w:tplc="8C74D03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3320978"/>
    <w:lvl w:ilvl="0" w:tplc="A3683842">
      <w:start w:val="1"/>
      <w:numFmt w:val="bullet"/>
      <w:lvlText w:val=""/>
      <w:lvlJc w:val="left"/>
      <w:pPr>
        <w:ind w:left="720" w:hanging="360"/>
      </w:pPr>
      <w:rPr>
        <w:rFonts w:ascii="Symbol" w:hAnsi="Symbol" w:hint="default"/>
      </w:rPr>
    </w:lvl>
    <w:lvl w:ilvl="1" w:tplc="88640C6C">
      <w:start w:val="1"/>
      <w:numFmt w:val="bullet"/>
      <w:lvlText w:val="o"/>
      <w:lvlJc w:val="left"/>
      <w:pPr>
        <w:ind w:left="1440" w:hanging="360"/>
      </w:pPr>
      <w:rPr>
        <w:rFonts w:ascii="Courier New" w:hAnsi="Courier New" w:hint="default"/>
      </w:rPr>
    </w:lvl>
    <w:lvl w:ilvl="2" w:tplc="C97414BA">
      <w:start w:val="1"/>
      <w:numFmt w:val="bullet"/>
      <w:lvlText w:val=""/>
      <w:lvlJc w:val="left"/>
      <w:pPr>
        <w:ind w:left="2160" w:hanging="360"/>
      </w:pPr>
      <w:rPr>
        <w:rFonts w:ascii="Wingdings" w:hAnsi="Wingdings" w:hint="default"/>
      </w:rPr>
    </w:lvl>
    <w:lvl w:ilvl="3" w:tplc="9C18AA7A">
      <w:start w:val="1"/>
      <w:numFmt w:val="bullet"/>
      <w:lvlText w:val=""/>
      <w:lvlJc w:val="left"/>
      <w:pPr>
        <w:ind w:left="2880" w:hanging="360"/>
      </w:pPr>
      <w:rPr>
        <w:rFonts w:ascii="Symbol" w:hAnsi="Symbol" w:hint="default"/>
      </w:rPr>
    </w:lvl>
    <w:lvl w:ilvl="4" w:tplc="9700483E">
      <w:start w:val="1"/>
      <w:numFmt w:val="bullet"/>
      <w:lvlText w:val="o"/>
      <w:lvlJc w:val="left"/>
      <w:pPr>
        <w:ind w:left="3600" w:hanging="360"/>
      </w:pPr>
      <w:rPr>
        <w:rFonts w:ascii="Courier New" w:hAnsi="Courier New" w:hint="default"/>
      </w:rPr>
    </w:lvl>
    <w:lvl w:ilvl="5" w:tplc="D9E4C05E">
      <w:start w:val="1"/>
      <w:numFmt w:val="bullet"/>
      <w:lvlText w:val=""/>
      <w:lvlJc w:val="left"/>
      <w:pPr>
        <w:ind w:left="4320" w:hanging="360"/>
      </w:pPr>
      <w:rPr>
        <w:rFonts w:ascii="Wingdings" w:hAnsi="Wingdings" w:hint="default"/>
      </w:rPr>
    </w:lvl>
    <w:lvl w:ilvl="6" w:tplc="4F281562">
      <w:start w:val="1"/>
      <w:numFmt w:val="bullet"/>
      <w:lvlText w:val=""/>
      <w:lvlJc w:val="left"/>
      <w:pPr>
        <w:ind w:left="5040" w:hanging="360"/>
      </w:pPr>
      <w:rPr>
        <w:rFonts w:ascii="Symbol" w:hAnsi="Symbol" w:hint="default"/>
      </w:rPr>
    </w:lvl>
    <w:lvl w:ilvl="7" w:tplc="92F44666">
      <w:start w:val="1"/>
      <w:numFmt w:val="bullet"/>
      <w:lvlText w:val="o"/>
      <w:lvlJc w:val="left"/>
      <w:pPr>
        <w:ind w:left="5760" w:hanging="360"/>
      </w:pPr>
      <w:rPr>
        <w:rFonts w:ascii="Courier New" w:hAnsi="Courier New" w:hint="default"/>
      </w:rPr>
    </w:lvl>
    <w:lvl w:ilvl="8" w:tplc="086C913A">
      <w:start w:val="1"/>
      <w:numFmt w:val="bullet"/>
      <w:lvlText w:val=""/>
      <w:lvlJc w:val="left"/>
      <w:pPr>
        <w:ind w:left="6480" w:hanging="360"/>
      </w:pPr>
      <w:rPr>
        <w:rFonts w:ascii="Wingdings" w:hAnsi="Wingdings" w:hint="default"/>
      </w:rPr>
    </w:lvl>
  </w:abstractNum>
  <w:abstractNum w:abstractNumId="4" w15:restartNumberingAfterBreak="0">
    <w:nsid w:val="0B6676AA"/>
    <w:multiLevelType w:val="hybridMultilevel"/>
    <w:tmpl w:val="43BE57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91AE4802"/>
    <w:lvl w:ilvl="0" w:tplc="F0A2116A">
      <w:start w:val="1"/>
      <w:numFmt w:val="bullet"/>
      <w:lvlText w:val=""/>
      <w:lvlJc w:val="left"/>
      <w:pPr>
        <w:ind w:left="720" w:hanging="360"/>
      </w:pPr>
      <w:rPr>
        <w:rFonts w:ascii="Symbol" w:hAnsi="Symbol" w:hint="default"/>
      </w:rPr>
    </w:lvl>
    <w:lvl w:ilvl="1" w:tplc="55B43146">
      <w:start w:val="1"/>
      <w:numFmt w:val="bullet"/>
      <w:lvlText w:val="o"/>
      <w:lvlJc w:val="left"/>
      <w:pPr>
        <w:ind w:left="1440" w:hanging="360"/>
      </w:pPr>
      <w:rPr>
        <w:rFonts w:ascii="Courier New" w:hAnsi="Courier New" w:hint="default"/>
      </w:rPr>
    </w:lvl>
    <w:lvl w:ilvl="2" w:tplc="ACA4A334">
      <w:start w:val="1"/>
      <w:numFmt w:val="bullet"/>
      <w:lvlText w:val=""/>
      <w:lvlJc w:val="left"/>
      <w:pPr>
        <w:ind w:left="2160" w:hanging="360"/>
      </w:pPr>
      <w:rPr>
        <w:rFonts w:ascii="Wingdings" w:hAnsi="Wingdings" w:hint="default"/>
      </w:rPr>
    </w:lvl>
    <w:lvl w:ilvl="3" w:tplc="AE16ED20">
      <w:start w:val="1"/>
      <w:numFmt w:val="bullet"/>
      <w:lvlText w:val=""/>
      <w:lvlJc w:val="left"/>
      <w:pPr>
        <w:ind w:left="2880" w:hanging="360"/>
      </w:pPr>
      <w:rPr>
        <w:rFonts w:ascii="Symbol" w:hAnsi="Symbol" w:hint="default"/>
      </w:rPr>
    </w:lvl>
    <w:lvl w:ilvl="4" w:tplc="69544ADE">
      <w:start w:val="1"/>
      <w:numFmt w:val="bullet"/>
      <w:lvlText w:val="o"/>
      <w:lvlJc w:val="left"/>
      <w:pPr>
        <w:ind w:left="3600" w:hanging="360"/>
      </w:pPr>
      <w:rPr>
        <w:rFonts w:ascii="Courier New" w:hAnsi="Courier New" w:hint="default"/>
      </w:rPr>
    </w:lvl>
    <w:lvl w:ilvl="5" w:tplc="9F38C4C8">
      <w:start w:val="1"/>
      <w:numFmt w:val="bullet"/>
      <w:lvlText w:val=""/>
      <w:lvlJc w:val="left"/>
      <w:pPr>
        <w:ind w:left="4320" w:hanging="360"/>
      </w:pPr>
      <w:rPr>
        <w:rFonts w:ascii="Wingdings" w:hAnsi="Wingdings" w:hint="default"/>
      </w:rPr>
    </w:lvl>
    <w:lvl w:ilvl="6" w:tplc="BA980DA8">
      <w:start w:val="1"/>
      <w:numFmt w:val="bullet"/>
      <w:lvlText w:val=""/>
      <w:lvlJc w:val="left"/>
      <w:pPr>
        <w:ind w:left="5040" w:hanging="360"/>
      </w:pPr>
      <w:rPr>
        <w:rFonts w:ascii="Symbol" w:hAnsi="Symbol" w:hint="default"/>
      </w:rPr>
    </w:lvl>
    <w:lvl w:ilvl="7" w:tplc="5802B030">
      <w:start w:val="1"/>
      <w:numFmt w:val="bullet"/>
      <w:lvlText w:val="o"/>
      <w:lvlJc w:val="left"/>
      <w:pPr>
        <w:ind w:left="5760" w:hanging="360"/>
      </w:pPr>
      <w:rPr>
        <w:rFonts w:ascii="Courier New" w:hAnsi="Courier New" w:hint="default"/>
      </w:rPr>
    </w:lvl>
    <w:lvl w:ilvl="8" w:tplc="CB52C216">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9938A61A"/>
    <w:lvl w:ilvl="0" w:tplc="CABE84EC">
      <w:start w:val="1"/>
      <w:numFmt w:val="bullet"/>
      <w:lvlText w:val=""/>
      <w:lvlJc w:val="left"/>
      <w:pPr>
        <w:ind w:left="720" w:hanging="360"/>
      </w:pPr>
      <w:rPr>
        <w:rFonts w:ascii="Symbol" w:hAnsi="Symbol" w:hint="default"/>
      </w:rPr>
    </w:lvl>
    <w:lvl w:ilvl="1" w:tplc="D67AA724">
      <w:start w:val="1"/>
      <w:numFmt w:val="bullet"/>
      <w:lvlText w:val="o"/>
      <w:lvlJc w:val="left"/>
      <w:pPr>
        <w:ind w:left="1440" w:hanging="360"/>
      </w:pPr>
      <w:rPr>
        <w:rFonts w:ascii="Courier New" w:hAnsi="Courier New" w:hint="default"/>
      </w:rPr>
    </w:lvl>
    <w:lvl w:ilvl="2" w:tplc="A3A2207E">
      <w:start w:val="1"/>
      <w:numFmt w:val="bullet"/>
      <w:lvlText w:val=""/>
      <w:lvlJc w:val="left"/>
      <w:pPr>
        <w:ind w:left="2160" w:hanging="360"/>
      </w:pPr>
      <w:rPr>
        <w:rFonts w:ascii="Wingdings" w:hAnsi="Wingdings" w:hint="default"/>
      </w:rPr>
    </w:lvl>
    <w:lvl w:ilvl="3" w:tplc="D00E2760">
      <w:start w:val="1"/>
      <w:numFmt w:val="bullet"/>
      <w:lvlText w:val=""/>
      <w:lvlJc w:val="left"/>
      <w:pPr>
        <w:ind w:left="2880" w:hanging="360"/>
      </w:pPr>
      <w:rPr>
        <w:rFonts w:ascii="Symbol" w:hAnsi="Symbol" w:hint="default"/>
      </w:rPr>
    </w:lvl>
    <w:lvl w:ilvl="4" w:tplc="D9B6DB76">
      <w:start w:val="1"/>
      <w:numFmt w:val="bullet"/>
      <w:lvlText w:val="o"/>
      <w:lvlJc w:val="left"/>
      <w:pPr>
        <w:ind w:left="3600" w:hanging="360"/>
      </w:pPr>
      <w:rPr>
        <w:rFonts w:ascii="Courier New" w:hAnsi="Courier New" w:hint="default"/>
      </w:rPr>
    </w:lvl>
    <w:lvl w:ilvl="5" w:tplc="FCD2BAB6">
      <w:start w:val="1"/>
      <w:numFmt w:val="bullet"/>
      <w:lvlText w:val=""/>
      <w:lvlJc w:val="left"/>
      <w:pPr>
        <w:ind w:left="4320" w:hanging="360"/>
      </w:pPr>
      <w:rPr>
        <w:rFonts w:ascii="Wingdings" w:hAnsi="Wingdings" w:hint="default"/>
      </w:rPr>
    </w:lvl>
    <w:lvl w:ilvl="6" w:tplc="585E6876">
      <w:start w:val="1"/>
      <w:numFmt w:val="bullet"/>
      <w:lvlText w:val=""/>
      <w:lvlJc w:val="left"/>
      <w:pPr>
        <w:ind w:left="5040" w:hanging="360"/>
      </w:pPr>
      <w:rPr>
        <w:rFonts w:ascii="Symbol" w:hAnsi="Symbol" w:hint="default"/>
      </w:rPr>
    </w:lvl>
    <w:lvl w:ilvl="7" w:tplc="F0382952">
      <w:start w:val="1"/>
      <w:numFmt w:val="bullet"/>
      <w:lvlText w:val="o"/>
      <w:lvlJc w:val="left"/>
      <w:pPr>
        <w:ind w:left="5760" w:hanging="360"/>
      </w:pPr>
      <w:rPr>
        <w:rFonts w:ascii="Courier New" w:hAnsi="Courier New" w:hint="default"/>
      </w:rPr>
    </w:lvl>
    <w:lvl w:ilvl="8" w:tplc="809200DC">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54DE5D86"/>
    <w:lvl w:ilvl="0" w:tplc="3684BB4C">
      <w:start w:val="1"/>
      <w:numFmt w:val="bullet"/>
      <w:lvlText w:val=""/>
      <w:lvlJc w:val="left"/>
      <w:pPr>
        <w:ind w:left="720" w:hanging="360"/>
      </w:pPr>
      <w:rPr>
        <w:rFonts w:ascii="Symbol" w:hAnsi="Symbol" w:hint="default"/>
      </w:rPr>
    </w:lvl>
    <w:lvl w:ilvl="1" w:tplc="CC962916">
      <w:start w:val="1"/>
      <w:numFmt w:val="bullet"/>
      <w:lvlText w:val="o"/>
      <w:lvlJc w:val="left"/>
      <w:pPr>
        <w:ind w:left="1440" w:hanging="360"/>
      </w:pPr>
      <w:rPr>
        <w:rFonts w:ascii="Courier New" w:hAnsi="Courier New" w:hint="default"/>
      </w:rPr>
    </w:lvl>
    <w:lvl w:ilvl="2" w:tplc="93F6ADDC">
      <w:start w:val="1"/>
      <w:numFmt w:val="bullet"/>
      <w:lvlText w:val=""/>
      <w:lvlJc w:val="left"/>
      <w:pPr>
        <w:ind w:left="2160" w:hanging="360"/>
      </w:pPr>
      <w:rPr>
        <w:rFonts w:ascii="Wingdings" w:hAnsi="Wingdings" w:hint="default"/>
      </w:rPr>
    </w:lvl>
    <w:lvl w:ilvl="3" w:tplc="6BF4D550">
      <w:start w:val="1"/>
      <w:numFmt w:val="bullet"/>
      <w:lvlText w:val=""/>
      <w:lvlJc w:val="left"/>
      <w:pPr>
        <w:ind w:left="2880" w:hanging="360"/>
      </w:pPr>
      <w:rPr>
        <w:rFonts w:ascii="Symbol" w:hAnsi="Symbol" w:hint="default"/>
      </w:rPr>
    </w:lvl>
    <w:lvl w:ilvl="4" w:tplc="0046C46E">
      <w:start w:val="1"/>
      <w:numFmt w:val="bullet"/>
      <w:lvlText w:val="o"/>
      <w:lvlJc w:val="left"/>
      <w:pPr>
        <w:ind w:left="3600" w:hanging="360"/>
      </w:pPr>
      <w:rPr>
        <w:rFonts w:ascii="Courier New" w:hAnsi="Courier New" w:hint="default"/>
      </w:rPr>
    </w:lvl>
    <w:lvl w:ilvl="5" w:tplc="655E3A54">
      <w:start w:val="1"/>
      <w:numFmt w:val="bullet"/>
      <w:lvlText w:val=""/>
      <w:lvlJc w:val="left"/>
      <w:pPr>
        <w:ind w:left="4320" w:hanging="360"/>
      </w:pPr>
      <w:rPr>
        <w:rFonts w:ascii="Wingdings" w:hAnsi="Wingdings" w:hint="default"/>
      </w:rPr>
    </w:lvl>
    <w:lvl w:ilvl="6" w:tplc="146CDEBA">
      <w:start w:val="1"/>
      <w:numFmt w:val="bullet"/>
      <w:lvlText w:val=""/>
      <w:lvlJc w:val="left"/>
      <w:pPr>
        <w:ind w:left="5040" w:hanging="360"/>
      </w:pPr>
      <w:rPr>
        <w:rFonts w:ascii="Symbol" w:hAnsi="Symbol" w:hint="default"/>
      </w:rPr>
    </w:lvl>
    <w:lvl w:ilvl="7" w:tplc="408A748C">
      <w:start w:val="1"/>
      <w:numFmt w:val="bullet"/>
      <w:lvlText w:val="o"/>
      <w:lvlJc w:val="left"/>
      <w:pPr>
        <w:ind w:left="5760" w:hanging="360"/>
      </w:pPr>
      <w:rPr>
        <w:rFonts w:ascii="Courier New" w:hAnsi="Courier New" w:hint="default"/>
      </w:rPr>
    </w:lvl>
    <w:lvl w:ilvl="8" w:tplc="92A4464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625D39"/>
    <w:multiLevelType w:val="multilevel"/>
    <w:tmpl w:val="877C3408"/>
    <w:lvl w:ilvl="0">
      <w:start w:val="1"/>
      <w:numFmt w:val="decimal"/>
      <w:lvlText w:val="%1"/>
      <w:lvlJc w:val="left"/>
      <w:pPr>
        <w:ind w:left="440" w:hanging="440"/>
      </w:pPr>
      <w:rPr>
        <w:rFonts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8302616C"/>
    <w:lvl w:ilvl="0" w:tplc="F9CCA6A2">
      <w:start w:val="1"/>
      <w:numFmt w:val="bullet"/>
      <w:lvlText w:val=""/>
      <w:lvlJc w:val="left"/>
      <w:pPr>
        <w:ind w:left="720" w:hanging="360"/>
      </w:pPr>
      <w:rPr>
        <w:rFonts w:ascii="Symbol" w:hAnsi="Symbol" w:hint="default"/>
      </w:rPr>
    </w:lvl>
    <w:lvl w:ilvl="1" w:tplc="1F3EF46C">
      <w:start w:val="1"/>
      <w:numFmt w:val="bullet"/>
      <w:lvlText w:val="o"/>
      <w:lvlJc w:val="left"/>
      <w:pPr>
        <w:ind w:left="1440" w:hanging="360"/>
      </w:pPr>
      <w:rPr>
        <w:rFonts w:ascii="Courier New" w:hAnsi="Courier New" w:hint="default"/>
      </w:rPr>
    </w:lvl>
    <w:lvl w:ilvl="2" w:tplc="8FB6A0F2">
      <w:start w:val="1"/>
      <w:numFmt w:val="bullet"/>
      <w:lvlText w:val=""/>
      <w:lvlJc w:val="left"/>
      <w:pPr>
        <w:ind w:left="2160" w:hanging="360"/>
      </w:pPr>
      <w:rPr>
        <w:rFonts w:ascii="Wingdings" w:hAnsi="Wingdings" w:hint="default"/>
      </w:rPr>
    </w:lvl>
    <w:lvl w:ilvl="3" w:tplc="F052F99E">
      <w:start w:val="1"/>
      <w:numFmt w:val="bullet"/>
      <w:lvlText w:val=""/>
      <w:lvlJc w:val="left"/>
      <w:pPr>
        <w:ind w:left="2880" w:hanging="360"/>
      </w:pPr>
      <w:rPr>
        <w:rFonts w:ascii="Symbol" w:hAnsi="Symbol" w:hint="default"/>
      </w:rPr>
    </w:lvl>
    <w:lvl w:ilvl="4" w:tplc="DF706A1A">
      <w:start w:val="1"/>
      <w:numFmt w:val="bullet"/>
      <w:lvlText w:val="o"/>
      <w:lvlJc w:val="left"/>
      <w:pPr>
        <w:ind w:left="3600" w:hanging="360"/>
      </w:pPr>
      <w:rPr>
        <w:rFonts w:ascii="Courier New" w:hAnsi="Courier New" w:hint="default"/>
      </w:rPr>
    </w:lvl>
    <w:lvl w:ilvl="5" w:tplc="07106074">
      <w:start w:val="1"/>
      <w:numFmt w:val="bullet"/>
      <w:lvlText w:val=""/>
      <w:lvlJc w:val="left"/>
      <w:pPr>
        <w:ind w:left="4320" w:hanging="360"/>
      </w:pPr>
      <w:rPr>
        <w:rFonts w:ascii="Wingdings" w:hAnsi="Wingdings" w:hint="default"/>
      </w:rPr>
    </w:lvl>
    <w:lvl w:ilvl="6" w:tplc="A0927A46">
      <w:start w:val="1"/>
      <w:numFmt w:val="bullet"/>
      <w:lvlText w:val=""/>
      <w:lvlJc w:val="left"/>
      <w:pPr>
        <w:ind w:left="5040" w:hanging="360"/>
      </w:pPr>
      <w:rPr>
        <w:rFonts w:ascii="Symbol" w:hAnsi="Symbol" w:hint="default"/>
      </w:rPr>
    </w:lvl>
    <w:lvl w:ilvl="7" w:tplc="403475F0">
      <w:start w:val="1"/>
      <w:numFmt w:val="bullet"/>
      <w:lvlText w:val="o"/>
      <w:lvlJc w:val="left"/>
      <w:pPr>
        <w:ind w:left="5760" w:hanging="360"/>
      </w:pPr>
      <w:rPr>
        <w:rFonts w:ascii="Courier New" w:hAnsi="Courier New" w:hint="default"/>
      </w:rPr>
    </w:lvl>
    <w:lvl w:ilvl="8" w:tplc="0A1E5ED0">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002335">
    <w:abstractNumId w:val="12"/>
  </w:num>
  <w:num w:numId="2" w16cid:durableId="363868508">
    <w:abstractNumId w:val="13"/>
  </w:num>
  <w:num w:numId="3" w16cid:durableId="1631858377">
    <w:abstractNumId w:val="1"/>
  </w:num>
  <w:num w:numId="4" w16cid:durableId="618684914">
    <w:abstractNumId w:val="3"/>
  </w:num>
  <w:num w:numId="5" w16cid:durableId="240061506">
    <w:abstractNumId w:val="16"/>
  </w:num>
  <w:num w:numId="6" w16cid:durableId="679619744">
    <w:abstractNumId w:val="25"/>
  </w:num>
  <w:num w:numId="7" w16cid:durableId="52895227">
    <w:abstractNumId w:val="9"/>
  </w:num>
  <w:num w:numId="8" w16cid:durableId="351032333">
    <w:abstractNumId w:val="2"/>
  </w:num>
  <w:num w:numId="9" w16cid:durableId="1067413603">
    <w:abstractNumId w:val="14"/>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2"/>
  </w:num>
  <w:num w:numId="20" w16cid:durableId="1957908719">
    <w:abstractNumId w:val="11"/>
  </w:num>
  <w:num w:numId="21" w16cid:durableId="1132019979">
    <w:abstractNumId w:val="5"/>
  </w:num>
  <w:num w:numId="22" w16cid:durableId="1457524365">
    <w:abstractNumId w:val="8"/>
  </w:num>
  <w:num w:numId="23" w16cid:durableId="1386294306">
    <w:abstractNumId w:val="31"/>
  </w:num>
  <w:num w:numId="24" w16cid:durableId="1838374920">
    <w:abstractNumId w:val="26"/>
  </w:num>
  <w:num w:numId="25" w16cid:durableId="1827044992">
    <w:abstractNumId w:val="10"/>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7"/>
  </w:num>
  <w:num w:numId="33" w16cid:durableId="1001156451">
    <w:abstractNumId w:val="20"/>
  </w:num>
  <w:num w:numId="34" w16cid:durableId="1969120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0FF1"/>
    <w:rsid w:val="0008238F"/>
    <w:rsid w:val="00082EC6"/>
    <w:rsid w:val="00085388"/>
    <w:rsid w:val="000A24D2"/>
    <w:rsid w:val="000D41DC"/>
    <w:rsid w:val="00125D37"/>
    <w:rsid w:val="00127C1A"/>
    <w:rsid w:val="00140A34"/>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55D80"/>
    <w:rsid w:val="00364C35"/>
    <w:rsid w:val="00370B0F"/>
    <w:rsid w:val="00393483"/>
    <w:rsid w:val="00396F60"/>
    <w:rsid w:val="003A51D6"/>
    <w:rsid w:val="003B125E"/>
    <w:rsid w:val="003B2A5E"/>
    <w:rsid w:val="003C7C97"/>
    <w:rsid w:val="00406B8D"/>
    <w:rsid w:val="00410068"/>
    <w:rsid w:val="0041618E"/>
    <w:rsid w:val="0042295C"/>
    <w:rsid w:val="00426EEC"/>
    <w:rsid w:val="004466C3"/>
    <w:rsid w:val="004552CE"/>
    <w:rsid w:val="00481FF7"/>
    <w:rsid w:val="004D6589"/>
    <w:rsid w:val="004E6F54"/>
    <w:rsid w:val="00500295"/>
    <w:rsid w:val="00501AAF"/>
    <w:rsid w:val="00527AFA"/>
    <w:rsid w:val="005419DA"/>
    <w:rsid w:val="005678AC"/>
    <w:rsid w:val="005679BD"/>
    <w:rsid w:val="005709B1"/>
    <w:rsid w:val="00572B3B"/>
    <w:rsid w:val="005836D2"/>
    <w:rsid w:val="0058645D"/>
    <w:rsid w:val="00587C58"/>
    <w:rsid w:val="005A7FD4"/>
    <w:rsid w:val="005B1A84"/>
    <w:rsid w:val="005B2BC9"/>
    <w:rsid w:val="005B3193"/>
    <w:rsid w:val="005B4D6A"/>
    <w:rsid w:val="005D1AF9"/>
    <w:rsid w:val="005D3F3B"/>
    <w:rsid w:val="005D5457"/>
    <w:rsid w:val="005E2699"/>
    <w:rsid w:val="005E44B5"/>
    <w:rsid w:val="00611826"/>
    <w:rsid w:val="00612DEA"/>
    <w:rsid w:val="00614572"/>
    <w:rsid w:val="006232DF"/>
    <w:rsid w:val="00631F2E"/>
    <w:rsid w:val="006457C0"/>
    <w:rsid w:val="00652BB7"/>
    <w:rsid w:val="00661758"/>
    <w:rsid w:val="00666A52"/>
    <w:rsid w:val="0067612C"/>
    <w:rsid w:val="00676FEB"/>
    <w:rsid w:val="00686C73"/>
    <w:rsid w:val="006912C4"/>
    <w:rsid w:val="006A2291"/>
    <w:rsid w:val="006A5CFC"/>
    <w:rsid w:val="006A6FFB"/>
    <w:rsid w:val="006C5138"/>
    <w:rsid w:val="006C689B"/>
    <w:rsid w:val="006E005C"/>
    <w:rsid w:val="006E6EE5"/>
    <w:rsid w:val="006F0029"/>
    <w:rsid w:val="007138EF"/>
    <w:rsid w:val="007632A9"/>
    <w:rsid w:val="00774092"/>
    <w:rsid w:val="00782830"/>
    <w:rsid w:val="0078664A"/>
    <w:rsid w:val="00797F88"/>
    <w:rsid w:val="007B0F6D"/>
    <w:rsid w:val="007C62C3"/>
    <w:rsid w:val="007D25AA"/>
    <w:rsid w:val="007F0873"/>
    <w:rsid w:val="00805726"/>
    <w:rsid w:val="00815117"/>
    <w:rsid w:val="00824CB1"/>
    <w:rsid w:val="008520F8"/>
    <w:rsid w:val="00855F34"/>
    <w:rsid w:val="008826B6"/>
    <w:rsid w:val="008B02B7"/>
    <w:rsid w:val="008B0B22"/>
    <w:rsid w:val="008C58B0"/>
    <w:rsid w:val="008C591B"/>
    <w:rsid w:val="008C6182"/>
    <w:rsid w:val="008D1CE2"/>
    <w:rsid w:val="0090779E"/>
    <w:rsid w:val="00926458"/>
    <w:rsid w:val="00933720"/>
    <w:rsid w:val="009564D7"/>
    <w:rsid w:val="00973FBF"/>
    <w:rsid w:val="009A65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51A12"/>
    <w:rsid w:val="00B81790"/>
    <w:rsid w:val="00B81BBC"/>
    <w:rsid w:val="00BD03D5"/>
    <w:rsid w:val="00C06234"/>
    <w:rsid w:val="00C166E0"/>
    <w:rsid w:val="00C22CA3"/>
    <w:rsid w:val="00C3215E"/>
    <w:rsid w:val="00C45272"/>
    <w:rsid w:val="00C47770"/>
    <w:rsid w:val="00C640E9"/>
    <w:rsid w:val="00C75856"/>
    <w:rsid w:val="00C85A7C"/>
    <w:rsid w:val="00C95214"/>
    <w:rsid w:val="00CC3C18"/>
    <w:rsid w:val="00CC3F59"/>
    <w:rsid w:val="00CD4774"/>
    <w:rsid w:val="00CE1732"/>
    <w:rsid w:val="00D10AAF"/>
    <w:rsid w:val="00D27540"/>
    <w:rsid w:val="00D4006B"/>
    <w:rsid w:val="00D40D7A"/>
    <w:rsid w:val="00D64A0D"/>
    <w:rsid w:val="00D676C3"/>
    <w:rsid w:val="00D750B4"/>
    <w:rsid w:val="00D81C18"/>
    <w:rsid w:val="00D8461A"/>
    <w:rsid w:val="00D9557A"/>
    <w:rsid w:val="00D95CAF"/>
    <w:rsid w:val="00DB16E6"/>
    <w:rsid w:val="00DB40FA"/>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A7952"/>
    <w:rsid w:val="00EC107C"/>
    <w:rsid w:val="00EC7EBE"/>
    <w:rsid w:val="00EC7FD2"/>
    <w:rsid w:val="00ED5964"/>
    <w:rsid w:val="00F1720B"/>
    <w:rsid w:val="00F36ADC"/>
    <w:rsid w:val="00F605C6"/>
    <w:rsid w:val="00F647B7"/>
    <w:rsid w:val="00F6785B"/>
    <w:rsid w:val="00F9012D"/>
    <w:rsid w:val="00F915D6"/>
    <w:rsid w:val="00FE52AF"/>
    <w:rsid w:val="00FF2B0A"/>
    <w:rsid w:val="00FF3967"/>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611826"/>
    <w:pPr>
      <w:tabs>
        <w:tab w:val="left" w:pos="660"/>
        <w:tab w:val="right" w:leader="dot" w:pos="9016"/>
      </w:tabs>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Style1">
    <w:name w:val="Style1"/>
    <w:basedOn w:val="Normal"/>
    <w:link w:val="Style1Char"/>
    <w:qFormat/>
    <w:rsid w:val="00FE52AF"/>
  </w:style>
  <w:style w:type="character" w:customStyle="1" w:styleId="Style1Char">
    <w:name w:val="Style1 Char"/>
    <w:basedOn w:val="DefaultParagraphFont"/>
    <w:link w:val="Style1"/>
    <w:rsid w:val="00FE52AF"/>
    <w:rPr>
      <w:rFonts w:ascii="Segoe UI" w:hAnsi="Segoe UI"/>
      <w:sz w:val="20"/>
    </w:rPr>
  </w:style>
  <w:style w:type="character" w:styleId="UnresolvedMention">
    <w:name w:val="Unresolved Mention"/>
    <w:basedOn w:val="DefaultParagraphFont"/>
    <w:uiPriority w:val="99"/>
    <w:semiHidden/>
    <w:unhideWhenUsed/>
    <w:rsid w:val="005B4D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careers.nhs.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qc.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3E21010F4412842A7801E7AF9F0F67E" ma:contentTypeVersion="5" ma:contentTypeDescription="Create a new document." ma:contentTypeScope="" ma:versionID="c5be5e8771f56f5000b82341cce4abc9">
  <xsd:schema xmlns:xsd="http://www.w3.org/2001/XMLSchema" xmlns:xs="http://www.w3.org/2001/XMLSchema" xmlns:p="http://schemas.microsoft.com/office/2006/metadata/properties" xmlns:ns3="6f5c9bb2-abcb-45ef-a70c-8db46bf99631" targetNamespace="http://schemas.microsoft.com/office/2006/metadata/properties" ma:root="true" ma:fieldsID="f59800eafcf80fc91036f5e33a5c767d" ns3:_="">
    <xsd:import namespace="6f5c9bb2-abcb-45ef-a70c-8db46bf996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5c9bb2-abcb-45ef-a70c-8db46bf996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f5c9bb2-abcb-45ef-a70c-8db46bf9963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680CF3-CE88-4EAA-AAE7-50FC3C45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5c9bb2-abcb-45ef-a70c-8db46bf99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5F44E178-CFFC-41D8-BAB7-6B726ACEF47C}">
  <ds:schemaRefs>
    <ds:schemaRef ds:uri="http://schemas.microsoft.com/office/2006/metadata/properties"/>
    <ds:schemaRef ds:uri="http://schemas.microsoft.com/office/infopath/2007/PartnerControls"/>
    <ds:schemaRef ds:uri="6f5c9bb2-abcb-45ef-a70c-8db46bf99631"/>
  </ds:schemaRefs>
</ds:datastoreItem>
</file>

<file path=customXml/itemProps4.xml><?xml version="1.0" encoding="utf-8"?>
<ds:datastoreItem xmlns:ds="http://schemas.openxmlformats.org/officeDocument/2006/customXml" ds:itemID="{B8A6B79B-E7EA-4412-A942-0624BC2E36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1667</Words>
  <Characters>9502</Characters>
  <Application>Microsoft Office Word</Application>
  <DocSecurity>0</DocSecurity>
  <Lines>79</Lines>
  <Paragraphs>22</Paragraphs>
  <ScaleCrop>false</ScaleCrop>
  <Company>University of Wales Trinity Saint David</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Marites Aguas Novenario (2530441)</cp:lastModifiedBy>
  <cp:revision>3</cp:revision>
  <dcterms:created xsi:type="dcterms:W3CDTF">2026-04-16T18:11:00Z</dcterms:created>
  <dcterms:modified xsi:type="dcterms:W3CDTF">2026-04-18T18:12:00Z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0x01010023E21010F4412842A7801E7AF9F0F67E</vt:lpwstr>
  </property>
</Properties>
</file>