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xmlns:wp14="http://schemas.microsoft.com/office/word/2010/wordml" w14:paraId="38156CCD" wp14:textId="5B4FBD63">
      <w:pPr>
        <w:pStyle w:val="Title"/>
      </w:pPr>
      <w:r w:rsidR="7BB6FCCE">
        <w:rPr/>
        <w:t xml:space="preserve">Unit 1 Land Law </w:t>
      </w:r>
      <w:r w:rsidR="7BB6FCCE">
        <w:rPr/>
        <w:t>-  Case</w:t>
      </w:r>
      <w:r w:rsidR="7BB6FCCE">
        <w:rPr/>
        <w:t xml:space="preserve"> Law Table</w:t>
      </w:r>
    </w:p>
    <w:p xmlns:wp14="http://schemas.microsoft.com/office/word/2010/wordml" w14:paraId="7D23324C" wp14:textId="55199857">
      <w:r w:rsidR="60995784">
        <w:rPr/>
        <w:t>Key cases are shown in bold.</w:t>
      </w:r>
      <w:r>
        <w:br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80"/>
        <w:gridCol w:w="2880"/>
        <w:gridCol w:w="2880"/>
      </w:tblGrid>
      <w:tr xmlns:wp14="http://schemas.microsoft.com/office/word/2010/wordml" w14:paraId="7E6B4A80" wp14:textId="77777777">
        <w:tc>
          <w:tcPr>
            <w:tcW w:w="2880" w:type="dxa"/>
          </w:tcPr>
          <w:p w14:paraId="33C75167" wp14:textId="77777777">
            <w:r>
              <w:t>Case</w:t>
            </w:r>
          </w:p>
        </w:tc>
        <w:tc>
          <w:tcPr>
            <w:tcW w:w="2880" w:type="dxa"/>
          </w:tcPr>
          <w:p w14:paraId="003FD89F" wp14:textId="77777777">
            <w:r>
              <w:t>Key Facts</w:t>
            </w:r>
          </w:p>
        </w:tc>
        <w:tc>
          <w:tcPr>
            <w:tcW w:w="2880" w:type="dxa"/>
          </w:tcPr>
          <w:p w14:paraId="6B6215E5" wp14:textId="77777777">
            <w:r>
              <w:t>Legal Principle</w:t>
            </w:r>
          </w:p>
        </w:tc>
      </w:tr>
      <w:tr xmlns:wp14="http://schemas.microsoft.com/office/word/2010/wordml" w14:paraId="57B32C59" wp14:textId="77777777">
        <w:tc>
          <w:tcPr>
            <w:tcW w:w="2880" w:type="dxa"/>
          </w:tcPr>
          <w:p w14:paraId="30B95D72" wp14:textId="77777777">
            <w:r>
              <w:rPr>
                <w:b/>
              </w:rPr>
              <w:t>National Provincial Bank v Ainsworth [1965]</w:t>
            </w:r>
          </w:p>
        </w:tc>
        <w:tc>
          <w:tcPr>
            <w:tcW w:w="2880" w:type="dxa"/>
          </w:tcPr>
          <w:p w14:paraId="41A52835" wp14:textId="77777777">
            <w:r>
              <w:t>Deserted wife occupation rights</w:t>
            </w:r>
          </w:p>
        </w:tc>
        <w:tc>
          <w:tcPr>
            <w:tcW w:w="2880" w:type="dxa"/>
          </w:tcPr>
          <w:p w14:paraId="622771F0" wp14:textId="77777777">
            <w:r>
              <w:t>Definition of proprietary rights</w:t>
            </w:r>
          </w:p>
        </w:tc>
      </w:tr>
      <w:tr xmlns:wp14="http://schemas.microsoft.com/office/word/2010/wordml" w14:paraId="37D5E8C8" wp14:textId="77777777">
        <w:tc>
          <w:tcPr>
            <w:tcW w:w="2880" w:type="dxa"/>
          </w:tcPr>
          <w:p w14:paraId="49FB0635" wp14:textId="77777777">
            <w:r>
              <w:t>Stukeley v Butler (1615)</w:t>
            </w:r>
          </w:p>
        </w:tc>
        <w:tc>
          <w:tcPr>
            <w:tcW w:w="2880" w:type="dxa"/>
          </w:tcPr>
          <w:p w14:paraId="3D18D645" wp14:textId="77777777">
            <w:r>
              <w:t>Surface land dispute</w:t>
            </w:r>
          </w:p>
        </w:tc>
        <w:tc>
          <w:tcPr>
            <w:tcW w:w="2880" w:type="dxa"/>
          </w:tcPr>
          <w:p w14:paraId="1A964487" wp14:textId="77777777">
            <w:r>
              <w:t>Surface and attached features form part of land</w:t>
            </w:r>
          </w:p>
        </w:tc>
      </w:tr>
      <w:tr xmlns:wp14="http://schemas.microsoft.com/office/word/2010/wordml" w14:paraId="3B9AC104" wp14:textId="77777777">
        <w:tc>
          <w:tcPr>
            <w:tcW w:w="2880" w:type="dxa"/>
          </w:tcPr>
          <w:p w14:paraId="04D56E12" wp14:textId="77777777">
            <w:r>
              <w:t>Palfrey v Wilson [2007]</w:t>
            </w:r>
          </w:p>
        </w:tc>
        <w:tc>
          <w:tcPr>
            <w:tcW w:w="2880" w:type="dxa"/>
          </w:tcPr>
          <w:p w14:paraId="54E67EFD" wp14:textId="77777777">
            <w:r>
              <w:t>Boundary dispute</w:t>
            </w:r>
          </w:p>
        </w:tc>
        <w:tc>
          <w:tcPr>
            <w:tcW w:w="2880" w:type="dxa"/>
          </w:tcPr>
          <w:p w14:paraId="625D3EC0" wp14:textId="77777777">
            <w:r>
              <w:t>Boundary determination principles</w:t>
            </w:r>
          </w:p>
        </w:tc>
      </w:tr>
      <w:tr xmlns:wp14="http://schemas.microsoft.com/office/word/2010/wordml" w14:paraId="1D27583D" wp14:textId="77777777">
        <w:tc>
          <w:tcPr>
            <w:tcW w:w="2880" w:type="dxa"/>
          </w:tcPr>
          <w:p w14:paraId="55A11530" wp14:textId="77777777">
            <w:r>
              <w:t>Jones v Stones [1999]</w:t>
            </w:r>
          </w:p>
        </w:tc>
        <w:tc>
          <w:tcPr>
            <w:tcW w:w="2880" w:type="dxa"/>
          </w:tcPr>
          <w:p w14:paraId="540ECB7D" wp14:textId="77777777">
            <w:r>
              <w:t>Boundary dispute</w:t>
            </w:r>
          </w:p>
        </w:tc>
        <w:tc>
          <w:tcPr>
            <w:tcW w:w="2880" w:type="dxa"/>
          </w:tcPr>
          <w:p w14:paraId="64DC1582" wp14:textId="77777777">
            <w:r>
              <w:t>Boundary interpretation</w:t>
            </w:r>
          </w:p>
        </w:tc>
      </w:tr>
      <w:tr xmlns:wp14="http://schemas.microsoft.com/office/word/2010/wordml" w14:paraId="3226D3B3" wp14:textId="77777777">
        <w:tc>
          <w:tcPr>
            <w:tcW w:w="2880" w:type="dxa"/>
          </w:tcPr>
          <w:p w14:paraId="70300336" wp14:textId="77777777">
            <w:r>
              <w:t>Rimmer v Pearson [2000]</w:t>
            </w:r>
          </w:p>
        </w:tc>
        <w:tc>
          <w:tcPr>
            <w:tcW w:w="2880" w:type="dxa"/>
          </w:tcPr>
          <w:p w14:paraId="495630A4" wp14:textId="77777777">
            <w:r>
              <w:t>Boundary dispute</w:t>
            </w:r>
          </w:p>
        </w:tc>
        <w:tc>
          <w:tcPr>
            <w:tcW w:w="2880" w:type="dxa"/>
          </w:tcPr>
          <w:p w14:paraId="63D38288" wp14:textId="77777777">
            <w:r>
              <w:t>Evidence in boundary cases</w:t>
            </w:r>
          </w:p>
        </w:tc>
      </w:tr>
      <w:tr xmlns:wp14="http://schemas.microsoft.com/office/word/2010/wordml" w14:paraId="4088ED08" wp14:textId="77777777">
        <w:tc>
          <w:tcPr>
            <w:tcW w:w="2880" w:type="dxa"/>
          </w:tcPr>
          <w:p w14:paraId="3EF21750" wp14:textId="77777777">
            <w:r>
              <w:rPr>
                <w:b/>
              </w:rPr>
              <w:t>ER Ives Investment v High [1967]</w:t>
            </w:r>
          </w:p>
        </w:tc>
        <w:tc>
          <w:tcPr>
            <w:tcW w:w="2880" w:type="dxa"/>
          </w:tcPr>
          <w:p w14:paraId="667B83F6" wp14:textId="77777777">
            <w:r>
              <w:t>Informal access route</w:t>
            </w:r>
          </w:p>
        </w:tc>
        <w:tc>
          <w:tcPr>
            <w:tcW w:w="2880" w:type="dxa"/>
          </w:tcPr>
          <w:p w14:paraId="796C7636" wp14:textId="77777777">
            <w:r>
              <w:t>Equitable easement recognised</w:t>
            </w:r>
          </w:p>
        </w:tc>
      </w:tr>
      <w:tr xmlns:wp14="http://schemas.microsoft.com/office/word/2010/wordml" w14:paraId="4B3E769F" wp14:textId="77777777">
        <w:tc>
          <w:tcPr>
            <w:tcW w:w="2880" w:type="dxa"/>
          </w:tcPr>
          <w:p w14:paraId="32E2A7A4" wp14:textId="77777777">
            <w:r>
              <w:rPr>
                <w:b/>
              </w:rPr>
              <w:t>Bocardo SA v Star Energy UK Onshore Ltd [2011]</w:t>
            </w:r>
          </w:p>
        </w:tc>
        <w:tc>
          <w:tcPr>
            <w:tcW w:w="2880" w:type="dxa"/>
          </w:tcPr>
          <w:p w14:paraId="1E357AA7" wp14:textId="77777777">
            <w:r>
              <w:t>Drilling beneath land</w:t>
            </w:r>
          </w:p>
        </w:tc>
        <w:tc>
          <w:tcPr>
            <w:tcW w:w="2880" w:type="dxa"/>
          </w:tcPr>
          <w:p w14:paraId="5F2CF306" wp14:textId="77777777">
            <w:r>
              <w:t>Subsoil trespass</w:t>
            </w:r>
          </w:p>
        </w:tc>
      </w:tr>
      <w:tr xmlns:wp14="http://schemas.microsoft.com/office/word/2010/wordml" w14:paraId="276E98B7" wp14:textId="77777777">
        <w:tc>
          <w:tcPr>
            <w:tcW w:w="2880" w:type="dxa"/>
          </w:tcPr>
          <w:p w14:paraId="5F6B7AC0" wp14:textId="77777777">
            <w:r>
              <w:t>Grigsby v Melville [1974]</w:t>
            </w:r>
          </w:p>
        </w:tc>
        <w:tc>
          <w:tcPr>
            <w:tcW w:w="2880" w:type="dxa"/>
          </w:tcPr>
          <w:p w14:paraId="23A3E7E6" wp14:textId="77777777">
            <w:r>
              <w:t>Cellar rights</w:t>
            </w:r>
          </w:p>
        </w:tc>
        <w:tc>
          <w:tcPr>
            <w:tcW w:w="2880" w:type="dxa"/>
          </w:tcPr>
          <w:p w14:paraId="2FEFDB14" wp14:textId="77777777">
            <w:r>
              <w:t>Separate ownership below surface</w:t>
            </w:r>
          </w:p>
        </w:tc>
      </w:tr>
      <w:tr xmlns:wp14="http://schemas.microsoft.com/office/word/2010/wordml" w14:paraId="7B69EE5D" wp14:textId="77777777">
        <w:tc>
          <w:tcPr>
            <w:tcW w:w="2880" w:type="dxa"/>
          </w:tcPr>
          <w:p w14:paraId="16C18F65" wp14:textId="77777777">
            <w:r>
              <w:rPr>
                <w:b/>
              </w:rPr>
              <w:t>Kelsen v Imperial Tobacco Co Ltd [1957]</w:t>
            </w:r>
          </w:p>
        </w:tc>
        <w:tc>
          <w:tcPr>
            <w:tcW w:w="2880" w:type="dxa"/>
          </w:tcPr>
          <w:p w14:paraId="3D0542DA" wp14:textId="77777777">
            <w:r>
              <w:t>Advertising sign projected over land</w:t>
            </w:r>
          </w:p>
        </w:tc>
        <w:tc>
          <w:tcPr>
            <w:tcW w:w="2880" w:type="dxa"/>
          </w:tcPr>
          <w:p w14:paraId="0E8AD59C" wp14:textId="77777777">
            <w:r>
              <w:t>Trespass in airspace</w:t>
            </w:r>
          </w:p>
        </w:tc>
      </w:tr>
      <w:tr xmlns:wp14="http://schemas.microsoft.com/office/word/2010/wordml" w14:paraId="5B59FC34" wp14:textId="77777777">
        <w:tc>
          <w:tcPr>
            <w:tcW w:w="2880" w:type="dxa"/>
          </w:tcPr>
          <w:p w14:paraId="6E1457A0" wp14:textId="77777777">
            <w:r>
              <w:t>Anchor Brewhouse Developments v Berkeley House [1987]</w:t>
            </w:r>
          </w:p>
        </w:tc>
        <w:tc>
          <w:tcPr>
            <w:tcW w:w="2880" w:type="dxa"/>
          </w:tcPr>
          <w:p w14:paraId="38331ADE" wp14:textId="77777777">
            <w:r>
              <w:t>Crane oversailing neighbour</w:t>
            </w:r>
          </w:p>
        </w:tc>
        <w:tc>
          <w:tcPr>
            <w:tcW w:w="2880" w:type="dxa"/>
          </w:tcPr>
          <w:p w14:paraId="006A2E63" wp14:textId="77777777">
            <w:r>
              <w:t>Airspace rights protected</w:t>
            </w:r>
          </w:p>
        </w:tc>
      </w:tr>
      <w:tr xmlns:wp14="http://schemas.microsoft.com/office/word/2010/wordml" w14:paraId="75B633CA" wp14:textId="77777777">
        <w:tc>
          <w:tcPr>
            <w:tcW w:w="2880" w:type="dxa"/>
          </w:tcPr>
          <w:p w14:paraId="170FBBB1" wp14:textId="77777777">
            <w:r>
              <w:rPr>
                <w:b/>
              </w:rPr>
              <w:t>Bernstein v Skyviews [1978]</w:t>
            </w:r>
          </w:p>
        </w:tc>
        <w:tc>
          <w:tcPr>
            <w:tcW w:w="2880" w:type="dxa"/>
          </w:tcPr>
          <w:p w14:paraId="68B85B14" wp14:textId="77777777">
            <w:r>
              <w:t>Aerial photography</w:t>
            </w:r>
          </w:p>
        </w:tc>
        <w:tc>
          <w:tcPr>
            <w:tcW w:w="2880" w:type="dxa"/>
          </w:tcPr>
          <w:p w14:paraId="5EFDBF43" wp14:textId="77777777">
            <w:r>
              <w:t>Airspace limited to ordinary use</w:t>
            </w:r>
          </w:p>
        </w:tc>
      </w:tr>
      <w:tr xmlns:wp14="http://schemas.microsoft.com/office/word/2010/wordml" w14:paraId="76268B97" wp14:textId="77777777">
        <w:tc>
          <w:tcPr>
            <w:tcW w:w="2880" w:type="dxa"/>
          </w:tcPr>
          <w:p w14:paraId="68B8BE08" wp14:textId="77777777">
            <w:r>
              <w:t>Lemmon v Webb [1895]</w:t>
            </w:r>
          </w:p>
        </w:tc>
        <w:tc>
          <w:tcPr>
            <w:tcW w:w="2880" w:type="dxa"/>
          </w:tcPr>
          <w:p w14:paraId="3723B5E5" wp14:textId="77777777">
            <w:r>
              <w:t>Overhanging branches</w:t>
            </w:r>
          </w:p>
        </w:tc>
        <w:tc>
          <w:tcPr>
            <w:tcW w:w="2880" w:type="dxa"/>
          </w:tcPr>
          <w:p w14:paraId="4346BA99" wp14:textId="77777777">
            <w:r>
              <w:t>Right to cut encroachments</w:t>
            </w:r>
          </w:p>
        </w:tc>
      </w:tr>
      <w:tr xmlns:wp14="http://schemas.microsoft.com/office/word/2010/wordml" w14:paraId="11CC7D02" wp14:textId="77777777">
        <w:tc>
          <w:tcPr>
            <w:tcW w:w="2880" w:type="dxa"/>
          </w:tcPr>
          <w:p w14:paraId="221B6D5E" wp14:textId="77777777">
            <w:r>
              <w:t>Laiqat v Majid [2005]</w:t>
            </w:r>
          </w:p>
        </w:tc>
        <w:tc>
          <w:tcPr>
            <w:tcW w:w="2880" w:type="dxa"/>
          </w:tcPr>
          <w:p w14:paraId="7417CB55" wp14:textId="77777777">
            <w:r>
              <w:t>Extractor fan over boundary</w:t>
            </w:r>
          </w:p>
        </w:tc>
        <w:tc>
          <w:tcPr>
            <w:tcW w:w="2880" w:type="dxa"/>
          </w:tcPr>
          <w:p w14:paraId="58180705" wp14:textId="77777777">
            <w:r>
              <w:t>Airspace trespass</w:t>
            </w:r>
          </w:p>
        </w:tc>
      </w:tr>
      <w:tr xmlns:wp14="http://schemas.microsoft.com/office/word/2010/wordml" w14:paraId="17BFBEEA" wp14:textId="77777777">
        <w:tc>
          <w:tcPr>
            <w:tcW w:w="2880" w:type="dxa"/>
          </w:tcPr>
          <w:p w14:paraId="7BB79CFF" wp14:textId="77777777">
            <w:r>
              <w:t>John Trenberth v National Westminster Bank [1979]</w:t>
            </w:r>
          </w:p>
        </w:tc>
        <w:tc>
          <w:tcPr>
            <w:tcW w:w="2880" w:type="dxa"/>
          </w:tcPr>
          <w:p w14:paraId="27DB771D" wp14:textId="77777777">
            <w:r>
              <w:t>Oversailing scaffolding</w:t>
            </w:r>
          </w:p>
        </w:tc>
        <w:tc>
          <w:tcPr>
            <w:tcW w:w="2880" w:type="dxa"/>
          </w:tcPr>
          <w:p w14:paraId="4D43F1A3" wp14:textId="77777777">
            <w:r>
              <w:t>Temporary airspace trespass</w:t>
            </w:r>
          </w:p>
        </w:tc>
      </w:tr>
      <w:tr xmlns:wp14="http://schemas.microsoft.com/office/word/2010/wordml" w14:paraId="7D2751EC" wp14:textId="77777777">
        <w:tc>
          <w:tcPr>
            <w:tcW w:w="2880" w:type="dxa"/>
          </w:tcPr>
          <w:p w14:paraId="5BFAA0C7" wp14:textId="77777777">
            <w:r>
              <w:rPr>
                <w:b/>
              </w:rPr>
              <w:t>Holland v Hodgson (1872)</w:t>
            </w:r>
          </w:p>
        </w:tc>
        <w:tc>
          <w:tcPr>
            <w:tcW w:w="2880" w:type="dxa"/>
          </w:tcPr>
          <w:p w14:paraId="3995E052" wp14:textId="77777777">
            <w:r>
              <w:t>Mill looms attached to floor</w:t>
            </w:r>
          </w:p>
        </w:tc>
        <w:tc>
          <w:tcPr>
            <w:tcW w:w="2880" w:type="dxa"/>
          </w:tcPr>
          <w:p w14:paraId="7A29C24F" wp14:textId="77777777">
            <w:r>
              <w:t>Degree and purpose of annexation</w:t>
            </w:r>
          </w:p>
        </w:tc>
      </w:tr>
      <w:tr xmlns:wp14="http://schemas.microsoft.com/office/word/2010/wordml" w14:paraId="641D05C9" wp14:textId="77777777">
        <w:tc>
          <w:tcPr>
            <w:tcW w:w="2880" w:type="dxa"/>
          </w:tcPr>
          <w:p w14:paraId="43296E4B" wp14:textId="77777777">
            <w:r>
              <w:rPr>
                <w:b/>
              </w:rPr>
              <w:t>Elitestone Ltd v Morris [1997]</w:t>
            </w:r>
          </w:p>
        </w:tc>
        <w:tc>
          <w:tcPr>
            <w:tcW w:w="2880" w:type="dxa"/>
          </w:tcPr>
          <w:p w14:paraId="4352D8A1" wp14:textId="77777777">
            <w:r>
              <w:t>Bungalow on supports</w:t>
            </w:r>
          </w:p>
        </w:tc>
        <w:tc>
          <w:tcPr>
            <w:tcW w:w="2880" w:type="dxa"/>
          </w:tcPr>
          <w:p w14:paraId="223507EC" wp14:textId="77777777">
            <w:r>
              <w:t>Structure can form part of land</w:t>
            </w:r>
          </w:p>
        </w:tc>
      </w:tr>
      <w:tr xmlns:wp14="http://schemas.microsoft.com/office/word/2010/wordml" w14:paraId="2543CA10" wp14:textId="77777777">
        <w:tc>
          <w:tcPr>
            <w:tcW w:w="2880" w:type="dxa"/>
          </w:tcPr>
          <w:p w14:paraId="6C52DDD0" wp14:textId="77777777">
            <w:r>
              <w:t>Berkley v Poulett [1977]</w:t>
            </w:r>
          </w:p>
        </w:tc>
        <w:tc>
          <w:tcPr>
            <w:tcW w:w="2880" w:type="dxa"/>
          </w:tcPr>
          <w:p w14:paraId="02F8C11B" wp14:textId="77777777">
            <w:r>
              <w:t>Country house contents</w:t>
            </w:r>
          </w:p>
        </w:tc>
        <w:tc>
          <w:tcPr>
            <w:tcW w:w="2880" w:type="dxa"/>
          </w:tcPr>
          <w:p w14:paraId="7AB77AD7" wp14:textId="77777777">
            <w:r>
              <w:t>Purpose of annexation key</w:t>
            </w:r>
          </w:p>
        </w:tc>
      </w:tr>
      <w:tr xmlns:wp14="http://schemas.microsoft.com/office/word/2010/wordml" w14:paraId="617B25BE" wp14:textId="77777777">
        <w:tc>
          <w:tcPr>
            <w:tcW w:w="2880" w:type="dxa"/>
          </w:tcPr>
          <w:p w14:paraId="68ABC062" wp14:textId="77777777">
            <w:r>
              <w:rPr>
                <w:b/>
              </w:rPr>
              <w:t>TSB Bank v Botham [1996]</w:t>
            </w:r>
          </w:p>
        </w:tc>
        <w:tc>
          <w:tcPr>
            <w:tcW w:w="2880" w:type="dxa"/>
          </w:tcPr>
          <w:p w14:paraId="77E85A2D" wp14:textId="77777777">
            <w:r>
              <w:t>Household fixtures dispute</w:t>
            </w:r>
          </w:p>
        </w:tc>
        <w:tc>
          <w:tcPr>
            <w:tcW w:w="2880" w:type="dxa"/>
          </w:tcPr>
          <w:p w14:paraId="5583ABB6" wp14:textId="77777777">
            <w:r>
              <w:t>Guidance on fixtures/fittings</w:t>
            </w:r>
          </w:p>
        </w:tc>
      </w:tr>
      <w:tr xmlns:wp14="http://schemas.microsoft.com/office/word/2010/wordml" w14:paraId="6549D08A" wp14:textId="77777777">
        <w:tc>
          <w:tcPr>
            <w:tcW w:w="2880" w:type="dxa"/>
          </w:tcPr>
          <w:p w14:paraId="15AE46E6" wp14:textId="77777777">
            <w:r>
              <w:rPr>
                <w:b/>
              </w:rPr>
              <w:t>D’Eyncourt v Gregory [1866]</w:t>
            </w:r>
          </w:p>
        </w:tc>
        <w:tc>
          <w:tcPr>
            <w:tcW w:w="2880" w:type="dxa"/>
          </w:tcPr>
          <w:p w14:paraId="7B0794D7" wp14:textId="77777777">
            <w:r>
              <w:t>Estate ornaments</w:t>
            </w:r>
          </w:p>
        </w:tc>
        <w:tc>
          <w:tcPr>
            <w:tcW w:w="2880" w:type="dxa"/>
          </w:tcPr>
          <w:p w14:paraId="7B46A15A" wp14:textId="77777777">
            <w:r>
              <w:t>Architectural design fixtures</w:t>
            </w:r>
          </w:p>
        </w:tc>
      </w:tr>
      <w:tr xmlns:wp14="http://schemas.microsoft.com/office/word/2010/wordml" w14:paraId="51E35F76" wp14:textId="77777777">
        <w:tc>
          <w:tcPr>
            <w:tcW w:w="2880" w:type="dxa"/>
          </w:tcPr>
          <w:p w14:paraId="4D293485" wp14:textId="77777777">
            <w:r>
              <w:rPr>
                <w:b/>
              </w:rPr>
              <w:t>Leigh v Taylor [1902]</w:t>
            </w:r>
          </w:p>
        </w:tc>
        <w:tc>
          <w:tcPr>
            <w:tcW w:w="2880" w:type="dxa"/>
          </w:tcPr>
          <w:p w14:paraId="1EE08E4E" wp14:textId="77777777">
            <w:r>
              <w:t>Tapestries</w:t>
            </w:r>
          </w:p>
        </w:tc>
        <w:tc>
          <w:tcPr>
            <w:tcW w:w="2880" w:type="dxa"/>
          </w:tcPr>
          <w:p w14:paraId="16C7E8EB" wp14:textId="77777777">
            <w:r>
              <w:t>May remain chattels</w:t>
            </w:r>
          </w:p>
        </w:tc>
      </w:tr>
      <w:tr xmlns:wp14="http://schemas.microsoft.com/office/word/2010/wordml" w14:paraId="36521568" wp14:textId="77777777">
        <w:tc>
          <w:tcPr>
            <w:tcW w:w="2880" w:type="dxa"/>
          </w:tcPr>
          <w:p w14:paraId="5FA94F95" wp14:textId="77777777">
            <w:r>
              <w:rPr>
                <w:b/>
              </w:rPr>
              <w:t>Re Whaley [1908]</w:t>
            </w:r>
          </w:p>
        </w:tc>
        <w:tc>
          <w:tcPr>
            <w:tcW w:w="2880" w:type="dxa"/>
          </w:tcPr>
          <w:p w14:paraId="4480C279" wp14:textId="77777777">
            <w:r>
              <w:t>Decorative wall items</w:t>
            </w:r>
          </w:p>
        </w:tc>
        <w:tc>
          <w:tcPr>
            <w:tcW w:w="2880" w:type="dxa"/>
          </w:tcPr>
          <w:p w14:paraId="6D0056DF" wp14:textId="77777777">
            <w:r>
              <w:t>May become fixtures</w:t>
            </w:r>
          </w:p>
        </w:tc>
      </w:tr>
      <w:tr xmlns:wp14="http://schemas.microsoft.com/office/word/2010/wordml" w14:paraId="4886A324" wp14:textId="77777777">
        <w:tc>
          <w:tcPr>
            <w:tcW w:w="2880" w:type="dxa"/>
          </w:tcPr>
          <w:p w14:paraId="24D87E60" wp14:textId="77777777">
            <w:r>
              <w:t>Vaudeville Electric Cinema v Muriset [1923]</w:t>
            </w:r>
          </w:p>
        </w:tc>
        <w:tc>
          <w:tcPr>
            <w:tcW w:w="2880" w:type="dxa"/>
          </w:tcPr>
          <w:p w14:paraId="558C632A" wp14:textId="77777777">
            <w:r>
              <w:t>Cinema seating</w:t>
            </w:r>
          </w:p>
        </w:tc>
        <w:tc>
          <w:tcPr>
            <w:tcW w:w="2880" w:type="dxa"/>
          </w:tcPr>
          <w:p w14:paraId="7ABD47C4" wp14:textId="77777777">
            <w:r>
              <w:t>Fixture if integral to use</w:t>
            </w:r>
          </w:p>
        </w:tc>
      </w:tr>
      <w:tr xmlns:wp14="http://schemas.microsoft.com/office/word/2010/wordml" w14:paraId="6968B1E4" wp14:textId="77777777">
        <w:tc>
          <w:tcPr>
            <w:tcW w:w="2880" w:type="dxa"/>
          </w:tcPr>
          <w:p w14:paraId="7F0B78EB" wp14:textId="77777777">
            <w:r>
              <w:t>Lyon &amp; Co v London City and Midland Bank [1903]</w:t>
            </w:r>
          </w:p>
        </w:tc>
        <w:tc>
          <w:tcPr>
            <w:tcW w:w="2880" w:type="dxa"/>
          </w:tcPr>
          <w:p w14:paraId="590F8763" wp14:textId="77777777">
            <w:r>
              <w:t>Commercial fittings</w:t>
            </w:r>
          </w:p>
        </w:tc>
        <w:tc>
          <w:tcPr>
            <w:tcW w:w="2880" w:type="dxa"/>
          </w:tcPr>
          <w:p w14:paraId="06FB39D5" wp14:textId="77777777">
            <w:r>
              <w:t>Fixture/chattel principles</w:t>
            </w:r>
          </w:p>
        </w:tc>
      </w:tr>
      <w:tr xmlns:wp14="http://schemas.microsoft.com/office/word/2010/wordml" w14:paraId="4CD5655F" wp14:textId="77777777">
        <w:tc>
          <w:tcPr>
            <w:tcW w:w="2880" w:type="dxa"/>
          </w:tcPr>
          <w:p w14:paraId="63B1FF91" wp14:textId="77777777">
            <w:r>
              <w:t>Orsman v HMRC [2012]</w:t>
            </w:r>
          </w:p>
        </w:tc>
        <w:tc>
          <w:tcPr>
            <w:tcW w:w="2880" w:type="dxa"/>
          </w:tcPr>
          <w:p w14:paraId="2584EBE2" wp14:textId="77777777">
            <w:r>
              <w:t>Garage worktops</w:t>
            </w:r>
          </w:p>
        </w:tc>
        <w:tc>
          <w:tcPr>
            <w:tcW w:w="2880" w:type="dxa"/>
          </w:tcPr>
          <w:p w14:paraId="48BE36E3" wp14:textId="77777777">
            <w:r>
              <w:t>Modern fixture application</w:t>
            </w:r>
          </w:p>
        </w:tc>
      </w:tr>
      <w:tr xmlns:wp14="http://schemas.microsoft.com/office/word/2010/wordml" w14:paraId="59AAB2EA" wp14:textId="77777777">
        <w:tc>
          <w:tcPr>
            <w:tcW w:w="2880" w:type="dxa"/>
          </w:tcPr>
          <w:p w14:paraId="120FAF73" wp14:textId="77777777">
            <w:r>
              <w:t>Brudenell-Bruce v Moore [2012]</w:t>
            </w:r>
          </w:p>
        </w:tc>
        <w:tc>
          <w:tcPr>
            <w:tcW w:w="2880" w:type="dxa"/>
          </w:tcPr>
          <w:p w14:paraId="2C2B1E0C" wp14:textId="77777777">
            <w:r>
              <w:t>Framed paintings</w:t>
            </w:r>
          </w:p>
        </w:tc>
        <w:tc>
          <w:tcPr>
            <w:tcW w:w="2880" w:type="dxa"/>
          </w:tcPr>
          <w:p w14:paraId="133B40E8" wp14:textId="77777777">
            <w:r>
              <w:t>Artwork usually chattel</w:t>
            </w:r>
          </w:p>
        </w:tc>
      </w:tr>
      <w:tr xmlns:wp14="http://schemas.microsoft.com/office/word/2010/wordml" w14:paraId="215B4BCC" wp14:textId="77777777">
        <w:tc>
          <w:tcPr>
            <w:tcW w:w="2880" w:type="dxa"/>
          </w:tcPr>
          <w:p w14:paraId="21BC546E" wp14:textId="77777777">
            <w:r>
              <w:t>Borwick Development Solutions v Clear Water Fisheries [2019]</w:t>
            </w:r>
          </w:p>
        </w:tc>
        <w:tc>
          <w:tcPr>
            <w:tcW w:w="2880" w:type="dxa"/>
          </w:tcPr>
          <w:p w14:paraId="424D8073" wp14:textId="77777777">
            <w:r>
              <w:t>Solar panels</w:t>
            </w:r>
          </w:p>
        </w:tc>
        <w:tc>
          <w:tcPr>
            <w:tcW w:w="2880" w:type="dxa"/>
          </w:tcPr>
          <w:p w14:paraId="5315C7B3" wp14:textId="77777777">
            <w:r>
              <w:t>Modern annexation analysis</w:t>
            </w:r>
          </w:p>
        </w:tc>
      </w:tr>
      <w:tr xmlns:wp14="http://schemas.microsoft.com/office/word/2010/wordml" w14:paraId="442299B7" wp14:textId="77777777">
        <w:tc>
          <w:tcPr>
            <w:tcW w:w="2880" w:type="dxa"/>
          </w:tcPr>
          <w:p w14:paraId="46482A02" wp14:textId="77777777">
            <w:r>
              <w:t>Royal Parks v Bluebird Boats [2021]</w:t>
            </w:r>
          </w:p>
        </w:tc>
        <w:tc>
          <w:tcPr>
            <w:tcW w:w="2880" w:type="dxa"/>
          </w:tcPr>
          <w:p w14:paraId="5CDB9B6A" wp14:textId="77777777">
            <w:r>
              <w:t>Boathouse structures</w:t>
            </w:r>
          </w:p>
        </w:tc>
        <w:tc>
          <w:tcPr>
            <w:tcW w:w="2880" w:type="dxa"/>
          </w:tcPr>
          <w:p w14:paraId="1C907BB7" wp14:textId="77777777">
            <w:r>
              <w:t>Modern fixture principles</w:t>
            </w:r>
          </w:p>
        </w:tc>
      </w:tr>
    </w:tbl>
    <w:sectPr w:rsidRPr="0006063C" w:rsidR="00FC693F" w:rsidSect="00034616">
      <w:pgSz w:w="12240" w:h="15840" w:orient="portrait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15="http://schemas.microsoft.com/office/word/2012/wordml" mc:Ignorable="w14 wp14 w15">
  <w:zoom w:val="bestFit"/>
  <w:proofState w:spelling="clean" w:grammar="dirty"/>
  <w:trackRevisions w:val="false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  <w:rsid w:val="60995784"/>
    <w:rsid w:val="7BB6F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15:docId w15:val="{316A46AD-5717-452A-BC06-939A24B9E64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 wp14">
  <w:docDefaults>
    <w:rPrDefault>
      <w:rPr>
        <w:rFonts w:asciiTheme="minorHAnsi" w:hAnsiTheme="minorHAnsi" w:eastAsiaTheme="minorEastAsia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styleId="Heading1Char" w:customStyle="1">
    <w:name w:val="Heading 1 Char"/>
    <w:basedOn w:val="DefaultParagraphFont"/>
    <w:link w:val="Heading1"/>
    <w:uiPriority w:val="9"/>
    <w:rsid w:val="00FC693F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rsid w:val="00FC693F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rsid w:val="00FC693F"/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1">
    <w:name w:val="Title Char"/>
    <w:basedOn w:val="DefaultParagraphFont"/>
    <w:link w:val="Title"/>
    <w:uiPriority w:val="10"/>
    <w:rsid w:val="00FC693F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1">
    <w:name w:val="Subtitle Char"/>
    <w:basedOn w:val="DefaultParagraphFont"/>
    <w:link w:val="Subtitle"/>
    <w:uiPriority w:val="11"/>
    <w:rsid w:val="00FC693F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styleId="BodyTextChar" w:customStyle="1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styleId="BodyText2Char" w:customStyle="1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styleId="BodyText3Char" w:customStyle="1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styleId="MacroTextChar" w:customStyle="1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styleId="QuoteChar" w:customStyle="1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FC693F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FC693F"/>
    <w:rPr>
      <w:rFonts w:asciiTheme="majorHAnsi" w:hAnsiTheme="majorHAnsi" w:eastAsiaTheme="majorEastAsia" w:cstheme="majorBidi"/>
      <w:color w:val="243F60" w:themeColor="accent1" w:themeShade="7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FC693F"/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FC693F"/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FC693F"/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FC693F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3" /><Relationship Type="http://schemas.microsoft.com/office/2007/relationships/stylesWithEffects" Target="stylesWithEffects.xml" Id="rId4" /><Relationship Type="http://schemas.openxmlformats.org/officeDocument/2006/relationships/settings" Target="settings.xml" Id="rId5" /><Relationship Type="http://schemas.openxmlformats.org/officeDocument/2006/relationships/webSettings" Target="webSettings.xml" Id="rId6" /><Relationship Type="http://schemas.openxmlformats.org/officeDocument/2006/relationships/fontTable" Target="fontTable.xml" Id="rId7" /><Relationship Type="http://schemas.openxmlformats.org/officeDocument/2006/relationships/theme" Target="theme/theme1.xml" Id="rId8" /><Relationship Type="http://schemas.openxmlformats.org/officeDocument/2006/relationships/customXml" Target="../customXml/item1.xml" Id="rId1" /><Relationship Type="http://schemas.openxmlformats.org/officeDocument/2006/relationships/numbering" Target="numbering.xml" Id="rId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Manager/>
  <ap:Company/>
  <ap:SharedDoc>false</ap:SharedDoc>
  <ap:HyperlinkBase/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Kireene David</dc:creator>
  <keywords/>
  <dc:description>generated by python-docx</dc:description>
  <lastModifiedBy>Kireene David</lastModifiedBy>
  <revision>2</revision>
  <dcterms:created xsi:type="dcterms:W3CDTF">2026-09-27T12:33:14.3675939Z</dcterms:created>
  <dcterms:modified xsi:type="dcterms:W3CDTF">2026-09-27T12:36:39.0834491Z</dcterms:modified>
  <category/>
</coreProperties>
</file>