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hAnsi="Times New Roman"/>
          <w:sz w:val="32"/>
          <w:szCs w:val="32"/>
          <w:shd w:val="clear" w:color="auto" w:fill="ffffff"/>
        </w:rPr>
      </w:pPr>
    </w:p>
    <w:p>
      <w:pPr>
        <w:pStyle w:val="normal.0"/>
        <w:spacing w:line="360" w:lineRule="auto"/>
        <w:jc w:val="center"/>
        <w:rPr>
          <w:rFonts w:ascii="Times New Roman" w:cs="Times New Roman" w:hAnsi="Times New Roman" w:eastAsia="Times New Roman"/>
          <w:shd w:val="clear" w:color="auto" w:fill="ffffff"/>
        </w:rPr>
      </w:pPr>
      <w:r>
        <w:rPr>
          <w:rFonts w:ascii="Times New Roman" w:hAnsi="Times New Roman"/>
          <w:shd w:val="clear" w:color="auto" w:fill="ffffff"/>
          <w:rtl w:val="0"/>
          <w:lang w:val="en-US"/>
        </w:rPr>
        <w:t xml:space="preserve">LCBB5003 Management Economics </w:t>
      </w:r>
    </w:p>
    <w:p>
      <w:pPr>
        <w:pStyle w:val="normal.0"/>
        <w:spacing w:line="360" w:lineRule="auto"/>
        <w:jc w:val="center"/>
        <w:rPr>
          <w:rFonts w:ascii="Times New Roman" w:cs="Times New Roman" w:hAnsi="Times New Roman" w:eastAsia="Times New Roman"/>
          <w:shd w:val="clear" w:color="auto" w:fill="ffffff"/>
        </w:rPr>
      </w:pPr>
      <w:r>
        <w:rPr>
          <w:rFonts w:ascii="Times New Roman" w:hAnsi="Times New Roman"/>
          <w:shd w:val="clear" w:color="auto" w:fill="ffffff"/>
          <w:rtl w:val="0"/>
          <w:lang w:val="en-US"/>
        </w:rPr>
        <w:t>Lecturer: David Jenkins</w:t>
      </w:r>
    </w:p>
    <w:p>
      <w:pPr>
        <w:pStyle w:val="normal.0"/>
        <w:spacing w:line="360" w:lineRule="auto"/>
        <w:jc w:val="center"/>
        <w:rPr>
          <w:rFonts w:ascii="Times New Roman" w:cs="Times New Roman" w:hAnsi="Times New Roman" w:eastAsia="Times New Roman"/>
          <w:sz w:val="32"/>
          <w:szCs w:val="32"/>
          <w:shd w:val="clear" w:color="auto" w:fill="ffffff"/>
        </w:rPr>
      </w:pPr>
      <w:r>
        <w:rPr>
          <w:rFonts w:ascii="Times New Roman" w:hAnsi="Times New Roman"/>
          <w:shd w:val="clear" w:color="auto" w:fill="ffffff"/>
          <w:rtl w:val="0"/>
          <w:lang w:val="en-US"/>
        </w:rPr>
        <w:t xml:space="preserve">Student: 2108397 Florina Roxana Gavril </w:t>
      </w:r>
    </w:p>
    <w:p>
      <w:pPr>
        <w:pStyle w:val="normal.0"/>
        <w:spacing w:line="360" w:lineRule="auto"/>
        <w:jc w:val="center"/>
      </w:pPr>
      <w:r>
        <w:rPr>
          <w:rFonts w:ascii="Arial Unicode MS" w:cs="Arial Unicode MS" w:hAnsi="Arial Unicode MS" w:eastAsia="Arial Unicode MS"/>
          <w:b w:val="0"/>
          <w:bCs w:val="0"/>
          <w:i w:val="0"/>
          <w:iCs w:val="0"/>
        </w:rPr>
        <w:br w:type="page"/>
      </w:r>
    </w:p>
    <w:p>
      <w:pPr>
        <w:pStyle w:val="normal.0"/>
        <w:spacing w:line="36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Executive Summary </w:t>
      </w:r>
    </w:p>
    <w:p>
      <w:pPr>
        <w:pStyle w:val="normal.0"/>
        <w:spacing w:line="360" w:lineRule="auto"/>
        <w:jc w:val="both"/>
        <w:rPr>
          <w:rFonts w:ascii="Times New Roman" w:cs="Times New Roman" w:hAnsi="Times New Roman" w:eastAsia="Times New Roman"/>
        </w:rPr>
      </w:pPr>
      <w:r>
        <w:rPr>
          <w:rFonts w:ascii="Times New Roman" w:hAnsi="Times New Roman"/>
          <w:shd w:val="clear" w:color="auto" w:fill="ffffff"/>
          <w:rtl w:val="0"/>
          <w:lang w:val="en-US"/>
        </w:rPr>
        <w:t xml:space="preserve">The report on management </w:t>
      </w:r>
      <w:r>
        <w:rPr>
          <w:rFonts w:ascii="Times New Roman" w:hAnsi="Times New Roman"/>
          <w:shd w:val="clear" w:color="auto" w:fill="ffffff"/>
          <w:rtl w:val="0"/>
          <w:lang w:val="en-US"/>
        </w:rPr>
        <w:t>economics</w:t>
      </w:r>
      <w:r>
        <w:rPr>
          <w:rFonts w:ascii="Times New Roman" w:hAnsi="Times New Roman"/>
          <w:shd w:val="clear" w:color="auto" w:fill="ffffff"/>
          <w:rtl w:val="0"/>
          <w:lang w:val="en-US"/>
        </w:rPr>
        <w:t xml:space="preserve"> aims at the case study of STG Company. The report analyses whether the director of STG would accept the Budget Contract or not. Along with this, the report also highlights calculating variable cost per unit, total fixed cost, and contribution cost using the High Low method. On the other hand, the management accounting report analyzes the limited factors that STG Company is dealing with. Also, it aims at the assumption and limitations of Cost Volume Profit techniques.  </w:t>
      </w:r>
    </w:p>
    <w:p>
      <w:pPr>
        <w:pStyle w:val="TOC Heading"/>
        <w:spacing w:line="360" w:lineRule="auto"/>
        <w:jc w:val="center"/>
        <w:rPr>
          <w:rFonts w:ascii="Times New Roman" w:cs="Times New Roman" w:hAnsi="Times New Roman" w:eastAsia="Times New Roman"/>
          <w:b w:val="0"/>
          <w:bCs w:val="0"/>
        </w:rPr>
      </w:pPr>
    </w:p>
    <w:p>
      <w:pPr>
        <w:pStyle w:val="Colontitlu"/>
        <w:rPr>
          <w:rFonts w:ascii="Times New Roman" w:cs="Times New Roman" w:hAnsi="Times New Roman" w:eastAsia="Times New Roman"/>
          <w:b w:val="0"/>
          <w:bCs w:val="0"/>
        </w:rPr>
      </w:pPr>
      <w:r>
        <w:rPr>
          <w:rFonts w:ascii="Times New Roman" w:hAnsi="Times New Roman"/>
          <w:b w:val="0"/>
          <w:bCs w:val="0"/>
          <w:rtl w:val="0"/>
          <w:lang w:val="en-US"/>
        </w:rPr>
        <w:t xml:space="preserve">Advising STG director with qualitative and quantitative information </w:t>
      </w:r>
    </w:p>
    <w:p>
      <w:pPr>
        <w:pStyle w:val="normal.0"/>
        <w:spacing w:line="360" w:lineRule="auto"/>
        <w:jc w:val="both"/>
        <w:rPr>
          <w:rFonts w:ascii="Times New Roman" w:cs="Times New Roman" w:hAnsi="Times New Roman" w:eastAsia="Times New Roman"/>
        </w:rPr>
      </w:pPr>
      <w:r>
        <w:rPr>
          <w:rFonts w:ascii="Times New Roman" w:hAnsi="Times New Roman"/>
          <w:rtl w:val="0"/>
          <w:lang w:val="en-US"/>
        </w:rPr>
        <w:t xml:space="preserve">Before undertaking the contract every company needs to analyze the budget and capability of production of their particular products. According to the study, the chief financial officer is the person who controls and equivalent the executive functions of the respective business (Fakharzadeh and Mojtabaei, 2019). In addition, while going under the contract the chief financial officer of the business has to analyze its budget and capability of production so that it would not breach the contract in the future (Fakharzadeh and Mojtabaei, 2019). As per the case study, the STG Company can proceed with the contract as it would help the company to achieve its objectives. The budgeted production cost for 1200 products is </w:t>
      </w:r>
      <w:r>
        <w:rPr>
          <w:rFonts w:ascii="Times New Roman" w:hAnsi="Times New Roman" w:hint="default"/>
          <w:rtl w:val="0"/>
          <w:lang w:val="en-US"/>
        </w:rPr>
        <w:t>£</w:t>
      </w:r>
      <w:r>
        <w:rPr>
          <w:rFonts w:ascii="Times New Roman" w:hAnsi="Times New Roman"/>
          <w:rtl w:val="0"/>
          <w:lang w:val="en-US"/>
        </w:rPr>
        <w:t xml:space="preserve">59.33 as the company has used Budget tires to fulfill the contract. On the other hand, after conducting the budget it can be assumed that Budget tires are ranked 3 as compared to the other 2 types of tires. In other words, when the company takes the contract and meets them it would help STG Company to achieve a minimum profit of </w:t>
      </w:r>
      <w:r>
        <w:rPr>
          <w:rFonts w:ascii="Times New Roman" w:hAnsi="Times New Roman" w:hint="default"/>
          <w:rtl w:val="0"/>
          <w:lang w:val="en-US"/>
        </w:rPr>
        <w:t>£</w:t>
      </w:r>
      <w:r>
        <w:rPr>
          <w:rFonts w:ascii="Times New Roman" w:hAnsi="Times New Roman"/>
          <w:rtl w:val="0"/>
          <w:lang w:val="en-US"/>
        </w:rPr>
        <w:t xml:space="preserve">800.00 in the financial year 2023 respectively. </w:t>
      </w:r>
    </w:p>
    <w:p>
      <w:pPr>
        <w:pStyle w:val="normal.0"/>
        <w:spacing w:line="360" w:lineRule="auto"/>
        <w:jc w:val="both"/>
        <w:rPr>
          <w:rFonts w:ascii="Times New Roman" w:cs="Times New Roman" w:hAnsi="Times New Roman" w:eastAsia="Times New Roman"/>
        </w:rPr>
      </w:pPr>
      <w:r>
        <w:rPr>
          <w:rFonts w:ascii="Times New Roman" w:hAnsi="Times New Roman"/>
          <w:rtl w:val="0"/>
          <w:lang w:val="en-US"/>
        </w:rPr>
        <w:t xml:space="preserve">The calculation of variable cost per unit is calculated for both the financial years 2021 and 2022 by using the High low method. This has helped STG to get their variable cost price per unit after comparing 3 types of tires which is </w:t>
      </w:r>
      <w:r>
        <w:rPr>
          <w:rFonts w:ascii="Times New Roman" w:hAnsi="Times New Roman" w:hint="default"/>
          <w:rtl w:val="0"/>
          <w:lang w:val="en-US"/>
        </w:rPr>
        <w:t>£</w:t>
      </w:r>
      <w:r>
        <w:rPr>
          <w:rFonts w:ascii="Times New Roman" w:hAnsi="Times New Roman"/>
          <w:rtl w:val="0"/>
          <w:lang w:val="en-US"/>
        </w:rPr>
        <w:t xml:space="preserve">66.96 respectively. On the contrary, the variable cost per unit in 2022 is </w:t>
      </w:r>
      <w:r>
        <w:rPr>
          <w:rFonts w:ascii="Times New Roman" w:hAnsi="Times New Roman" w:hint="default"/>
          <w:rtl w:val="0"/>
          <w:lang w:val="en-US"/>
        </w:rPr>
        <w:t>£</w:t>
      </w:r>
      <w:r>
        <w:rPr>
          <w:rFonts w:ascii="Times New Roman" w:hAnsi="Times New Roman"/>
          <w:rtl w:val="0"/>
          <w:lang w:val="en-US"/>
        </w:rPr>
        <w:t xml:space="preserve">36.49 which is very less as compared to the previous year. This shows that the company is selling more products at a lower selling price per unit as it deals with limited factors that are affecting business. In addition, the total fixed cost and highest activity cost for 2022 are </w:t>
      </w:r>
      <w:r>
        <w:rPr>
          <w:rFonts w:ascii="Times New Roman" w:hAnsi="Times New Roman" w:hint="default"/>
          <w:rtl w:val="0"/>
          <w:lang w:val="en-US"/>
        </w:rPr>
        <w:t>£</w:t>
      </w:r>
      <w:r>
        <w:rPr>
          <w:rFonts w:ascii="Times New Roman" w:hAnsi="Times New Roman"/>
          <w:rtl w:val="0"/>
          <w:lang w:val="en-US"/>
        </w:rPr>
        <w:t xml:space="preserve">27368.85 respectively. In comparison, the total fixed lowest cost is also the same as the production of all types of products giving an equal level of profit. Therefore, the research helps to analyze that STG would go in profit after meeting with the contract rather than breaching. Not completing the contract would let STG company face a financial loss of </w:t>
      </w:r>
      <w:r>
        <w:rPr>
          <w:rFonts w:ascii="Times New Roman" w:hAnsi="Times New Roman" w:hint="default"/>
          <w:rtl w:val="0"/>
          <w:lang w:val="en-US"/>
        </w:rPr>
        <w:t>£</w:t>
      </w:r>
      <w:r>
        <w:rPr>
          <w:rFonts w:ascii="Times New Roman" w:hAnsi="Times New Roman"/>
          <w:rtl w:val="0"/>
          <w:lang w:val="en-US"/>
        </w:rPr>
        <w:t xml:space="preserve">14,000 respectively. Therefore, the suggestion is that the director of STG Company should accept the Budget Contract as it would help to make growth in both financial terms and create a market respectively. </w:t>
      </w:r>
    </w:p>
    <w:p>
      <w:pPr>
        <w:pStyle w:val="Colontitlu"/>
        <w:rPr>
          <w:rFonts w:ascii="Times New Roman" w:cs="Times New Roman" w:hAnsi="Times New Roman" w:eastAsia="Times New Roman"/>
          <w:b w:val="0"/>
          <w:bCs w:val="0"/>
        </w:rPr>
      </w:pPr>
      <w:r>
        <w:rPr>
          <w:rFonts w:ascii="Times New Roman" w:hAnsi="Times New Roman"/>
          <w:b w:val="0"/>
          <w:bCs w:val="0"/>
          <w:rtl w:val="0"/>
          <w:lang w:val="en-US"/>
        </w:rPr>
        <w:t xml:space="preserve">Analysing limited factors </w:t>
      </w:r>
    </w:p>
    <w:p>
      <w:pPr>
        <w:pStyle w:val="normal.0"/>
        <w:spacing w:line="360" w:lineRule="auto"/>
        <w:jc w:val="both"/>
        <w:rPr>
          <w:rFonts w:ascii="Times New Roman" w:cs="Times New Roman" w:hAnsi="Times New Roman" w:eastAsia="Times New Roman"/>
        </w:rPr>
      </w:pPr>
      <w:r>
        <w:rPr>
          <w:rFonts w:ascii="Times New Roman" w:hAnsi="Times New Roman"/>
          <w:rtl w:val="0"/>
          <w:lang w:val="en-US"/>
        </w:rPr>
        <w:t xml:space="preserve">A limiting factor of business is when it is not able to produce a sufficient amount of products to satisfy the sales demand. As per the viewpoint of Davila Delgado et al., (2020), a limiting factor is anything that causes restriction or limitation on a company's ability to increase its sales. In addition, this is done due to demand constraints or due to the availability of resources used for production. Here, in the case of STG, the limiting factor is restricted to the use of high energy cost and the other one is that the supplier of STG has advised maximum supply for the financial year 2023 respectively. Therefore, this has caused limitations in manufacturing tyres as the limited miters are set. Thus, this is minimising the development of production of different tires by STG Company. </w:t>
      </w:r>
    </w:p>
    <w:p>
      <w:pPr>
        <w:pStyle w:val="Colontitlu 2"/>
        <w:rPr>
          <w:rFonts w:ascii="Times New Roman" w:cs="Times New Roman" w:hAnsi="Times New Roman" w:eastAsia="Times New Roman"/>
          <w:b w:val="0"/>
          <w:bCs w:val="0"/>
        </w:rPr>
      </w:pPr>
    </w:p>
    <w:p>
      <w:pPr>
        <w:pStyle w:val="Colontitlu 2"/>
        <w:rPr>
          <w:rFonts w:ascii="Times New Roman" w:cs="Times New Roman" w:hAnsi="Times New Roman" w:eastAsia="Times New Roman"/>
          <w:b w:val="0"/>
          <w:bCs w:val="0"/>
        </w:rPr>
      </w:pPr>
      <w:r>
        <w:rPr>
          <w:rFonts w:ascii="Times New Roman" w:hAnsi="Times New Roman"/>
          <w:b w:val="0"/>
          <w:bCs w:val="0"/>
          <w:rtl w:val="0"/>
          <w:lang w:val="en-US"/>
        </w:rPr>
        <w:t xml:space="preserve">Assumption and limitations of the Cost-Volume-Profit Technique </w:t>
      </w:r>
    </w:p>
    <w:p>
      <w:pPr>
        <w:pStyle w:val="normal.0"/>
        <w:spacing w:line="360" w:lineRule="auto"/>
        <w:jc w:val="both"/>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rtl w:val="0"/>
          <w:lang w:val="en-US"/>
        </w:rPr>
        <w:t>According to the research conducted, Cost Volume Profit is considered an assumption as it helps to assume the selling price of a unit. In addition, "</w:t>
      </w:r>
      <w:r>
        <w:rPr>
          <w:rFonts w:ascii="Times New Roman" w:hAnsi="Times New Roman"/>
          <w:outline w:val="0"/>
          <w:color w:val="111111"/>
          <w:u w:color="111111"/>
          <w:shd w:val="clear" w:color="auto" w:fill="ffffff"/>
          <w:rtl w:val="0"/>
          <w:lang w:val="en-US"/>
          <w14:textFill>
            <w14:solidFill>
              <w14:srgbClr w14:val="111111"/>
            </w14:solidFill>
          </w14:textFill>
        </w:rPr>
        <w:t>the assumptions that accountants impose when calculating CVP ratios are sources of possible limitations of the technique</w:t>
      </w:r>
      <w:r>
        <w:rPr>
          <w:rFonts w:ascii="Times New Roman" w:hAnsi="Times New Roman" w:hint="default"/>
          <w:outline w:val="0"/>
          <w:color w:val="111111"/>
          <w:u w:color="111111"/>
          <w:shd w:val="clear" w:color="auto" w:fill="ffffff"/>
          <w:rtl w:val="0"/>
          <w:lang w:val="en-US"/>
          <w14:textFill>
            <w14:solidFill>
              <w14:srgbClr w14:val="111111"/>
            </w14:solidFill>
          </w14:textFill>
        </w:rPr>
        <w:t xml:space="preserve">” </w:t>
      </w:r>
      <w:r>
        <w:rPr>
          <w:rFonts w:ascii="Times New Roman" w:hAnsi="Times New Roman"/>
          <w:outline w:val="0"/>
          <w:color w:val="111111"/>
          <w:u w:color="111111"/>
          <w:shd w:val="clear" w:color="auto" w:fill="ffffff"/>
          <w:rtl w:val="0"/>
          <w:lang w:val="en-US"/>
          <w14:textFill>
            <w14:solidFill>
              <w14:srgbClr w14:val="111111"/>
            </w14:solidFill>
          </w14:textFill>
        </w:rPr>
        <w:t>(Finance strategists, 2022).</w:t>
      </w:r>
      <w:r>
        <w:rPr>
          <w:rFonts w:ascii="Times New Roman" w:hAnsi="Times New Roman"/>
          <w:rtl w:val="0"/>
          <w:lang w:val="en-US"/>
        </w:rPr>
        <w:t xml:space="preserve"> One assumption of the CVP technique is that all costs can be classified into two different categories that are fixed costs and variable costs. The assumptions are not always true as the cost of depreciation may yield different results. Therefore, this is considered a the limitation of CVP technique. In other words, it can be termed that fixed costs are not always fixed and are considered a limitation as it affects the selling price by not keeping it constant respectively (</w:t>
      </w:r>
      <w:r>
        <w:rPr>
          <w:rFonts w:ascii="Times New Roman" w:hAnsi="Times New Roman"/>
          <w:outline w:val="0"/>
          <w:color w:val="111111"/>
          <w:u w:color="111111"/>
          <w:shd w:val="clear" w:color="auto" w:fill="ffffff"/>
          <w:rtl w:val="0"/>
          <w:lang w:val="en-US"/>
          <w14:textFill>
            <w14:solidFill>
              <w14:srgbClr w14:val="111111"/>
            </w14:solidFill>
          </w14:textFill>
        </w:rPr>
        <w:t xml:space="preserve">Finance strategists, 2022). Therefore, here in the case of STG the cost of energy as a set maximum level affects the production level by causing limitations. </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The financial statements of an organization represent the most rigorous and effective information about it and give a clear picture of the financial aspects of the company, of performance, which can be compared with opponents.  In fact, various users understand the financial statement of an organization for their own benefit.</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The balance sheet analyzes the current situation of an organization and outlines in detail the asset investment of an organization.  In fact, it contains information on debt and equity levels. The balance sheet is also an analysis of assets, liabilities, equity and debt.</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Income statement is very important for investors as it reflects profit and also contains information on sales, profit, expenses and losses.  With the help of these statements investors can analyze and perceive the analysis of an organization, more precisely its performance and can highlight the future cash flow.</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Cash flow statement is vital for a company as it gives investors an aspirational vision, more precisely if it has sufficient funds for expenses and purchases.  Cash flow is quite important because it has three main categories Operations, Investments and Finance, and they provide an overview of the entire company.</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The financial statements of an organization represent the most rigorous and effective information about it and give a clear picture of the financial aspects of the company, of performance, which can be compared with opponents.  In fact, various users understand the financial statement of an organization for their own benefit.</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The management of an organization is the most famous user of financial statements as they are the ones who make the financial statement, and they must rely on them when analyzing the progress and development of an organization.  They look at the financial statement of profit.  Cash flow, asset and liabilities etc.  Investors is the group that owns the organization and wants to maintain optimal performance.  They make decisions following a financial statement.  Customers need a financial statement to purchase goods or services.  They also want long-term partnerships and stability.  On the other hand, a strong organization can sell products or services at a discount on the profile.</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4) Profitability can be explained as the last method of an organization's economic success in line with capital investment (Piementel et al, 2005, p.86).  Profit is the defining element of any investment in various projects.</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Profitability is characterized as the profit of an organization determined over a period of one year and which is calculated in relation to revenue and expenses while liquidity is defined as the cash that an organization holds at any time or point.  Usually, organizations do not have liquidity because they choose to invest in various projects and an organization that has a lot of cash is not profitable because of lack of opportunities .</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Gross profit, net profit, operating profit are representative ratios for calculating profit, while current ratio, liquid ratio and cash debt are ratios used to calculate liquidity.</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Profitability and liquidity are essential for a company because if an organization does not have enough cash, the capital will go for a toss and the organization must borrow one that in turn will increase the interest cost of any company.  Profitability plays the most important role as the organisation needs to conduct a low profit analysis and also focus on cost reduction.</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p>
    <w:p>
      <w:pPr>
        <w:pStyle w:val="Corp"/>
        <w:spacing w:line="360" w:lineRule="auto"/>
        <w:rPr>
          <w:rFonts w:ascii="Times New Roman" w:cs="Times New Roman" w:hAnsi="Times New Roman" w:eastAsia="Times New Roman"/>
        </w:rPr>
      </w:pPr>
      <w:r>
        <w:rPr>
          <w:rFonts w:ascii="Times New Roman" w:hAnsi="Times New Roman"/>
          <w:rtl w:val="0"/>
          <w:lang w:val="fr-FR"/>
        </w:rPr>
        <w:t>Reference List</w:t>
      </w:r>
    </w:p>
    <w:p>
      <w:pPr>
        <w:pStyle w:val="Corp"/>
        <w:spacing w:line="360" w:lineRule="auto"/>
        <w:jc w:val="both"/>
        <w:rPr>
          <w:rFonts w:ascii="Times New Roman" w:cs="Times New Roman" w:hAnsi="Times New Roman" w:eastAsia="Times New Roman"/>
        </w:rPr>
      </w:pPr>
    </w:p>
    <w:p>
      <w:pPr>
        <w:pStyle w:val="Corp"/>
        <w:spacing w:line="360" w:lineRule="auto"/>
        <w:jc w:val="both"/>
        <w:rPr>
          <w:rFonts w:ascii="Times New Roman" w:cs="Times New Roman" w:hAnsi="Times New Roman" w:eastAsia="Times New Roman"/>
        </w:rPr>
      </w:pPr>
      <w:r>
        <w:rPr>
          <w:rFonts w:ascii="Times New Roman" w:hAnsi="Times New Roman"/>
          <w:rtl w:val="0"/>
          <w:lang w:val="en-US"/>
        </w:rPr>
        <w:t>Davila Delgado, J.M., Oyedele, L., Beach, T. and Demian, P., 2020. Augmented and virtual reality in construction: drivers and limitations for industry adoption.</w:t>
      </w:r>
      <w:r>
        <w:rPr>
          <w:rFonts w:ascii="Times New Roman" w:hAnsi="Times New Roman" w:hint="default"/>
          <w:rtl w:val="0"/>
        </w:rPr>
        <w:t> </w:t>
      </w:r>
      <w:r>
        <w:rPr>
          <w:rFonts w:ascii="Times New Roman" w:hAnsi="Times New Roman"/>
          <w:rtl w:val="0"/>
          <w:lang w:val="en-US"/>
        </w:rPr>
        <w:t>Journal of Construction Engineering and Management,</w:t>
      </w:r>
      <w:r>
        <w:rPr>
          <w:rFonts w:ascii="Times New Roman" w:hAnsi="Times New Roman" w:hint="default"/>
          <w:rtl w:val="0"/>
        </w:rPr>
        <w:t> </w:t>
      </w:r>
      <w:r>
        <w:rPr>
          <w:rFonts w:ascii="Times New Roman" w:hAnsi="Times New Roman"/>
          <w:rtl w:val="0"/>
        </w:rPr>
        <w:t>146(7), p.04020079.</w:t>
      </w:r>
    </w:p>
    <w:p>
      <w:pPr>
        <w:pStyle w:val="Corp"/>
        <w:spacing w:line="360" w:lineRule="auto"/>
        <w:jc w:val="both"/>
        <w:rPr>
          <w:rFonts w:ascii="Times New Roman" w:cs="Times New Roman" w:hAnsi="Times New Roman" w:eastAsia="Times New Roman"/>
        </w:rPr>
      </w:pPr>
      <w:r>
        <w:rPr>
          <w:rFonts w:ascii="Times New Roman" w:hAnsi="Times New Roman"/>
          <w:rtl w:val="0"/>
          <w:lang w:val="en-US"/>
        </w:rPr>
        <w:t>Fakharzadeh, A. and Mojtabaei, M.H., 2019. An Optimal Budgeting Model for Dynamic Network Systems Design via Data Envelopment Analysis.</w:t>
      </w:r>
      <w:r>
        <w:rPr>
          <w:rFonts w:ascii="Times New Roman" w:hAnsi="Times New Roman" w:hint="default"/>
          <w:rtl w:val="0"/>
        </w:rPr>
        <w:t> </w:t>
      </w:r>
      <w:r>
        <w:rPr>
          <w:rFonts w:ascii="Times New Roman" w:hAnsi="Times New Roman"/>
          <w:rtl w:val="0"/>
          <w:lang w:val="en-US"/>
        </w:rPr>
        <w:t>Journal of Mathematical Extension,</w:t>
      </w:r>
      <w:r>
        <w:rPr>
          <w:rFonts w:ascii="Times New Roman" w:hAnsi="Times New Roman" w:hint="default"/>
          <w:rtl w:val="0"/>
        </w:rPr>
        <w:t> </w:t>
      </w:r>
      <w:r>
        <w:rPr>
          <w:rFonts w:ascii="Times New Roman" w:hAnsi="Times New Roman"/>
          <w:rtl w:val="0"/>
        </w:rPr>
        <w:t>14, pp.1-28.</w:t>
      </w:r>
    </w:p>
    <w:p>
      <w:pPr>
        <w:pStyle w:val="Corp"/>
        <w:spacing w:line="360" w:lineRule="auto"/>
        <w:jc w:val="both"/>
        <w:rPr>
          <w:rFonts w:ascii="Times New Roman" w:cs="Times New Roman" w:hAnsi="Times New Roman" w:eastAsia="Times New Roman"/>
        </w:rPr>
      </w:pPr>
      <w:r>
        <w:rPr>
          <w:rFonts w:ascii="Times New Roman" w:hAnsi="Times New Roman"/>
          <w:rtl w:val="0"/>
          <w:lang w:val="en-US"/>
        </w:rPr>
        <w:t>Finance strategists, (2022), Assumptions and Limitations Underlying CVP Analysis, Available at:</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"https://learn.financestrategists.com/explanation/cost-accounting/cost-volume-profit/assumptions-and-limitations-underlying-cvp-analysis/"</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https://learn.financestrategists.com/explanation/cost-accounting/cost-volume-profit/assumptions-and-limitations-underlying-cvp-analysis/</w:t>
      </w:r>
      <w:r>
        <w:rPr>
          <w:rFonts w:ascii="Times New Roman" w:cs="Times New Roman" w:hAnsi="Times New Roman" w:eastAsia="Times New Roman"/>
        </w:rPr>
        <w:fldChar w:fldCharType="end" w:fldLock="0"/>
      </w:r>
      <w:r>
        <w:rPr>
          <w:rFonts w:ascii="Times New Roman" w:hAnsi="Times New Roman"/>
          <w:rtl w:val="0"/>
          <w:lang w:val="en-US"/>
        </w:rPr>
        <w:t xml:space="preserve"> [Accessed on: 20.10.2022]</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14:textFill>
            <w14:solidFill>
              <w14:srgbClr w14:val="111111"/>
            </w14:solidFill>
          </w14:textFill>
        </w:rPr>
        <w:t>Pimentel, R. C., Braga, R., &amp; Casa Nova, S. P. C. (2005). Intera</w:t>
      </w:r>
      <w:r>
        <w:rPr>
          <w:rFonts w:ascii="Times New Roman" w:hAnsi="Times New Roman" w:hint="default"/>
          <w:outline w:val="0"/>
          <w:color w:val="111111"/>
          <w:u w:color="111111"/>
          <w:rtl w:val="0"/>
          <w:lang w:val="pt-PT"/>
          <w14:textFill>
            <w14:solidFill>
              <w14:srgbClr w14:val="111111"/>
            </w14:solidFill>
          </w14:textFill>
        </w:rPr>
        <w:t>çã</w:t>
      </w:r>
      <w:r>
        <w:rPr>
          <w:rFonts w:ascii="Times New Roman" w:hAnsi="Times New Roman"/>
          <w:outline w:val="0"/>
          <w:color w:val="111111"/>
          <w:u w:color="111111"/>
          <w:rtl w:val="0"/>
          <w:lang w:val="pt-PT"/>
          <w14:textFill>
            <w14:solidFill>
              <w14:srgbClr w14:val="111111"/>
            </w14:solidFill>
          </w14:textFill>
        </w:rPr>
        <w:t>o entre rentabilidade e liquidez: um estudo explorat</w:t>
      </w:r>
      <w:r>
        <w:rPr>
          <w:rFonts w:ascii="Times New Roman" w:hAnsi="Times New Roman" w:hint="default"/>
          <w:outline w:val="0"/>
          <w:color w:val="111111"/>
          <w:u w:color="111111"/>
          <w:rtl w:val="0"/>
          <w14:textFill>
            <w14:solidFill>
              <w14:srgbClr w14:val="111111"/>
            </w14:solidFill>
          </w14:textFill>
        </w:rPr>
        <w:t>ó</w:t>
      </w:r>
      <w:r>
        <w:rPr>
          <w:rFonts w:ascii="Times New Roman" w:hAnsi="Times New Roman"/>
          <w:outline w:val="0"/>
          <w:color w:val="111111"/>
          <w:u w:color="111111"/>
          <w:rtl w:val="0"/>
          <w:lang w:val="pt-PT"/>
          <w14:textFill>
            <w14:solidFill>
              <w14:srgbClr w14:val="111111"/>
            </w14:solidFill>
          </w14:textFill>
        </w:rPr>
        <w:t>rio. Revista de Contabilidade do Mestrado em Ci</w:t>
      </w:r>
      <w:r>
        <w:rPr>
          <w:rFonts w:ascii="Times New Roman" w:hAnsi="Times New Roman" w:hint="default"/>
          <w:outline w:val="0"/>
          <w:color w:val="111111"/>
          <w:u w:color="111111"/>
          <w:rtl w:val="0"/>
          <w14:textFill>
            <w14:solidFill>
              <w14:srgbClr w14:val="111111"/>
            </w14:solidFill>
          </w14:textFill>
        </w:rPr>
        <w:t>ê</w:t>
      </w:r>
      <w:r>
        <w:rPr>
          <w:rFonts w:ascii="Times New Roman" w:hAnsi="Times New Roman"/>
          <w:outline w:val="0"/>
          <w:color w:val="111111"/>
          <w:u w:color="111111"/>
          <w:rtl w:val="0"/>
          <w:lang w:val="pt-PT"/>
          <w14:textFill>
            <w14:solidFill>
              <w14:srgbClr w14:val="111111"/>
            </w14:solidFill>
          </w14:textFill>
        </w:rPr>
        <w:t>ncias Cont</w:t>
      </w:r>
      <w:r>
        <w:rPr>
          <w:rFonts w:ascii="Times New Roman" w:hAnsi="Times New Roman" w:hint="default"/>
          <w:outline w:val="0"/>
          <w:color w:val="111111"/>
          <w:u w:color="111111"/>
          <w:rtl w:val="0"/>
          <w14:textFill>
            <w14:solidFill>
              <w14:srgbClr w14:val="111111"/>
            </w14:solidFill>
          </w14:textFill>
        </w:rPr>
        <w:t>á</w:t>
      </w:r>
      <w:r>
        <w:rPr>
          <w:rFonts w:ascii="Times New Roman" w:hAnsi="Times New Roman"/>
          <w:outline w:val="0"/>
          <w:color w:val="111111"/>
          <w:u w:color="111111"/>
          <w:rtl w:val="0"/>
          <w:lang w:val="pt-PT"/>
          <w14:textFill>
            <w14:solidFill>
              <w14:srgbClr w14:val="111111"/>
            </w14:solidFill>
          </w14:textFill>
        </w:rPr>
        <w:t xml:space="preserve">beis da UERJ, Rio de Janeiro </w:t>
      </w:r>
      <w:r>
        <w:rPr>
          <w:rFonts w:ascii="Times New Roman" w:hAnsi="Times New Roman" w:hint="default"/>
          <w:outline w:val="0"/>
          <w:color w:val="111111"/>
          <w:u w:color="111111"/>
          <w:rtl w:val="0"/>
          <w14:textFill>
            <w14:solidFill>
              <w14:srgbClr w14:val="111111"/>
            </w14:solidFill>
          </w14:textFill>
        </w:rPr>
        <w:t xml:space="preserve">– </w:t>
      </w:r>
      <w:r>
        <w:rPr>
          <w:rFonts w:ascii="Times New Roman" w:hAnsi="Times New Roman"/>
          <w:outline w:val="0"/>
          <w:color w:val="111111"/>
          <w:u w:color="111111"/>
          <w:rtl w:val="0"/>
          <w14:textFill>
            <w14:solidFill>
              <w14:srgbClr w14:val="111111"/>
            </w14:solidFill>
          </w14:textFill>
        </w:rPr>
        <w:t>10 (2), PP. 86</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14:textFill>
            <w14:solidFill>
              <w14:srgbClr w14:val="111111"/>
            </w14:solidFill>
          </w14:textFill>
        </w:rPr>
        <w:t>www.wallstreetmojo.com/users-of-financial-statements/</w:t>
      </w:r>
    </w:p>
    <w:p>
      <w:pPr>
        <w:pStyle w:val="Corp"/>
        <w:spacing w:line="360" w:lineRule="auto"/>
        <w:rPr>
          <w:rFonts w:ascii="Times New Roman" w:cs="Times New Roman" w:hAnsi="Times New Roman" w:eastAsia="Times New Roman"/>
          <w:outline w:val="0"/>
          <w:color w:val="111111"/>
          <w:u w:color="111111"/>
          <w14:textFill>
            <w14:solidFill>
              <w14:srgbClr w14:val="111111"/>
            </w14:solidFill>
          </w14:textFill>
        </w:rPr>
      </w:pPr>
      <w:r>
        <w:rPr>
          <w:rFonts w:ascii="Times New Roman" w:hAnsi="Times New Roman"/>
          <w:outline w:val="0"/>
          <w:color w:val="111111"/>
          <w:u w:color="111111"/>
          <w:rtl w:val="0"/>
          <w:lang w:val="en-US"/>
          <w14:textFill>
            <w14:solidFill>
              <w14:srgbClr w14:val="111111"/>
            </w14:solidFill>
          </w14:textFill>
        </w:rPr>
        <w:t>www.cutevamp.com/five-main-difference-between-profitability-and-liquidity/</w:t>
      </w:r>
    </w:p>
    <w:p>
      <w:pPr>
        <w:pStyle w:val="Corp"/>
        <w:spacing w:line="360" w:lineRule="auto"/>
      </w:pPr>
      <w:r>
        <w:rPr>
          <w:rFonts w:ascii="Times New Roman" w:hAnsi="Times New Roman"/>
          <w:outline w:val="0"/>
          <w:color w:val="111111"/>
          <w:u w:color="111111"/>
          <w:rtl w:val="0"/>
          <w:lang w:val="it-IT"/>
          <w14:textFill>
            <w14:solidFill>
              <w14:srgbClr w14:val="111111"/>
            </w14:solidFill>
          </w14:textFill>
        </w:rPr>
        <w:t>www.educaba.com/profitability-vs-liquidity/</w:t>
      </w:r>
      <w:r>
        <w:rPr>
          <w:rFonts w:ascii="Arial Unicode MS" w:cs="Arial Unicode MS" w:hAnsi="Arial Unicode MS" w:eastAsia="Arial Unicode MS"/>
          <w:b w:val="0"/>
          <w:bCs w:val="0"/>
          <w:i w:val="0"/>
          <w:iCs w:val="0"/>
          <w:outline w:val="0"/>
          <w:color w:val="111111"/>
          <w:u w:color="111111"/>
          <w:shd w:val="clear" w:color="auto" w:fill="ffffff"/>
          <w14:textFill>
            <w14:solidFill>
              <w14:srgbClr w14:val="111111"/>
            </w14:solidFill>
          </w14:textFill>
        </w:rPr>
        <w:br w:type="page"/>
      </w:r>
    </w:p>
    <w:sectPr>
      <w:headerReference w:type="default" r:id="rId4"/>
      <w:footerReference w:type="default" r:id="rId5"/>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rmal.0"/>
      <w:jc w:val="right"/>
    </w:pPr>
    <w:r>
      <w:rPr>
        <w:sz w:val="20"/>
        <w:szCs w:val="20"/>
        <w:rtl w:val="0"/>
      </w:rPr>
      <w:fldChar w:fldCharType="begin" w:fldLock="0"/>
    </w:r>
    <w:r>
      <w:rPr>
        <w:sz w:val="20"/>
        <w:szCs w:val="20"/>
        <w:rtl w:val="0"/>
      </w:rPr>
      <w:instrText xml:space="preserve"> PAGE </w:instrText>
    </w:r>
    <w:r>
      <w:rPr>
        <w:sz w:val="20"/>
        <w:szCs w:val="20"/>
        <w:rtl w:val="0"/>
      </w:rPr>
      <w:fldChar w:fldCharType="separate" w:fldLock="0"/>
    </w:r>
    <w:r>
      <w:rPr>
        <w:sz w:val="20"/>
        <w:szCs w:val="20"/>
        <w:rtl w:val="0"/>
      </w:rPr>
    </w:r>
    <w:r>
      <w:rPr>
        <w:sz w:val="20"/>
        <w:szCs w:val="20"/>
        <w:rtl w:val="0"/>
      </w:rPr>
      <w:fldChar w:fldCharType="end" w:fldLock="0"/>
    </w:r>
    <w:r>
      <w:rPr>
        <w:b w:val="1"/>
        <w:bCs w:val="1"/>
        <w:sz w:val="32"/>
        <w:szCs w:val="32"/>
        <w:shd w:val="clear" w:color="auto" w:fill="ffffff"/>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OC Heading">
    <w:name w:val="TOC Heading"/>
    <w:next w:val="Corp"/>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libri" w:cs="Calibri" w:hAnsi="Calibri" w:eastAsia="Calibri"/>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Corp">
    <w:name w:val="Corp"/>
    <w:next w:val="Corp"/>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Colontitlu">
    <w:name w:val="Colontitlu"/>
    <w:next w:val="normal.0"/>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clear" w:color="auto" w:fill="ffffff"/>
      <w:vertAlign w:val="baseline"/>
      <w:lang w:val="en-US"/>
      <w14:textOutline>
        <w14:noFill/>
      </w14:textOutline>
      <w14:textFill>
        <w14:solidFill>
          <w14:srgbClr w14:val="000000"/>
        </w14:solidFill>
      </w14:textFill>
    </w:rPr>
  </w:style>
  <w:style w:type="paragraph" w:styleId="Colontitlu 2">
    <w:name w:val="Colontitlu 2"/>
    <w:next w:val="normal.0"/>
    <w:pPr>
      <w:keepNext w:val="1"/>
      <w:keepLines w:val="1"/>
      <w:pageBreakBefore w:val="0"/>
      <w:widowControl w:val="1"/>
      <w:shd w:val="clear" w:color="auto" w:fill="auto"/>
      <w:suppressAutoHyphens w:val="0"/>
      <w:bidi w:val="0"/>
      <w:spacing w:before="0" w:after="0" w:line="360" w:lineRule="auto"/>
      <w:ind w:left="0" w:right="0" w:firstLine="0"/>
      <w:jc w:val="both"/>
      <w:outlineLvl w:val="1"/>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clear" w:color="auto" w:fill="ffffff"/>
      <w:vertAlign w:val="baseline"/>
      <w14:textOutline>
        <w14:noFill/>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