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7F7D3" w14:textId="53778C6F" w:rsidR="00266C5F" w:rsidRPr="002A5F56" w:rsidRDefault="002F78C3" w:rsidP="002F78C3">
      <w:pPr>
        <w:spacing w:line="360" w:lineRule="auto"/>
        <w:jc w:val="left"/>
        <w:rPr>
          <w:rFonts w:ascii="Arial" w:hAnsi="Arial" w:cs="Arial"/>
          <w:b/>
          <w:sz w:val="40"/>
          <w:szCs w:val="40"/>
        </w:rPr>
      </w:pPr>
      <w:r w:rsidRPr="002F78C3">
        <w:rPr>
          <w:rFonts w:ascii="Arial" w:hAnsi="Arial" w:cs="Arial"/>
          <w:b/>
          <w:noProof/>
          <w:sz w:val="40"/>
          <w:szCs w:val="40"/>
        </w:rPr>
        <w:drawing>
          <wp:inline distT="0" distB="0" distL="0" distR="0" wp14:anchorId="2C535F82" wp14:editId="1583C842">
            <wp:extent cx="2067213" cy="876422"/>
            <wp:effectExtent l="0" t="0" r="9525" b="0"/>
            <wp:docPr id="1525870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70497" name=""/>
                    <pic:cNvPicPr/>
                  </pic:nvPicPr>
                  <pic:blipFill>
                    <a:blip r:embed="rId8"/>
                    <a:stretch>
                      <a:fillRect/>
                    </a:stretch>
                  </pic:blipFill>
                  <pic:spPr>
                    <a:xfrm>
                      <a:off x="0" y="0"/>
                      <a:ext cx="2067213" cy="876422"/>
                    </a:xfrm>
                    <a:prstGeom prst="rect">
                      <a:avLst/>
                    </a:prstGeom>
                  </pic:spPr>
                </pic:pic>
              </a:graphicData>
            </a:graphic>
          </wp:inline>
        </w:drawing>
      </w:r>
    </w:p>
    <w:p w14:paraId="5CDD5FBF" w14:textId="77777777" w:rsidR="00266C5F" w:rsidRPr="002A5F56" w:rsidRDefault="00266C5F" w:rsidP="002A5F56">
      <w:pPr>
        <w:spacing w:line="360" w:lineRule="auto"/>
        <w:jc w:val="center"/>
        <w:rPr>
          <w:rFonts w:ascii="Arial" w:hAnsi="Arial" w:cs="Arial"/>
          <w:b/>
          <w:sz w:val="40"/>
          <w:szCs w:val="40"/>
        </w:rPr>
      </w:pPr>
    </w:p>
    <w:p w14:paraId="5D53B49E" w14:textId="77777777" w:rsidR="00266C5F" w:rsidRPr="002A5F56" w:rsidRDefault="00266C5F" w:rsidP="002A5F56">
      <w:pPr>
        <w:spacing w:line="360" w:lineRule="auto"/>
        <w:jc w:val="center"/>
        <w:rPr>
          <w:rFonts w:ascii="Arial" w:hAnsi="Arial" w:cs="Arial"/>
          <w:b/>
          <w:sz w:val="40"/>
          <w:szCs w:val="40"/>
        </w:rPr>
      </w:pPr>
    </w:p>
    <w:p w14:paraId="43AAC1B1" w14:textId="77777777" w:rsidR="00266C5F" w:rsidRPr="002A5F56" w:rsidRDefault="00266C5F" w:rsidP="002A5F56">
      <w:pPr>
        <w:spacing w:line="360" w:lineRule="auto"/>
        <w:jc w:val="center"/>
        <w:rPr>
          <w:rFonts w:ascii="Arial" w:hAnsi="Arial" w:cs="Arial"/>
          <w:b/>
          <w:sz w:val="40"/>
          <w:szCs w:val="40"/>
        </w:rPr>
      </w:pPr>
    </w:p>
    <w:p w14:paraId="41019EDD" w14:textId="77777777" w:rsidR="00B27904" w:rsidRDefault="00B27904" w:rsidP="002A5F56">
      <w:pPr>
        <w:spacing w:line="360" w:lineRule="auto"/>
        <w:jc w:val="center"/>
        <w:rPr>
          <w:rFonts w:ascii="Arial" w:hAnsi="Arial" w:cs="Arial"/>
          <w:b/>
          <w:sz w:val="40"/>
          <w:szCs w:val="40"/>
        </w:rPr>
      </w:pPr>
    </w:p>
    <w:p w14:paraId="00000001" w14:textId="678DABB8" w:rsidR="000B6F7F" w:rsidRPr="002A5F56" w:rsidRDefault="009F39BD" w:rsidP="002A5F56">
      <w:pPr>
        <w:spacing w:line="360" w:lineRule="auto"/>
        <w:jc w:val="center"/>
        <w:rPr>
          <w:rFonts w:ascii="Arial" w:hAnsi="Arial" w:cs="Arial"/>
          <w:b/>
          <w:sz w:val="40"/>
          <w:szCs w:val="40"/>
        </w:rPr>
      </w:pPr>
      <w:r w:rsidRPr="002A5F56">
        <w:rPr>
          <w:rFonts w:ascii="Arial" w:hAnsi="Arial" w:cs="Arial"/>
          <w:b/>
          <w:sz w:val="40"/>
          <w:szCs w:val="40"/>
        </w:rPr>
        <w:t>Module Title: Criminal Law</w:t>
      </w:r>
    </w:p>
    <w:p w14:paraId="00000002" w14:textId="77777777" w:rsidR="000B6F7F" w:rsidRPr="002A5F56" w:rsidRDefault="009F39BD" w:rsidP="002A5F56">
      <w:pPr>
        <w:spacing w:line="360" w:lineRule="auto"/>
        <w:jc w:val="center"/>
        <w:rPr>
          <w:rFonts w:ascii="Arial" w:hAnsi="Arial" w:cs="Arial"/>
        </w:rPr>
      </w:pPr>
      <w:r w:rsidRPr="002A5F56">
        <w:rPr>
          <w:rFonts w:ascii="Arial" w:hAnsi="Arial" w:cs="Arial"/>
        </w:rPr>
        <w:t>Module code: BMPL4009_CARD</w:t>
      </w:r>
    </w:p>
    <w:p w14:paraId="00000003" w14:textId="77777777" w:rsidR="000B6F7F" w:rsidRPr="002A5F56" w:rsidRDefault="009F39BD" w:rsidP="002A5F56">
      <w:pPr>
        <w:spacing w:line="360" w:lineRule="auto"/>
        <w:jc w:val="center"/>
        <w:rPr>
          <w:rFonts w:ascii="Arial" w:hAnsi="Arial" w:cs="Arial"/>
        </w:rPr>
      </w:pPr>
      <w:r w:rsidRPr="002A5F56">
        <w:rPr>
          <w:rFonts w:ascii="Arial" w:hAnsi="Arial" w:cs="Arial"/>
        </w:rPr>
        <w:t>Assignment Title: Liability by omission</w:t>
      </w:r>
    </w:p>
    <w:p w14:paraId="00000004" w14:textId="77777777" w:rsidR="000B6F7F" w:rsidRPr="002A5F56" w:rsidRDefault="009F39BD" w:rsidP="002A5F56">
      <w:pPr>
        <w:spacing w:line="360" w:lineRule="auto"/>
        <w:jc w:val="center"/>
        <w:rPr>
          <w:rFonts w:ascii="Arial" w:hAnsi="Arial" w:cs="Arial"/>
        </w:rPr>
      </w:pPr>
      <w:r w:rsidRPr="002A5F56">
        <w:rPr>
          <w:rFonts w:ascii="Arial" w:hAnsi="Arial" w:cs="Arial"/>
        </w:rPr>
        <w:t>Student Name: Roxana Cimpan</w:t>
      </w:r>
    </w:p>
    <w:p w14:paraId="00000005" w14:textId="3AD94AEF" w:rsidR="00B80E8F" w:rsidRDefault="009F39BD" w:rsidP="002A5F56">
      <w:pPr>
        <w:spacing w:line="360" w:lineRule="auto"/>
        <w:jc w:val="center"/>
        <w:rPr>
          <w:rFonts w:ascii="Arial" w:hAnsi="Arial" w:cs="Arial"/>
        </w:rPr>
      </w:pPr>
      <w:r w:rsidRPr="002A5F56">
        <w:rPr>
          <w:rFonts w:ascii="Arial" w:hAnsi="Arial" w:cs="Arial"/>
        </w:rPr>
        <w:t>Student ID:</w:t>
      </w:r>
      <w:r w:rsidR="00A101CF">
        <w:rPr>
          <w:rFonts w:ascii="Arial" w:hAnsi="Arial" w:cs="Arial"/>
        </w:rPr>
        <w:t xml:space="preserve"> 2314721</w:t>
      </w:r>
    </w:p>
    <w:p w14:paraId="54BF7724" w14:textId="77777777" w:rsidR="00B80E8F" w:rsidRDefault="00B80E8F">
      <w:pPr>
        <w:rPr>
          <w:rFonts w:ascii="Arial" w:hAnsi="Arial" w:cs="Arial"/>
        </w:rPr>
      </w:pPr>
      <w:r>
        <w:rPr>
          <w:rFonts w:ascii="Arial" w:hAnsi="Arial" w:cs="Arial"/>
        </w:rPr>
        <w:br w:type="page"/>
      </w:r>
    </w:p>
    <w:sdt>
      <w:sdtPr>
        <w:rPr>
          <w:rFonts w:ascii="Times New Roman" w:eastAsia="Times New Roman" w:hAnsi="Times New Roman" w:cs="Times New Roman"/>
          <w:color w:val="auto"/>
          <w:sz w:val="24"/>
          <w:szCs w:val="24"/>
          <w:lang w:val="en-GB" w:eastAsia="en-IN"/>
        </w:rPr>
        <w:id w:val="-1889177388"/>
        <w:docPartObj>
          <w:docPartGallery w:val="Table of Contents"/>
          <w:docPartUnique/>
        </w:docPartObj>
      </w:sdtPr>
      <w:sdtEndPr>
        <w:rPr>
          <w:b/>
          <w:bCs/>
          <w:noProof/>
        </w:rPr>
      </w:sdtEndPr>
      <w:sdtContent>
        <w:p w14:paraId="61320988" w14:textId="09D01D15" w:rsidR="009F39BD" w:rsidRDefault="009F39BD" w:rsidP="009F39BD">
          <w:pPr>
            <w:pStyle w:val="Titlucuprins"/>
          </w:pPr>
        </w:p>
        <w:p w14:paraId="57A491ED" w14:textId="55C38148" w:rsidR="00B80E8F" w:rsidRDefault="009F39BD"/>
      </w:sdtContent>
    </w:sdt>
    <w:p w14:paraId="1F028D5C" w14:textId="77777777" w:rsidR="000B6F7F" w:rsidRPr="002A5F56" w:rsidRDefault="000B6F7F" w:rsidP="002A5F56">
      <w:pPr>
        <w:spacing w:line="360" w:lineRule="auto"/>
        <w:jc w:val="center"/>
        <w:rPr>
          <w:rFonts w:ascii="Arial" w:hAnsi="Arial" w:cs="Arial"/>
        </w:rPr>
      </w:pPr>
    </w:p>
    <w:p w14:paraId="7EDB1AC0" w14:textId="77777777" w:rsidR="00EF392F" w:rsidRPr="002A5F56" w:rsidRDefault="00EF392F" w:rsidP="002A5F56">
      <w:pPr>
        <w:spacing w:line="360" w:lineRule="auto"/>
        <w:rPr>
          <w:rFonts w:ascii="Arial" w:hAnsi="Arial" w:cs="Arial"/>
          <w:b/>
          <w:sz w:val="28"/>
          <w:szCs w:val="28"/>
        </w:rPr>
      </w:pPr>
      <w:bookmarkStart w:id="0" w:name="_dmsca7cdvyiy" w:colFirst="0" w:colLast="0"/>
      <w:bookmarkStart w:id="1" w:name="_a7oprfpmaio" w:colFirst="0" w:colLast="0"/>
      <w:bookmarkEnd w:id="0"/>
      <w:bookmarkEnd w:id="1"/>
      <w:r w:rsidRPr="002A5F56">
        <w:rPr>
          <w:rFonts w:ascii="Arial" w:hAnsi="Arial" w:cs="Arial"/>
        </w:rPr>
        <w:br w:type="page"/>
      </w:r>
    </w:p>
    <w:p w14:paraId="00000008" w14:textId="03B2D67D" w:rsidR="000B6F7F" w:rsidRPr="002A5F56" w:rsidRDefault="009F39BD" w:rsidP="002A5F56">
      <w:pPr>
        <w:pStyle w:val="Titlu1"/>
        <w:spacing w:line="360" w:lineRule="auto"/>
        <w:rPr>
          <w:rFonts w:ascii="Arial" w:hAnsi="Arial" w:cs="Arial"/>
        </w:rPr>
      </w:pPr>
      <w:bookmarkStart w:id="2" w:name="_Toc170402700"/>
      <w:r w:rsidRPr="002A5F56">
        <w:rPr>
          <w:rFonts w:ascii="Arial" w:hAnsi="Arial" w:cs="Arial"/>
        </w:rPr>
        <w:t>Introduction</w:t>
      </w:r>
      <w:bookmarkEnd w:id="2"/>
      <w:r w:rsidRPr="002A5F56">
        <w:rPr>
          <w:rFonts w:ascii="Arial" w:hAnsi="Arial" w:cs="Arial"/>
        </w:rPr>
        <w:t xml:space="preserve"> </w:t>
      </w:r>
    </w:p>
    <w:p w14:paraId="00000009" w14:textId="77777777" w:rsidR="000B6F7F" w:rsidRPr="002A5F56" w:rsidRDefault="009F39BD" w:rsidP="002A5F56">
      <w:pPr>
        <w:spacing w:line="360" w:lineRule="auto"/>
        <w:rPr>
          <w:rFonts w:ascii="Arial" w:hAnsi="Arial" w:cs="Arial"/>
        </w:rPr>
      </w:pPr>
      <w:r w:rsidRPr="002A5F56">
        <w:rPr>
          <w:rFonts w:ascii="Arial" w:hAnsi="Arial" w:cs="Arial"/>
        </w:rPr>
        <w:t xml:space="preserve">Criminal practices within any national boundary are monitored and regulated with the help of framed legal statutes. The implication of general duty </w:t>
      </w:r>
      <w:r w:rsidRPr="002A5F56">
        <w:rPr>
          <w:rFonts w:ascii="Arial" w:hAnsi="Arial" w:cs="Arial"/>
        </w:rPr>
        <w:t>ensures the eradication of discriminating acts while prosecuting any criminal activity. Maintaining transparency is aligned with the criminal case through the implication of general duty. Henceforth a written assessment will be developed to address pertinent information about general duty within criminal law. An argumentative discussion will be conducted based on imposing general duty within criminal law.</w:t>
      </w:r>
    </w:p>
    <w:p w14:paraId="0000000A" w14:textId="77777777" w:rsidR="000B6F7F" w:rsidRPr="002A5F56" w:rsidRDefault="009F39BD" w:rsidP="002A5F56">
      <w:pPr>
        <w:pStyle w:val="Titlu1"/>
        <w:spacing w:line="360" w:lineRule="auto"/>
        <w:rPr>
          <w:rFonts w:ascii="Arial" w:hAnsi="Arial" w:cs="Arial"/>
        </w:rPr>
      </w:pPr>
      <w:bookmarkStart w:id="3" w:name="_p1dky96as0k" w:colFirst="0" w:colLast="0"/>
      <w:bookmarkEnd w:id="3"/>
      <w:r w:rsidRPr="002A5F56">
        <w:rPr>
          <w:rFonts w:ascii="Arial" w:hAnsi="Arial" w:cs="Arial"/>
        </w:rPr>
        <w:br w:type="page"/>
      </w:r>
    </w:p>
    <w:p w14:paraId="0000000B" w14:textId="7D6F8B9E" w:rsidR="000B6F7F" w:rsidRPr="002A5F56" w:rsidRDefault="009F39BD" w:rsidP="002A5F56">
      <w:pPr>
        <w:pStyle w:val="Titlu1"/>
        <w:spacing w:line="360" w:lineRule="auto"/>
        <w:rPr>
          <w:rFonts w:ascii="Arial" w:hAnsi="Arial" w:cs="Arial"/>
        </w:rPr>
      </w:pPr>
      <w:bookmarkStart w:id="4" w:name="_vj041qb4uk4q" w:colFirst="0" w:colLast="0"/>
      <w:bookmarkStart w:id="5" w:name="_Toc170402701"/>
      <w:bookmarkEnd w:id="4"/>
      <w:r w:rsidRPr="002A5F56">
        <w:rPr>
          <w:rFonts w:ascii="Arial" w:hAnsi="Arial" w:cs="Arial"/>
        </w:rPr>
        <w:t>Task A</w:t>
      </w:r>
      <w:bookmarkEnd w:id="5"/>
      <w:r w:rsidRPr="002A5F56">
        <w:rPr>
          <w:rFonts w:ascii="Arial" w:hAnsi="Arial" w:cs="Arial"/>
        </w:rPr>
        <w:t xml:space="preserve"> </w:t>
      </w:r>
    </w:p>
    <w:p w14:paraId="0000000C" w14:textId="77777777" w:rsidR="000B6F7F" w:rsidRPr="002A5F56" w:rsidRDefault="009F39BD" w:rsidP="002A5F56">
      <w:pPr>
        <w:pStyle w:val="Titlu2"/>
        <w:spacing w:line="360" w:lineRule="auto"/>
        <w:rPr>
          <w:rFonts w:ascii="Arial" w:hAnsi="Arial" w:cs="Arial"/>
        </w:rPr>
      </w:pPr>
      <w:bookmarkStart w:id="6" w:name="_Toc170402702"/>
      <w:r w:rsidRPr="002A5F56">
        <w:rPr>
          <w:rFonts w:ascii="Arial" w:hAnsi="Arial" w:cs="Arial"/>
        </w:rPr>
        <w:t>General duty to act in criminal law</w:t>
      </w:r>
      <w:bookmarkEnd w:id="6"/>
    </w:p>
    <w:p w14:paraId="0000000D" w14:textId="77777777" w:rsidR="000B6F7F" w:rsidRPr="002A5F56" w:rsidRDefault="009F39BD" w:rsidP="002A5F56">
      <w:pPr>
        <w:spacing w:line="360" w:lineRule="auto"/>
        <w:rPr>
          <w:rFonts w:ascii="Arial" w:hAnsi="Arial" w:cs="Arial"/>
        </w:rPr>
      </w:pPr>
      <w:r w:rsidRPr="002A5F56">
        <w:rPr>
          <w:rFonts w:ascii="Arial" w:hAnsi="Arial" w:cs="Arial"/>
        </w:rPr>
        <w:t xml:space="preserve">General duties are implemented with a major specification to reduce any kind of discriminatory approach and also maintain high accountability during the prosecution period. A sustainable procurement act is maintained through general duty enforcement. The general duties that are incorporated within criminal law have been addressed below. </w:t>
      </w:r>
    </w:p>
    <w:p w14:paraId="0000000F" w14:textId="77777777" w:rsidR="000B6F7F" w:rsidRPr="002A5F56" w:rsidRDefault="009F39BD" w:rsidP="002A5F56">
      <w:pPr>
        <w:spacing w:line="360" w:lineRule="auto"/>
        <w:rPr>
          <w:rFonts w:ascii="Arial" w:hAnsi="Arial" w:cs="Arial"/>
        </w:rPr>
      </w:pPr>
      <w:r w:rsidRPr="002A5F56">
        <w:rPr>
          <w:rFonts w:ascii="Arial" w:hAnsi="Arial" w:cs="Arial"/>
          <w:b/>
          <w:i/>
        </w:rPr>
        <w:t>Statutory duty:</w:t>
      </w:r>
      <w:r w:rsidRPr="002A5F56">
        <w:rPr>
          <w:rFonts w:ascii="Arial" w:hAnsi="Arial" w:cs="Arial"/>
        </w:rPr>
        <w:t xml:space="preserve"> Statutory duty includes maintaining proper tax payment at regular intervals, maintaining health and safety within the society, data protection and many more. Breach of statutory duty is considered under criminal penalty and breach of civil actions. </w:t>
      </w:r>
    </w:p>
    <w:p w14:paraId="00000010" w14:textId="77777777" w:rsidR="000B6F7F" w:rsidRPr="002A5F56" w:rsidRDefault="009F39BD" w:rsidP="002A5F56">
      <w:pPr>
        <w:spacing w:line="360" w:lineRule="auto"/>
        <w:rPr>
          <w:rFonts w:ascii="Arial" w:hAnsi="Arial" w:cs="Arial"/>
        </w:rPr>
      </w:pPr>
      <w:r w:rsidRPr="002A5F56">
        <w:rPr>
          <w:rFonts w:ascii="Arial" w:hAnsi="Arial" w:cs="Arial"/>
          <w:b/>
          <w:i/>
        </w:rPr>
        <w:t>Duty as per the Human Rights Act:</w:t>
      </w:r>
      <w:r w:rsidRPr="002A5F56">
        <w:rPr>
          <w:rFonts w:ascii="Arial" w:hAnsi="Arial" w:cs="Arial"/>
        </w:rPr>
        <w:t xml:space="preserve"> Advocating fundamental freedom and safeguarding basic human rights is expected to be the basic legal performance of any individual or institution (Finch and Fafinski, 2021). Police along with government administrative wings are also considered within the duty to act accordingly to safeguard human rights. Any such violation will be considered under breach of general duty and aligned with criminal practices. </w:t>
      </w:r>
    </w:p>
    <w:p w14:paraId="00000011" w14:textId="6DF4EB0E" w:rsidR="000B6F7F" w:rsidRPr="002A5F56" w:rsidRDefault="009F39BD" w:rsidP="002A5F56">
      <w:pPr>
        <w:spacing w:line="360" w:lineRule="auto"/>
        <w:rPr>
          <w:rFonts w:ascii="Arial" w:hAnsi="Arial" w:cs="Arial"/>
        </w:rPr>
      </w:pPr>
      <w:r w:rsidRPr="002A5F56">
        <w:rPr>
          <w:rFonts w:ascii="Arial" w:hAnsi="Arial" w:cs="Arial"/>
          <w:b/>
          <w:i/>
        </w:rPr>
        <w:t>Duty to care:</w:t>
      </w:r>
      <w:r w:rsidRPr="002A5F56">
        <w:rPr>
          <w:rFonts w:ascii="Arial" w:hAnsi="Arial" w:cs="Arial"/>
        </w:rPr>
        <w:t xml:space="preserve"> </w:t>
      </w:r>
      <w:r w:rsidR="00B91B68" w:rsidRPr="002A5F56">
        <w:rPr>
          <w:rFonts w:ascii="Arial" w:hAnsi="Arial" w:cs="Arial"/>
        </w:rPr>
        <w:t>Unfulfillment</w:t>
      </w:r>
      <w:r w:rsidRPr="002A5F56">
        <w:rPr>
          <w:rFonts w:ascii="Arial" w:hAnsi="Arial" w:cs="Arial"/>
        </w:rPr>
        <w:t xml:space="preserve"> of the Care Service Act and breach of contractual behaviour are addressed as criminal acts as per the legal statutes. As per the general </w:t>
      </w:r>
      <w:r w:rsidR="00B91B68" w:rsidRPr="002A5F56">
        <w:rPr>
          <w:rFonts w:ascii="Arial" w:hAnsi="Arial" w:cs="Arial"/>
        </w:rPr>
        <w:t>duty, the</w:t>
      </w:r>
      <w:r w:rsidRPr="002A5F56">
        <w:rPr>
          <w:rFonts w:ascii="Arial" w:hAnsi="Arial" w:cs="Arial"/>
        </w:rPr>
        <w:t xml:space="preserve"> organisation or individual will be legally accused that have been addressed of preventing the adherence to a standard of legal performance.  </w:t>
      </w:r>
    </w:p>
    <w:p w14:paraId="00000012" w14:textId="77777777" w:rsidR="000B6F7F" w:rsidRPr="002A5F56" w:rsidRDefault="009F39BD" w:rsidP="002A5F56">
      <w:pPr>
        <w:spacing w:line="360" w:lineRule="auto"/>
        <w:rPr>
          <w:rFonts w:ascii="Arial" w:hAnsi="Arial" w:cs="Arial"/>
        </w:rPr>
      </w:pPr>
      <w:r w:rsidRPr="002A5F56">
        <w:rPr>
          <w:rFonts w:ascii="Arial" w:hAnsi="Arial" w:cs="Arial"/>
          <w:b/>
          <w:i/>
        </w:rPr>
        <w:t>Duty to report:</w:t>
      </w:r>
      <w:r w:rsidRPr="002A5F56">
        <w:rPr>
          <w:rFonts w:ascii="Arial" w:hAnsi="Arial" w:cs="Arial"/>
        </w:rPr>
        <w:t xml:space="preserve"> reporting any criminal activity is the most common and required act that needs to be proceeded by the natives of the UK. Addressing criminal activity can ensure controlling further criminal acts. Although to Proceed of Crime Act 2002 addresses any kind of money laundering issue or suspicious act needs to follow a special framework to report. </w:t>
      </w:r>
    </w:p>
    <w:p w14:paraId="00000013" w14:textId="77777777" w:rsidR="000B6F7F" w:rsidRPr="002A5F56" w:rsidRDefault="009F39BD" w:rsidP="002A5F56">
      <w:pPr>
        <w:spacing w:line="360" w:lineRule="auto"/>
        <w:rPr>
          <w:rFonts w:ascii="Arial" w:hAnsi="Arial" w:cs="Arial"/>
        </w:rPr>
      </w:pPr>
      <w:r w:rsidRPr="002A5F56">
        <w:rPr>
          <w:rFonts w:ascii="Arial" w:hAnsi="Arial" w:cs="Arial"/>
          <w:b/>
          <w:i/>
        </w:rPr>
        <w:t>Judicial prosecution duty:</w:t>
      </w:r>
      <w:r w:rsidRPr="002A5F56">
        <w:rPr>
          <w:rFonts w:ascii="Arial" w:hAnsi="Arial" w:cs="Arial"/>
        </w:rPr>
        <w:t xml:space="preserve"> It is the primary duty of the judicial system to deliver fair trial and justice for the criminal case that has been conducted. Providing a scope and unbiased platform to pace appropriate justification to the defendant and make proper cooperation to conduct an adequate procurement process is considered within general duty within criminal law. </w:t>
      </w:r>
    </w:p>
    <w:p w14:paraId="00000014" w14:textId="77777777" w:rsidR="000B6F7F" w:rsidRPr="002A5F56" w:rsidRDefault="009F39BD" w:rsidP="002A5F56">
      <w:pPr>
        <w:pStyle w:val="Titlu2"/>
        <w:spacing w:line="360" w:lineRule="auto"/>
        <w:rPr>
          <w:rFonts w:ascii="Arial" w:hAnsi="Arial" w:cs="Arial"/>
        </w:rPr>
      </w:pPr>
      <w:bookmarkStart w:id="7" w:name="_l1l4ga82oku3" w:colFirst="0" w:colLast="0"/>
      <w:bookmarkStart w:id="8" w:name="_Toc170402703"/>
      <w:bookmarkEnd w:id="7"/>
      <w:r w:rsidRPr="002A5F56">
        <w:rPr>
          <w:rFonts w:ascii="Arial" w:hAnsi="Arial" w:cs="Arial"/>
        </w:rPr>
        <w:t>Requirements for a crime to be committed by omission</w:t>
      </w:r>
      <w:bookmarkEnd w:id="8"/>
    </w:p>
    <w:p w14:paraId="00000015" w14:textId="77777777" w:rsidR="000B6F7F" w:rsidRPr="002A5F56" w:rsidRDefault="009F39BD" w:rsidP="002A5F56">
      <w:pPr>
        <w:spacing w:line="360" w:lineRule="auto"/>
        <w:rPr>
          <w:rFonts w:ascii="Arial" w:hAnsi="Arial" w:cs="Arial"/>
        </w:rPr>
      </w:pPr>
      <w:r w:rsidRPr="002A5F56">
        <w:rPr>
          <w:rFonts w:ascii="Arial" w:hAnsi="Arial" w:cs="Arial"/>
        </w:rPr>
        <w:t>Omission can be stated as a situation where an individual or institution fails to perform and legal code of conduct. The action that has been conducted can happen due to a lack of adequate knowledge or an act of negligence. Obligation arises within such a scenario if the law imposes a duty to act within it and any kind of isolation has been addressed (Herring, 2022). According to Actus reus the scenario where the victim has not been addressed with any kind of physical or contractual association with the wit</w:t>
      </w:r>
      <w:r w:rsidRPr="002A5F56">
        <w:rPr>
          <w:rFonts w:ascii="Arial" w:hAnsi="Arial" w:cs="Arial"/>
        </w:rPr>
        <w:t xml:space="preserve">ness actus reus act can not be implemented. Men's era will be maintained if the duty to act is levied and will be criminally liable. The requirement that can lead to omission has been addressed below. </w:t>
      </w:r>
    </w:p>
    <w:p w14:paraId="00000016" w14:textId="77777777" w:rsidR="000B6F7F" w:rsidRPr="002A5F56" w:rsidRDefault="009F39BD" w:rsidP="002A5F56">
      <w:pPr>
        <w:spacing w:line="360" w:lineRule="auto"/>
        <w:rPr>
          <w:rFonts w:ascii="Arial" w:hAnsi="Arial" w:cs="Arial"/>
        </w:rPr>
      </w:pPr>
      <w:r w:rsidRPr="002A5F56">
        <w:rPr>
          <w:rFonts w:ascii="Arial" w:hAnsi="Arial" w:cs="Arial"/>
          <w:b/>
          <w:i/>
        </w:rPr>
        <w:t xml:space="preserve">Statute: </w:t>
      </w:r>
      <w:r w:rsidRPr="002A5F56">
        <w:rPr>
          <w:rFonts w:ascii="Arial" w:hAnsi="Arial" w:cs="Arial"/>
        </w:rPr>
        <w:t xml:space="preserve">The statutory implication of any duty to act if breached will be considered under a criminal deed. For instance, the social distancing that has been imposed legally, and intentionally breaking the law will be considered a criminal act. </w:t>
      </w:r>
    </w:p>
    <w:p w14:paraId="00000017" w14:textId="77777777" w:rsidR="000B6F7F" w:rsidRPr="002A5F56" w:rsidRDefault="009F39BD" w:rsidP="002A5F56">
      <w:pPr>
        <w:spacing w:line="360" w:lineRule="auto"/>
        <w:rPr>
          <w:rFonts w:ascii="Arial" w:hAnsi="Arial" w:cs="Arial"/>
        </w:rPr>
      </w:pPr>
      <w:r w:rsidRPr="002A5F56">
        <w:rPr>
          <w:rFonts w:ascii="Arial" w:hAnsi="Arial" w:cs="Arial"/>
          <w:b/>
          <w:i/>
        </w:rPr>
        <w:t>Contractual relationship:</w:t>
      </w:r>
      <w:r w:rsidRPr="002A5F56">
        <w:rPr>
          <w:rFonts w:ascii="Arial" w:hAnsi="Arial" w:cs="Arial"/>
        </w:rPr>
        <w:t xml:space="preserve"> Omission can be addressed when there is a presence of any kind of verbal agreement or contract between the parties. For instance, the caretaker would be charged with omission if a life risk has been faced by the individual under their caregiving agreement. </w:t>
      </w:r>
    </w:p>
    <w:p w14:paraId="00000018" w14:textId="77777777" w:rsidR="000B6F7F" w:rsidRPr="002A5F56" w:rsidRDefault="009F39BD" w:rsidP="002A5F56">
      <w:pPr>
        <w:spacing w:line="360" w:lineRule="auto"/>
        <w:rPr>
          <w:rFonts w:ascii="Arial" w:hAnsi="Arial" w:cs="Arial"/>
        </w:rPr>
      </w:pPr>
      <w:r w:rsidRPr="002A5F56">
        <w:rPr>
          <w:rFonts w:ascii="Arial" w:hAnsi="Arial" w:cs="Arial"/>
          <w:b/>
          <w:i/>
        </w:rPr>
        <w:t>Special relationship</w:t>
      </w:r>
      <w:r w:rsidRPr="002A5F56">
        <w:rPr>
          <w:rFonts w:ascii="Arial" w:hAnsi="Arial" w:cs="Arial"/>
        </w:rPr>
        <w:t xml:space="preserve">: Domestic relationships are considered special scenarios where a duty of act is majorly implemented (Macdonald, 2018). For instance, if the son has denied accommodation to his mother and refused to take care of her medically and hence she dies will be considered as criminal activity. </w:t>
      </w:r>
    </w:p>
    <w:p w14:paraId="00000019" w14:textId="77777777" w:rsidR="000B6F7F" w:rsidRPr="002A5F56" w:rsidRDefault="009F39BD" w:rsidP="002A5F56">
      <w:pPr>
        <w:spacing w:line="360" w:lineRule="auto"/>
        <w:rPr>
          <w:rFonts w:ascii="Arial" w:hAnsi="Arial" w:cs="Arial"/>
        </w:rPr>
      </w:pPr>
      <w:r w:rsidRPr="002A5F56">
        <w:rPr>
          <w:rFonts w:ascii="Arial" w:hAnsi="Arial" w:cs="Arial"/>
          <w:b/>
          <w:i/>
        </w:rPr>
        <w:t>Voluntary assumption:</w:t>
      </w:r>
      <w:r w:rsidRPr="002A5F56">
        <w:rPr>
          <w:rFonts w:ascii="Arial" w:hAnsi="Arial" w:cs="Arial"/>
        </w:rPr>
        <w:t xml:space="preserve"> A situation where the in charge of the kids has failed to feed them and died due to starvation will be considered under voluntary assumption. The accused person will be criminally liable as they have failed to comply with their act of duty.  </w:t>
      </w:r>
    </w:p>
    <w:p w14:paraId="0000001A" w14:textId="77777777" w:rsidR="000B6F7F" w:rsidRPr="002A5F56" w:rsidRDefault="009F39BD" w:rsidP="002A5F56">
      <w:pPr>
        <w:spacing w:line="360" w:lineRule="auto"/>
        <w:rPr>
          <w:rFonts w:ascii="Arial" w:hAnsi="Arial" w:cs="Arial"/>
        </w:rPr>
      </w:pPr>
      <w:r w:rsidRPr="002A5F56">
        <w:rPr>
          <w:rFonts w:ascii="Arial" w:hAnsi="Arial" w:cs="Arial"/>
        </w:rPr>
        <w:br w:type="page"/>
      </w:r>
    </w:p>
    <w:p w14:paraId="0000001B" w14:textId="77777777" w:rsidR="000B6F7F" w:rsidRPr="002A5F56" w:rsidRDefault="009F39BD" w:rsidP="002A5F56">
      <w:pPr>
        <w:pStyle w:val="Titlu2"/>
        <w:spacing w:line="360" w:lineRule="auto"/>
        <w:rPr>
          <w:rFonts w:ascii="Arial" w:hAnsi="Arial" w:cs="Arial"/>
        </w:rPr>
      </w:pPr>
      <w:bookmarkStart w:id="9" w:name="_hw96qawyojf5" w:colFirst="0" w:colLast="0"/>
      <w:bookmarkStart w:id="10" w:name="_Toc170402704"/>
      <w:bookmarkEnd w:id="9"/>
      <w:r w:rsidRPr="002A5F56">
        <w:rPr>
          <w:rFonts w:ascii="Arial" w:hAnsi="Arial" w:cs="Arial"/>
        </w:rPr>
        <w:t>Statutory duty</w:t>
      </w:r>
      <w:bookmarkEnd w:id="10"/>
    </w:p>
    <w:p w14:paraId="0000001C" w14:textId="77777777" w:rsidR="000B6F7F" w:rsidRPr="002A5F56" w:rsidRDefault="009F39BD" w:rsidP="002A5F56">
      <w:pPr>
        <w:spacing w:line="360" w:lineRule="auto"/>
        <w:rPr>
          <w:rFonts w:ascii="Arial" w:hAnsi="Arial" w:cs="Arial"/>
        </w:rPr>
      </w:pPr>
      <w:r w:rsidRPr="002A5F56">
        <w:rPr>
          <w:rFonts w:ascii="Arial" w:hAnsi="Arial" w:cs="Arial"/>
        </w:rPr>
        <w:t>The statutory duties possess varied subsections that include factors like emergency service, health and safety, environmental safety and many more. The Health and Safety Act issued by the UK government has stated the work environment conduction and maintenance of safety factors of the associates (Taylor, 2018). The organisation found the defaulter to breach the Health and Safety Act is liable to criminal law. Furthermore, the casual approach and intentional damage of child protection is also addressed as st</w:t>
      </w:r>
      <w:r w:rsidRPr="002A5F56">
        <w:rPr>
          <w:rFonts w:ascii="Arial" w:hAnsi="Arial" w:cs="Arial"/>
        </w:rPr>
        <w:t xml:space="preserve">atutory duty omission within criminal law. For instance, Volkswagen has been addressed with the omission of Statutory duty through their default engine installation within an eco-friendly car design.  </w:t>
      </w:r>
    </w:p>
    <w:p w14:paraId="0000001D" w14:textId="77777777" w:rsidR="000B6F7F" w:rsidRPr="002A5F56" w:rsidRDefault="009F39BD" w:rsidP="002A5F56">
      <w:pPr>
        <w:pStyle w:val="Titlu2"/>
        <w:spacing w:line="360" w:lineRule="auto"/>
        <w:rPr>
          <w:rFonts w:ascii="Arial" w:hAnsi="Arial" w:cs="Arial"/>
        </w:rPr>
      </w:pPr>
      <w:bookmarkStart w:id="11" w:name="_k0jcpevcol9i" w:colFirst="0" w:colLast="0"/>
      <w:bookmarkStart w:id="12" w:name="_Toc170402705"/>
      <w:bookmarkEnd w:id="11"/>
      <w:r w:rsidRPr="002A5F56">
        <w:rPr>
          <w:rFonts w:ascii="Arial" w:hAnsi="Arial" w:cs="Arial"/>
        </w:rPr>
        <w:t>Contractual and Duty Act</w:t>
      </w:r>
      <w:bookmarkEnd w:id="12"/>
    </w:p>
    <w:p w14:paraId="0000001E" w14:textId="77777777" w:rsidR="000B6F7F" w:rsidRPr="002A5F56" w:rsidRDefault="009F39BD" w:rsidP="002A5F56">
      <w:pPr>
        <w:spacing w:line="360" w:lineRule="auto"/>
        <w:rPr>
          <w:rFonts w:ascii="Arial" w:hAnsi="Arial" w:cs="Arial"/>
        </w:rPr>
      </w:pPr>
      <w:r w:rsidRPr="002A5F56">
        <w:rPr>
          <w:rFonts w:ascii="Arial" w:hAnsi="Arial" w:cs="Arial"/>
        </w:rPr>
        <w:t>The contractual duty includes employment contracts and any kind of care contract. The institution or individual aligned with any kind of contract needs to perform their contractual duty appropriately. Any kind of casual approach and negligence breaches the contractual duty and raises the criminal law inclusion (Rowan, 2021). Duty acts also include providing shelter, volunteering assistance and many more services that possess sincere responsibility within it. Omission to fulfil the responsibility and fata lo</w:t>
      </w:r>
      <w:r w:rsidRPr="002A5F56">
        <w:rPr>
          <w:rFonts w:ascii="Arial" w:hAnsi="Arial" w:cs="Arial"/>
        </w:rPr>
        <w:t xml:space="preserve">ss happened through it will be considered as criminal activity.  </w:t>
      </w:r>
    </w:p>
    <w:p w14:paraId="0000001F" w14:textId="77777777" w:rsidR="000B6F7F" w:rsidRPr="002A5F56" w:rsidRDefault="000B6F7F" w:rsidP="002A5F56">
      <w:pPr>
        <w:spacing w:line="360" w:lineRule="auto"/>
        <w:rPr>
          <w:rFonts w:ascii="Arial" w:hAnsi="Arial" w:cs="Arial"/>
        </w:rPr>
      </w:pPr>
      <w:bookmarkStart w:id="13" w:name="_f9y538umzctf" w:colFirst="0" w:colLast="0"/>
      <w:bookmarkEnd w:id="13"/>
    </w:p>
    <w:p w14:paraId="6DDB4890" w14:textId="77777777" w:rsidR="00EF392F" w:rsidRPr="002A5F56" w:rsidRDefault="00EF392F" w:rsidP="002A5F56">
      <w:pPr>
        <w:spacing w:line="360" w:lineRule="auto"/>
        <w:rPr>
          <w:rFonts w:ascii="Arial" w:hAnsi="Arial" w:cs="Arial"/>
          <w:b/>
          <w:sz w:val="28"/>
          <w:szCs w:val="28"/>
        </w:rPr>
      </w:pPr>
      <w:bookmarkStart w:id="14" w:name="_tbijf8ydaqnd" w:colFirst="0" w:colLast="0"/>
      <w:bookmarkStart w:id="15" w:name="_okl79a4azeev" w:colFirst="0" w:colLast="0"/>
      <w:bookmarkEnd w:id="14"/>
      <w:bookmarkEnd w:id="15"/>
      <w:r w:rsidRPr="002A5F56">
        <w:rPr>
          <w:rFonts w:ascii="Arial" w:hAnsi="Arial" w:cs="Arial"/>
        </w:rPr>
        <w:br w:type="page"/>
      </w:r>
    </w:p>
    <w:p w14:paraId="00000021" w14:textId="369E316F" w:rsidR="000B6F7F" w:rsidRPr="002A5F56" w:rsidRDefault="009F39BD" w:rsidP="002A5F56">
      <w:pPr>
        <w:pStyle w:val="Titlu1"/>
        <w:spacing w:line="360" w:lineRule="auto"/>
        <w:rPr>
          <w:rFonts w:ascii="Arial" w:hAnsi="Arial" w:cs="Arial"/>
        </w:rPr>
      </w:pPr>
      <w:bookmarkStart w:id="16" w:name="_Toc170402706"/>
      <w:r w:rsidRPr="002A5F56">
        <w:rPr>
          <w:rFonts w:ascii="Arial" w:hAnsi="Arial" w:cs="Arial"/>
        </w:rPr>
        <w:t>TASK B</w:t>
      </w:r>
      <w:bookmarkEnd w:id="16"/>
      <w:r w:rsidRPr="002A5F56">
        <w:rPr>
          <w:rFonts w:ascii="Arial" w:hAnsi="Arial" w:cs="Arial"/>
        </w:rPr>
        <w:t xml:space="preserve"> </w:t>
      </w:r>
    </w:p>
    <w:p w14:paraId="00000022" w14:textId="77777777" w:rsidR="000B6F7F" w:rsidRPr="002A5F56" w:rsidRDefault="009F39BD" w:rsidP="002A5F56">
      <w:pPr>
        <w:pStyle w:val="Titlu2"/>
        <w:spacing w:line="360" w:lineRule="auto"/>
        <w:rPr>
          <w:rFonts w:ascii="Arial" w:hAnsi="Arial" w:cs="Arial"/>
        </w:rPr>
      </w:pPr>
      <w:bookmarkStart w:id="17" w:name="_ewa72hfykmfw" w:colFirst="0" w:colLast="0"/>
      <w:bookmarkStart w:id="18" w:name="_Toc170402707"/>
      <w:bookmarkEnd w:id="17"/>
      <w:r w:rsidRPr="002A5F56">
        <w:rPr>
          <w:rFonts w:ascii="Arial" w:hAnsi="Arial" w:cs="Arial"/>
        </w:rPr>
        <w:t>Argumentation based on the significance of general duty within criminal law</w:t>
      </w:r>
      <w:bookmarkEnd w:id="18"/>
    </w:p>
    <w:p w14:paraId="00000023" w14:textId="77777777" w:rsidR="000B6F7F" w:rsidRPr="002A5F56" w:rsidRDefault="009F39BD" w:rsidP="002A5F56">
      <w:pPr>
        <w:spacing w:line="360" w:lineRule="auto"/>
        <w:rPr>
          <w:rFonts w:ascii="Arial" w:hAnsi="Arial" w:cs="Arial"/>
          <w:b/>
          <w:u w:val="single"/>
        </w:rPr>
      </w:pPr>
      <w:r w:rsidRPr="002A5F56">
        <w:rPr>
          <w:rFonts w:ascii="Arial" w:hAnsi="Arial" w:cs="Arial"/>
          <w:b/>
          <w:u w:val="single"/>
        </w:rPr>
        <w:t xml:space="preserve">Advantages </w:t>
      </w:r>
    </w:p>
    <w:p w14:paraId="00000024" w14:textId="3058929A" w:rsidR="000B6F7F" w:rsidRPr="002A5F56" w:rsidRDefault="009F39BD" w:rsidP="002A5F56">
      <w:pPr>
        <w:spacing w:line="360" w:lineRule="auto"/>
        <w:rPr>
          <w:rFonts w:ascii="Arial" w:hAnsi="Arial" w:cs="Arial"/>
        </w:rPr>
      </w:pPr>
      <w:r w:rsidRPr="002A5F56">
        <w:rPr>
          <w:rFonts w:ascii="Arial" w:hAnsi="Arial" w:cs="Arial"/>
          <w:b/>
          <w:i/>
        </w:rPr>
        <w:t>Preventing any kind of harm</w:t>
      </w:r>
      <w:r w:rsidRPr="002A5F56">
        <w:rPr>
          <w:rFonts w:ascii="Arial" w:hAnsi="Arial" w:cs="Arial"/>
        </w:rPr>
        <w:t xml:space="preserve">: General duty laid a clear direction to the </w:t>
      </w:r>
      <w:r w:rsidRPr="002A5F56">
        <w:rPr>
          <w:rFonts w:ascii="Arial" w:hAnsi="Arial" w:cs="Arial"/>
        </w:rPr>
        <w:t>society to develop a code of conduct to reduce harmful activity within the society</w:t>
      </w:r>
      <w:r w:rsidR="00266C5F" w:rsidRPr="002A5F56">
        <w:rPr>
          <w:rFonts w:ascii="Arial" w:hAnsi="Arial" w:cs="Arial"/>
        </w:rPr>
        <w:t xml:space="preserve"> (Roberts and Zuckerman, 2022). </w:t>
      </w:r>
      <w:r w:rsidR="006B5703" w:rsidRPr="002A5F56">
        <w:rPr>
          <w:rFonts w:ascii="Arial" w:hAnsi="Arial" w:cs="Arial"/>
        </w:rPr>
        <w:t>The</w:t>
      </w:r>
      <w:r w:rsidRPr="002A5F56">
        <w:rPr>
          <w:rFonts w:ascii="Arial" w:hAnsi="Arial" w:cs="Arial"/>
        </w:rPr>
        <w:t xml:space="preserve"> case study of R v</w:t>
      </w:r>
      <w:r w:rsidR="006B5703" w:rsidRPr="002A5F56">
        <w:rPr>
          <w:rFonts w:ascii="Arial" w:hAnsi="Arial" w:cs="Arial"/>
        </w:rPr>
        <w:t>,</w:t>
      </w:r>
      <w:r w:rsidRPr="002A5F56">
        <w:rPr>
          <w:rFonts w:ascii="Arial" w:hAnsi="Arial" w:cs="Arial"/>
        </w:rPr>
        <w:t xml:space="preserve"> Miller 1983 has elaborated the criminological scenario that has been </w:t>
      </w:r>
      <w:r w:rsidR="00266C5F" w:rsidRPr="002A5F56">
        <w:rPr>
          <w:rFonts w:ascii="Arial" w:hAnsi="Arial" w:cs="Arial"/>
        </w:rPr>
        <w:t>aligned</w:t>
      </w:r>
      <w:r w:rsidRPr="002A5F56">
        <w:rPr>
          <w:rFonts w:ascii="Arial" w:hAnsi="Arial" w:cs="Arial"/>
        </w:rPr>
        <w:t xml:space="preserve"> to criminal activity based on the general duty breach</w:t>
      </w:r>
      <w:r w:rsidR="00266C5F" w:rsidRPr="002A5F56">
        <w:rPr>
          <w:rFonts w:ascii="Arial" w:hAnsi="Arial" w:cs="Arial"/>
        </w:rPr>
        <w:t xml:space="preserve"> </w:t>
      </w:r>
      <w:sdt>
        <w:sdtPr>
          <w:rPr>
            <w:rFonts w:ascii="Arial" w:hAnsi="Arial" w:cs="Arial"/>
          </w:rPr>
          <w:id w:val="72401035"/>
          <w:citation/>
        </w:sdtPr>
        <w:sdtEndPr/>
        <w:sdtContent>
          <w:r w:rsidR="00266C5F" w:rsidRPr="002A5F56">
            <w:rPr>
              <w:rFonts w:ascii="Arial" w:hAnsi="Arial" w:cs="Arial"/>
            </w:rPr>
            <w:fldChar w:fldCharType="begin"/>
          </w:r>
          <w:r w:rsidR="00266C5F" w:rsidRPr="002A5F56">
            <w:rPr>
              <w:rFonts w:ascii="Arial" w:hAnsi="Arial" w:cs="Arial"/>
              <w:lang w:val="en-US"/>
            </w:rPr>
            <w:instrText xml:space="preserve"> CITATION Jud19 \l 1033 </w:instrText>
          </w:r>
          <w:r w:rsidR="00266C5F" w:rsidRPr="002A5F56">
            <w:rPr>
              <w:rFonts w:ascii="Arial" w:hAnsi="Arial" w:cs="Arial"/>
            </w:rPr>
            <w:fldChar w:fldCharType="separate"/>
          </w:r>
          <w:r w:rsidR="00266C5F" w:rsidRPr="002A5F56">
            <w:rPr>
              <w:rFonts w:ascii="Arial" w:hAnsi="Arial" w:cs="Arial"/>
              <w:noProof/>
              <w:lang w:val="en-US"/>
            </w:rPr>
            <w:t>(Judiciary.UK, 2019)</w:t>
          </w:r>
          <w:r w:rsidR="00266C5F" w:rsidRPr="002A5F56">
            <w:rPr>
              <w:rFonts w:ascii="Arial" w:hAnsi="Arial" w:cs="Arial"/>
            </w:rPr>
            <w:fldChar w:fldCharType="end"/>
          </w:r>
        </w:sdtContent>
      </w:sdt>
      <w:r w:rsidRPr="002A5F56">
        <w:rPr>
          <w:rFonts w:ascii="Arial" w:hAnsi="Arial" w:cs="Arial"/>
        </w:rPr>
        <w:t xml:space="preserve">. A sense of casualty that leads to massive social destruction makes the individual responsible for the criminal activity. In this case, Miller failed to take an effective responsible approach to extinguish the fire that was raging at a fast speed. The outbreak of the fire has caused huge harm. Actus reus has been charged. This case has addressed the actus reus has been interpreted as a failure to act accordingly that will be addressed as criminal activity.  </w:t>
      </w:r>
    </w:p>
    <w:p w14:paraId="00000025" w14:textId="4E5ED5F7" w:rsidR="000B6F7F" w:rsidRPr="002A5F56" w:rsidRDefault="009F39BD" w:rsidP="002A5F56">
      <w:pPr>
        <w:spacing w:line="360" w:lineRule="auto"/>
        <w:rPr>
          <w:rFonts w:ascii="Arial" w:hAnsi="Arial" w:cs="Arial"/>
        </w:rPr>
      </w:pPr>
      <w:r w:rsidRPr="002A5F56">
        <w:rPr>
          <w:rFonts w:ascii="Arial" w:hAnsi="Arial" w:cs="Arial"/>
          <w:b/>
          <w:i/>
        </w:rPr>
        <w:t>Developing moral responsibility:</w:t>
      </w:r>
      <w:r w:rsidRPr="002A5F56">
        <w:rPr>
          <w:rFonts w:ascii="Arial" w:hAnsi="Arial" w:cs="Arial"/>
        </w:rPr>
        <w:t xml:space="preserve"> Acknowledgement of moral responsibility within the society is ensured with the help of general act implementation. Volunteering activity as well as helping intention also possesses a certain level of responsibility and a sincere approach has been addressed within the legal framework. According to the case study of R v Gibbins and Proctor 1918 has f</w:t>
      </w:r>
      <w:r w:rsidR="00266C5F" w:rsidRPr="002A5F56">
        <w:rPr>
          <w:rFonts w:ascii="Arial" w:hAnsi="Arial" w:cs="Arial"/>
        </w:rPr>
        <w:t>ailed to feed</w:t>
      </w:r>
      <w:r w:rsidRPr="002A5F56">
        <w:rPr>
          <w:rFonts w:ascii="Arial" w:hAnsi="Arial" w:cs="Arial"/>
        </w:rPr>
        <w:t xml:space="preserve"> their child and died through starvation</w:t>
      </w:r>
      <w:r w:rsidR="00266C5F" w:rsidRPr="002A5F56">
        <w:rPr>
          <w:rFonts w:ascii="Arial" w:hAnsi="Arial" w:cs="Arial"/>
        </w:rPr>
        <w:t xml:space="preserve"> </w:t>
      </w:r>
      <w:sdt>
        <w:sdtPr>
          <w:rPr>
            <w:rFonts w:ascii="Arial" w:hAnsi="Arial" w:cs="Arial"/>
          </w:rPr>
          <w:id w:val="-1818794454"/>
          <w:citation/>
        </w:sdtPr>
        <w:sdtEndPr/>
        <w:sdtContent>
          <w:r w:rsidR="00266C5F" w:rsidRPr="002A5F56">
            <w:rPr>
              <w:rFonts w:ascii="Arial" w:hAnsi="Arial" w:cs="Arial"/>
            </w:rPr>
            <w:fldChar w:fldCharType="begin"/>
          </w:r>
          <w:r w:rsidR="00266C5F" w:rsidRPr="002A5F56">
            <w:rPr>
              <w:rFonts w:ascii="Arial" w:hAnsi="Arial" w:cs="Arial"/>
              <w:lang w:val="en-US"/>
            </w:rPr>
            <w:instrText xml:space="preserve"> CITATION Gov245 \l 1033 </w:instrText>
          </w:r>
          <w:r w:rsidR="00266C5F" w:rsidRPr="002A5F56">
            <w:rPr>
              <w:rFonts w:ascii="Arial" w:hAnsi="Arial" w:cs="Arial"/>
            </w:rPr>
            <w:fldChar w:fldCharType="separate"/>
          </w:r>
          <w:r w:rsidR="00266C5F" w:rsidRPr="002A5F56">
            <w:rPr>
              <w:rFonts w:ascii="Arial" w:hAnsi="Arial" w:cs="Arial"/>
              <w:noProof/>
              <w:lang w:val="en-US"/>
            </w:rPr>
            <w:t>(Gov.UK, 2024)</w:t>
          </w:r>
          <w:r w:rsidR="00266C5F" w:rsidRPr="002A5F56">
            <w:rPr>
              <w:rFonts w:ascii="Arial" w:hAnsi="Arial" w:cs="Arial"/>
            </w:rPr>
            <w:fldChar w:fldCharType="end"/>
          </w:r>
        </w:sdtContent>
      </w:sdt>
      <w:r w:rsidRPr="002A5F56">
        <w:rPr>
          <w:rFonts w:ascii="Arial" w:hAnsi="Arial" w:cs="Arial"/>
        </w:rPr>
        <w:t xml:space="preserve">. This case study has highlighted that failure to fulfil basic moral responsibility is also considered criminal activity. Specific relationships especially domestic ones are considered to develop a sense of moral responsibility with the help of general acts of duty. </w:t>
      </w:r>
    </w:p>
    <w:p w14:paraId="00000026" w14:textId="77777777" w:rsidR="000B6F7F" w:rsidRPr="002A5F56" w:rsidRDefault="009F39BD" w:rsidP="002A5F56">
      <w:pPr>
        <w:spacing w:line="360" w:lineRule="auto"/>
        <w:rPr>
          <w:rFonts w:ascii="Arial" w:hAnsi="Arial" w:cs="Arial"/>
          <w:b/>
          <w:u w:val="single"/>
        </w:rPr>
      </w:pPr>
      <w:r w:rsidRPr="002A5F56">
        <w:rPr>
          <w:rFonts w:ascii="Arial" w:hAnsi="Arial" w:cs="Arial"/>
          <w:b/>
          <w:u w:val="single"/>
        </w:rPr>
        <w:t>Disadvantages</w:t>
      </w:r>
    </w:p>
    <w:p w14:paraId="00000027" w14:textId="146ED8E3" w:rsidR="000B6F7F" w:rsidRPr="002A5F56" w:rsidRDefault="009F39BD" w:rsidP="002A5F56">
      <w:pPr>
        <w:spacing w:line="360" w:lineRule="auto"/>
        <w:rPr>
          <w:rFonts w:ascii="Arial" w:hAnsi="Arial" w:cs="Arial"/>
        </w:rPr>
      </w:pPr>
      <w:r w:rsidRPr="002A5F56">
        <w:rPr>
          <w:rFonts w:ascii="Arial" w:hAnsi="Arial" w:cs="Arial"/>
        </w:rPr>
        <w:t>Practical enforcement: Often the prosecution stage has been identified with unfair practices and leads to a discriminating approach. The establishment of general duty directs the administrative as well as legal bodies to maintain basic human rights acts during the procurement period. However, a complex scenario emerges during the prosecution process that creates a chance to deliver vagueness within the judgemental statement. The case study of R</w:t>
      </w:r>
      <w:r w:rsidR="00266C5F" w:rsidRPr="002A5F56">
        <w:rPr>
          <w:rFonts w:ascii="Arial" w:hAnsi="Arial" w:cs="Arial"/>
        </w:rPr>
        <w:t xml:space="preserve"> </w:t>
      </w:r>
      <w:r w:rsidRPr="002A5F56">
        <w:rPr>
          <w:rFonts w:ascii="Arial" w:hAnsi="Arial" w:cs="Arial"/>
        </w:rPr>
        <w:t xml:space="preserve">v Smith 1979 exhibited the complex situation that </w:t>
      </w:r>
      <w:r w:rsidR="006B5703" w:rsidRPr="002A5F56">
        <w:rPr>
          <w:rFonts w:ascii="Arial" w:hAnsi="Arial" w:cs="Arial"/>
        </w:rPr>
        <w:t>occurred</w:t>
      </w:r>
      <w:r w:rsidRPr="002A5F56">
        <w:rPr>
          <w:rFonts w:ascii="Arial" w:hAnsi="Arial" w:cs="Arial"/>
        </w:rPr>
        <w:t xml:space="preserve"> during the procurement process of judgment</w:t>
      </w:r>
      <w:r w:rsidR="00266C5F" w:rsidRPr="002A5F56">
        <w:rPr>
          <w:rFonts w:ascii="Arial" w:hAnsi="Arial" w:cs="Arial"/>
        </w:rPr>
        <w:t xml:space="preserve"> </w:t>
      </w:r>
      <w:sdt>
        <w:sdtPr>
          <w:rPr>
            <w:rFonts w:ascii="Arial" w:hAnsi="Arial" w:cs="Arial"/>
          </w:rPr>
          <w:id w:val="945047639"/>
          <w:citation/>
        </w:sdtPr>
        <w:sdtEndPr/>
        <w:sdtContent>
          <w:r w:rsidR="00266C5F" w:rsidRPr="002A5F56">
            <w:rPr>
              <w:rFonts w:ascii="Arial" w:hAnsi="Arial" w:cs="Arial"/>
            </w:rPr>
            <w:fldChar w:fldCharType="begin"/>
          </w:r>
          <w:r w:rsidR="00266C5F" w:rsidRPr="002A5F56">
            <w:rPr>
              <w:rFonts w:ascii="Arial" w:hAnsi="Arial" w:cs="Arial"/>
              <w:lang w:val="en-US"/>
            </w:rPr>
            <w:instrText xml:space="preserve"> CITATION Par24 \l 1033 </w:instrText>
          </w:r>
          <w:r w:rsidR="00266C5F" w:rsidRPr="002A5F56">
            <w:rPr>
              <w:rFonts w:ascii="Arial" w:hAnsi="Arial" w:cs="Arial"/>
            </w:rPr>
            <w:fldChar w:fldCharType="separate"/>
          </w:r>
          <w:r w:rsidR="00266C5F" w:rsidRPr="002A5F56">
            <w:rPr>
              <w:rFonts w:ascii="Arial" w:hAnsi="Arial" w:cs="Arial"/>
              <w:noProof/>
              <w:lang w:val="en-US"/>
            </w:rPr>
            <w:t>(Parliament.uk, 2024)</w:t>
          </w:r>
          <w:r w:rsidR="00266C5F" w:rsidRPr="002A5F56">
            <w:rPr>
              <w:rFonts w:ascii="Arial" w:hAnsi="Arial" w:cs="Arial"/>
            </w:rPr>
            <w:fldChar w:fldCharType="end"/>
          </w:r>
        </w:sdtContent>
      </w:sdt>
      <w:r w:rsidRPr="002A5F56">
        <w:rPr>
          <w:rFonts w:ascii="Arial" w:hAnsi="Arial" w:cs="Arial"/>
        </w:rPr>
        <w:t xml:space="preserve">. A person was stabbed by the </w:t>
      </w:r>
      <w:r w:rsidR="00266C5F" w:rsidRPr="002A5F56">
        <w:rPr>
          <w:rFonts w:ascii="Arial" w:hAnsi="Arial" w:cs="Arial"/>
        </w:rPr>
        <w:t>defendant, Smith</w:t>
      </w:r>
      <w:r w:rsidRPr="002A5F56">
        <w:rPr>
          <w:rFonts w:ascii="Arial" w:hAnsi="Arial" w:cs="Arial"/>
        </w:rPr>
        <w:t xml:space="preserve"> who was the main accused of the case. The stabbed person was taken to hospital for medical treatment although twice he was mishandled and the delay in a medical facility has been addressed. Hence the defendant has argued the lung injury due to which the person collapsed could have survived if he had not medically mishandled</w:t>
      </w:r>
      <w:r w:rsidR="00266C5F" w:rsidRPr="002A5F56">
        <w:rPr>
          <w:rFonts w:ascii="Arial" w:hAnsi="Arial" w:cs="Arial"/>
        </w:rPr>
        <w:t xml:space="preserve"> (Amos, 2021). </w:t>
      </w:r>
      <w:r w:rsidRPr="002A5F56">
        <w:rPr>
          <w:rFonts w:ascii="Arial" w:hAnsi="Arial" w:cs="Arial"/>
        </w:rPr>
        <w:t>This created a complex situation for the judiciary system to deliver appropriate judgment for the case. According to the general act, negligence shown by the health care u</w:t>
      </w:r>
      <w:r w:rsidRPr="002A5F56">
        <w:rPr>
          <w:rFonts w:ascii="Arial" w:hAnsi="Arial" w:cs="Arial"/>
        </w:rPr>
        <w:t xml:space="preserve">nit is also treated as criminal activity. Henceforth the judgement has included stabbing as the operating cause for the death of the victim and the chain of causation has been addressed as unbroken within this case. The court has showcased threat has been made after confession and therefore it will not be considered active speculation within the </w:t>
      </w:r>
      <w:r w:rsidR="006B5703" w:rsidRPr="002A5F56">
        <w:rPr>
          <w:rFonts w:ascii="Arial" w:hAnsi="Arial" w:cs="Arial"/>
        </w:rPr>
        <w:t>defendant's</w:t>
      </w:r>
      <w:r w:rsidRPr="002A5F56">
        <w:rPr>
          <w:rFonts w:ascii="Arial" w:hAnsi="Arial" w:cs="Arial"/>
        </w:rPr>
        <w:t xml:space="preserve"> statement.  </w:t>
      </w:r>
    </w:p>
    <w:p w14:paraId="00000028" w14:textId="77777777" w:rsidR="000B6F7F" w:rsidRPr="002A5F56" w:rsidRDefault="000B6F7F" w:rsidP="002A5F56">
      <w:pPr>
        <w:spacing w:line="360" w:lineRule="auto"/>
        <w:rPr>
          <w:rFonts w:ascii="Arial" w:hAnsi="Arial" w:cs="Arial"/>
        </w:rPr>
      </w:pPr>
    </w:p>
    <w:p w14:paraId="00000029" w14:textId="77777777" w:rsidR="000B6F7F" w:rsidRPr="002A5F56" w:rsidRDefault="000B6F7F" w:rsidP="002A5F56">
      <w:pPr>
        <w:spacing w:line="360" w:lineRule="auto"/>
        <w:rPr>
          <w:rFonts w:ascii="Arial" w:hAnsi="Arial" w:cs="Arial"/>
        </w:rPr>
      </w:pPr>
    </w:p>
    <w:p w14:paraId="0000002A" w14:textId="77777777" w:rsidR="000B6F7F" w:rsidRPr="002A5F56" w:rsidRDefault="000B6F7F" w:rsidP="002A5F56">
      <w:pPr>
        <w:spacing w:line="360" w:lineRule="auto"/>
        <w:rPr>
          <w:rFonts w:ascii="Arial" w:hAnsi="Arial" w:cs="Arial"/>
        </w:rPr>
      </w:pPr>
    </w:p>
    <w:p w14:paraId="0000002B" w14:textId="77777777" w:rsidR="000B6F7F" w:rsidRPr="002A5F56" w:rsidRDefault="000B6F7F" w:rsidP="002A5F56">
      <w:pPr>
        <w:spacing w:line="360" w:lineRule="auto"/>
        <w:rPr>
          <w:rFonts w:ascii="Arial" w:hAnsi="Arial" w:cs="Arial"/>
        </w:rPr>
      </w:pPr>
    </w:p>
    <w:p w14:paraId="0000002C" w14:textId="77777777" w:rsidR="000B6F7F" w:rsidRPr="002A5F56" w:rsidRDefault="009F39BD" w:rsidP="002A5F56">
      <w:pPr>
        <w:pStyle w:val="Titlu1"/>
        <w:spacing w:line="360" w:lineRule="auto"/>
        <w:rPr>
          <w:rFonts w:ascii="Arial" w:hAnsi="Arial" w:cs="Arial"/>
        </w:rPr>
      </w:pPr>
      <w:bookmarkStart w:id="19" w:name="_xp8ageneh0ia" w:colFirst="0" w:colLast="0"/>
      <w:bookmarkEnd w:id="19"/>
      <w:r w:rsidRPr="002A5F56">
        <w:rPr>
          <w:rFonts w:ascii="Arial" w:hAnsi="Arial" w:cs="Arial"/>
        </w:rPr>
        <w:br w:type="page"/>
      </w:r>
    </w:p>
    <w:p w14:paraId="0000002D" w14:textId="77777777" w:rsidR="000B6F7F" w:rsidRPr="002A5F56" w:rsidRDefault="009F39BD" w:rsidP="002A5F56">
      <w:pPr>
        <w:pStyle w:val="Titlu1"/>
        <w:spacing w:line="360" w:lineRule="auto"/>
        <w:rPr>
          <w:rFonts w:ascii="Arial" w:hAnsi="Arial" w:cs="Arial"/>
        </w:rPr>
      </w:pPr>
      <w:bookmarkStart w:id="20" w:name="_yhxkh2q40a2" w:colFirst="0" w:colLast="0"/>
      <w:bookmarkStart w:id="21" w:name="_Toc170402708"/>
      <w:bookmarkEnd w:id="20"/>
      <w:r w:rsidRPr="002A5F56">
        <w:rPr>
          <w:rFonts w:ascii="Arial" w:hAnsi="Arial" w:cs="Arial"/>
        </w:rPr>
        <w:t>Conclusion</w:t>
      </w:r>
      <w:bookmarkEnd w:id="21"/>
      <w:r w:rsidRPr="002A5F56">
        <w:rPr>
          <w:rFonts w:ascii="Arial" w:hAnsi="Arial" w:cs="Arial"/>
        </w:rPr>
        <w:t xml:space="preserve"> </w:t>
      </w:r>
    </w:p>
    <w:p w14:paraId="0000002E" w14:textId="77777777" w:rsidR="000B6F7F" w:rsidRPr="002A5F56" w:rsidRDefault="009F39BD" w:rsidP="002A5F56">
      <w:pPr>
        <w:spacing w:line="360" w:lineRule="auto"/>
        <w:rPr>
          <w:rFonts w:ascii="Arial" w:hAnsi="Arial" w:cs="Arial"/>
        </w:rPr>
      </w:pPr>
      <w:r w:rsidRPr="002A5F56">
        <w:rPr>
          <w:rFonts w:ascii="Arial" w:hAnsi="Arial" w:cs="Arial"/>
        </w:rPr>
        <w:t>The written assignment has exhibited a detailed discussion related to general acts within criminal law. The elements of the general act have been addressed including an act of care, an act to safeguard human rights and many more. On the other hand, omission within criminal law has been described in detail. Statutory, contractual and special relationships have been addressed to elaborate the scenario of omission and its inclusion within criminal law. The statute act, contract and duty of act have been discus</w:t>
      </w:r>
      <w:r w:rsidRPr="002A5F56">
        <w:rPr>
          <w:rFonts w:ascii="Arial" w:hAnsi="Arial" w:cs="Arial"/>
        </w:rPr>
        <w:t xml:space="preserve">sed in depth to analyse the implication of the general act within it. Furthermore, an argumentative discussion has been placed that has shown no advantages and disadvantages of general act implication within criminal law with proper case study elaboration. </w:t>
      </w:r>
    </w:p>
    <w:p w14:paraId="0000002F" w14:textId="77777777" w:rsidR="000B6F7F" w:rsidRPr="002A5F56" w:rsidRDefault="009F39BD" w:rsidP="002A5F56">
      <w:pPr>
        <w:spacing w:line="360" w:lineRule="auto"/>
        <w:rPr>
          <w:rFonts w:ascii="Arial" w:hAnsi="Arial" w:cs="Arial"/>
        </w:rPr>
      </w:pPr>
      <w:r w:rsidRPr="002A5F56">
        <w:rPr>
          <w:rFonts w:ascii="Arial" w:hAnsi="Arial" w:cs="Arial"/>
        </w:rPr>
        <w:br w:type="page"/>
      </w:r>
    </w:p>
    <w:p w14:paraId="00000030" w14:textId="77777777" w:rsidR="000B6F7F" w:rsidRPr="002A5F56" w:rsidRDefault="009F39BD" w:rsidP="002A5F56">
      <w:pPr>
        <w:pStyle w:val="Titlu1"/>
        <w:spacing w:line="360" w:lineRule="auto"/>
        <w:rPr>
          <w:rFonts w:ascii="Arial" w:hAnsi="Arial" w:cs="Arial"/>
        </w:rPr>
      </w:pPr>
      <w:bookmarkStart w:id="22" w:name="_58ahz893jfvo" w:colFirst="0" w:colLast="0"/>
      <w:bookmarkStart w:id="23" w:name="_Toc170402709"/>
      <w:bookmarkEnd w:id="22"/>
      <w:r w:rsidRPr="002A5F56">
        <w:rPr>
          <w:rFonts w:ascii="Arial" w:hAnsi="Arial" w:cs="Arial"/>
        </w:rPr>
        <w:t>References</w:t>
      </w:r>
      <w:bookmarkEnd w:id="23"/>
    </w:p>
    <w:p w14:paraId="4A852E58" w14:textId="77777777" w:rsidR="001349B5" w:rsidRPr="004B20BB" w:rsidRDefault="001349B5" w:rsidP="004B20BB">
      <w:pPr>
        <w:spacing w:line="360" w:lineRule="auto"/>
        <w:rPr>
          <w:rFonts w:ascii="Arial" w:hAnsi="Arial" w:cs="Arial"/>
        </w:rPr>
      </w:pPr>
      <w:r w:rsidRPr="004B20BB">
        <w:rPr>
          <w:rFonts w:ascii="Arial" w:hAnsi="Arial" w:cs="Arial"/>
        </w:rPr>
        <w:t xml:space="preserve">Amos, M., (2021). </w:t>
      </w:r>
      <w:r w:rsidRPr="004B20BB">
        <w:rPr>
          <w:rFonts w:ascii="Arial" w:hAnsi="Arial" w:cs="Arial"/>
          <w:i/>
        </w:rPr>
        <w:t>Human rights law</w:t>
      </w:r>
      <w:r w:rsidRPr="004B20BB">
        <w:rPr>
          <w:rFonts w:ascii="Arial" w:hAnsi="Arial" w:cs="Arial"/>
        </w:rPr>
        <w:t>. Bloomsbury Publishing.</w:t>
      </w:r>
    </w:p>
    <w:p w14:paraId="724FCAF8" w14:textId="77777777" w:rsidR="001349B5" w:rsidRPr="004B20BB" w:rsidRDefault="001349B5" w:rsidP="004B20BB">
      <w:pPr>
        <w:spacing w:line="360" w:lineRule="auto"/>
        <w:rPr>
          <w:rFonts w:ascii="Arial" w:hAnsi="Arial" w:cs="Arial"/>
        </w:rPr>
      </w:pPr>
      <w:r w:rsidRPr="004B20BB">
        <w:rPr>
          <w:rFonts w:ascii="Arial" w:hAnsi="Arial" w:cs="Arial"/>
        </w:rPr>
        <w:t xml:space="preserve">Finch, E. and Fafinski, S. (2021) </w:t>
      </w:r>
      <w:r w:rsidRPr="004B20BB">
        <w:rPr>
          <w:rFonts w:ascii="Arial" w:hAnsi="Arial" w:cs="Arial"/>
          <w:i/>
        </w:rPr>
        <w:t>Criminal law.</w:t>
      </w:r>
      <w:r w:rsidRPr="004B20BB">
        <w:rPr>
          <w:rFonts w:ascii="Arial" w:hAnsi="Arial" w:cs="Arial"/>
        </w:rPr>
        <w:t xml:space="preserve"> 8th edition. Harlow, England: Pearson.</w:t>
      </w:r>
    </w:p>
    <w:p w14:paraId="7A2A8699" w14:textId="77777777" w:rsidR="001349B5" w:rsidRPr="002A5F56" w:rsidRDefault="001349B5" w:rsidP="004B20BB">
      <w:pPr>
        <w:pStyle w:val="Bibliografie"/>
        <w:spacing w:line="360" w:lineRule="auto"/>
        <w:rPr>
          <w:rFonts w:ascii="Arial" w:hAnsi="Arial" w:cs="Arial"/>
          <w:noProof/>
        </w:rPr>
      </w:pPr>
      <w:r w:rsidRPr="002A5F56">
        <w:rPr>
          <w:rFonts w:ascii="Arial" w:hAnsi="Arial" w:cs="Arial"/>
          <w:noProof/>
        </w:rPr>
        <w:t xml:space="preserve">Gov.UK, (2024). </w:t>
      </w:r>
      <w:r w:rsidRPr="002A5F56">
        <w:rPr>
          <w:rFonts w:ascii="Arial" w:hAnsi="Arial" w:cs="Arial"/>
          <w:i/>
          <w:iCs/>
          <w:noProof/>
        </w:rPr>
        <w:t xml:space="preserve">CRIMINAL CASES: PROCTOR, Edith Rose and GIBBINS, Walter: convicted at Leeds on 11 March. </w:t>
      </w:r>
      <w:r w:rsidRPr="002A5F56">
        <w:rPr>
          <w:rFonts w:ascii="Arial" w:hAnsi="Arial" w:cs="Arial"/>
          <w:noProof/>
        </w:rPr>
        <w:t xml:space="preserve">[Online] Available at: </w:t>
      </w:r>
      <w:r w:rsidRPr="002A5F56">
        <w:rPr>
          <w:rFonts w:ascii="Arial" w:hAnsi="Arial" w:cs="Arial"/>
          <w:noProof/>
          <w:u w:val="single"/>
        </w:rPr>
        <w:t>https://discovery.nationalarchives.gov.uk/details/record?catid=5098561&amp;catln=6</w:t>
      </w:r>
      <w:r w:rsidRPr="002A5F56">
        <w:rPr>
          <w:rFonts w:ascii="Arial" w:hAnsi="Arial" w:cs="Arial"/>
          <w:noProof/>
        </w:rPr>
        <w:t xml:space="preserve"> [Accessed 21 6 2024].</w:t>
      </w:r>
    </w:p>
    <w:p w14:paraId="4C7A9B2F" w14:textId="77777777" w:rsidR="001349B5" w:rsidRPr="004B20BB" w:rsidRDefault="001349B5" w:rsidP="004B20BB">
      <w:pPr>
        <w:spacing w:line="360" w:lineRule="auto"/>
        <w:rPr>
          <w:rFonts w:ascii="Arial" w:hAnsi="Arial" w:cs="Arial"/>
        </w:rPr>
      </w:pPr>
      <w:r w:rsidRPr="004B20BB">
        <w:rPr>
          <w:rFonts w:ascii="Arial" w:hAnsi="Arial" w:cs="Arial"/>
        </w:rPr>
        <w:t xml:space="preserve">Herring, J. (2022) </w:t>
      </w:r>
      <w:r w:rsidRPr="004B20BB">
        <w:rPr>
          <w:rFonts w:ascii="Arial" w:hAnsi="Arial" w:cs="Arial"/>
          <w:i/>
        </w:rPr>
        <w:t>Criminal law: text, cases, and materials</w:t>
      </w:r>
      <w:r w:rsidRPr="004B20BB">
        <w:rPr>
          <w:rFonts w:ascii="Arial" w:hAnsi="Arial" w:cs="Arial"/>
        </w:rPr>
        <w:t>. Tenth edition. Oxford: Oxford University Press.</w:t>
      </w:r>
    </w:p>
    <w:p w14:paraId="16A040CE" w14:textId="77777777" w:rsidR="001349B5" w:rsidRPr="002A5F56" w:rsidRDefault="001349B5" w:rsidP="004B20BB">
      <w:pPr>
        <w:pStyle w:val="Bibliografie"/>
        <w:spacing w:line="360" w:lineRule="auto"/>
        <w:rPr>
          <w:rFonts w:ascii="Arial" w:hAnsi="Arial" w:cs="Arial"/>
          <w:noProof/>
        </w:rPr>
      </w:pPr>
      <w:r w:rsidRPr="002A5F56">
        <w:rPr>
          <w:rFonts w:ascii="Arial" w:hAnsi="Arial" w:cs="Arial"/>
          <w:noProof/>
        </w:rPr>
        <w:t xml:space="preserve">Judiciary.UK, (2019). </w:t>
      </w:r>
      <w:r w:rsidRPr="002A5F56">
        <w:rPr>
          <w:rFonts w:ascii="Arial" w:hAnsi="Arial" w:cs="Arial"/>
          <w:i/>
          <w:iCs/>
          <w:noProof/>
        </w:rPr>
        <w:t xml:space="preserve">THE QUEEN ON THE APPLICATION OF. </w:t>
      </w:r>
      <w:r w:rsidRPr="002A5F56">
        <w:rPr>
          <w:rFonts w:ascii="Arial" w:hAnsi="Arial" w:cs="Arial"/>
          <w:noProof/>
        </w:rPr>
        <w:t xml:space="preserve">[Online] Available at: </w:t>
      </w:r>
      <w:r w:rsidRPr="002A5F56">
        <w:rPr>
          <w:rFonts w:ascii="Arial" w:hAnsi="Arial" w:cs="Arial"/>
          <w:noProof/>
          <w:u w:val="single"/>
        </w:rPr>
        <w:t>https://www.judiciary.uk/wp-content/uploads/2020/02/miller-v-college-of-police-judgment.pdf</w:t>
      </w:r>
      <w:r w:rsidRPr="002A5F56">
        <w:rPr>
          <w:rFonts w:ascii="Arial" w:hAnsi="Arial" w:cs="Arial"/>
          <w:noProof/>
        </w:rPr>
        <w:t xml:space="preserve"> [Accessed 21 6 2024].</w:t>
      </w:r>
    </w:p>
    <w:p w14:paraId="1CE2D370" w14:textId="77777777" w:rsidR="001349B5" w:rsidRPr="004B20BB" w:rsidRDefault="001349B5" w:rsidP="004B20BB">
      <w:pPr>
        <w:spacing w:line="360" w:lineRule="auto"/>
        <w:rPr>
          <w:rFonts w:ascii="Arial" w:hAnsi="Arial" w:cs="Arial"/>
        </w:rPr>
      </w:pPr>
      <w:r w:rsidRPr="004B20BB">
        <w:rPr>
          <w:rFonts w:ascii="Arial" w:hAnsi="Arial" w:cs="Arial"/>
        </w:rPr>
        <w:t xml:space="preserve">Macdonald, S.K. (2018) </w:t>
      </w:r>
      <w:r w:rsidRPr="004B20BB">
        <w:rPr>
          <w:rFonts w:ascii="Arial" w:hAnsi="Arial" w:cs="Arial"/>
          <w:i/>
        </w:rPr>
        <w:t>Text, cases, and materials on criminal law</w:t>
      </w:r>
      <w:r w:rsidRPr="004B20BB">
        <w:rPr>
          <w:rFonts w:ascii="Arial" w:hAnsi="Arial" w:cs="Arial"/>
        </w:rPr>
        <w:t>. Second edition. Harlow, England: Pearson Education Limited.</w:t>
      </w:r>
    </w:p>
    <w:p w14:paraId="44D636CB" w14:textId="77777777" w:rsidR="001349B5" w:rsidRPr="002A5F56" w:rsidRDefault="001349B5" w:rsidP="004B20BB">
      <w:pPr>
        <w:pStyle w:val="Bibliografie"/>
        <w:spacing w:line="360" w:lineRule="auto"/>
        <w:rPr>
          <w:rFonts w:ascii="Arial" w:hAnsi="Arial" w:cs="Arial"/>
          <w:noProof/>
        </w:rPr>
      </w:pPr>
      <w:r w:rsidRPr="002A5F56">
        <w:rPr>
          <w:rFonts w:ascii="Arial" w:hAnsi="Arial" w:cs="Arial"/>
          <w:noProof/>
        </w:rPr>
        <w:t xml:space="preserve">Parliament. uk, (2024). </w:t>
      </w:r>
      <w:r w:rsidRPr="002A5F56">
        <w:rPr>
          <w:rFonts w:ascii="Arial" w:hAnsi="Arial" w:cs="Arial"/>
          <w:i/>
          <w:iCs/>
          <w:noProof/>
        </w:rPr>
        <w:t xml:space="preserve">Judgments - Regina v. Smith (On Appeal From The Court of Appeal. </w:t>
      </w:r>
      <w:r w:rsidRPr="002A5F56">
        <w:rPr>
          <w:rFonts w:ascii="Arial" w:hAnsi="Arial" w:cs="Arial"/>
          <w:noProof/>
        </w:rPr>
        <w:t xml:space="preserve">[Online] Available at: </w:t>
      </w:r>
      <w:r w:rsidRPr="002A5F56">
        <w:rPr>
          <w:rFonts w:ascii="Arial" w:hAnsi="Arial" w:cs="Arial"/>
          <w:noProof/>
          <w:u w:val="single"/>
        </w:rPr>
        <w:t>https://publications.parliament.uk/pa/ld199900/ldjudgmt/jd000727/smith-1.htm</w:t>
      </w:r>
      <w:r w:rsidRPr="002A5F56">
        <w:rPr>
          <w:rFonts w:ascii="Arial" w:hAnsi="Arial" w:cs="Arial"/>
          <w:noProof/>
        </w:rPr>
        <w:t xml:space="preserve"> [Accessed 22 6 2024].</w:t>
      </w:r>
    </w:p>
    <w:p w14:paraId="6900F20B" w14:textId="77777777" w:rsidR="001349B5" w:rsidRPr="004B20BB" w:rsidRDefault="001349B5" w:rsidP="004B20BB">
      <w:pPr>
        <w:spacing w:line="360" w:lineRule="auto"/>
        <w:rPr>
          <w:rFonts w:ascii="Arial" w:hAnsi="Arial" w:cs="Arial"/>
        </w:rPr>
      </w:pPr>
      <w:r w:rsidRPr="004B20BB">
        <w:rPr>
          <w:rFonts w:ascii="Arial" w:hAnsi="Arial" w:cs="Arial"/>
        </w:rPr>
        <w:t xml:space="preserve">Roberts, P. and Zuckerman, A., (2022). </w:t>
      </w:r>
      <w:r w:rsidRPr="004B20BB">
        <w:rPr>
          <w:rFonts w:ascii="Arial" w:hAnsi="Arial" w:cs="Arial"/>
          <w:i/>
        </w:rPr>
        <w:t>Roberts &amp; Zuckerman's Criminal Evidence.</w:t>
      </w:r>
      <w:r w:rsidRPr="004B20BB">
        <w:rPr>
          <w:rFonts w:ascii="Arial" w:hAnsi="Arial" w:cs="Arial"/>
        </w:rPr>
        <w:t xml:space="preserve"> Oxford University Press. </w:t>
      </w:r>
    </w:p>
    <w:p w14:paraId="64528A34" w14:textId="77777777" w:rsidR="001349B5" w:rsidRPr="004B20BB" w:rsidRDefault="001349B5" w:rsidP="004B20BB">
      <w:pPr>
        <w:spacing w:line="360" w:lineRule="auto"/>
        <w:rPr>
          <w:rFonts w:ascii="Arial" w:hAnsi="Arial" w:cs="Arial"/>
        </w:rPr>
      </w:pPr>
      <w:r w:rsidRPr="004B20BB">
        <w:rPr>
          <w:rFonts w:ascii="Arial" w:hAnsi="Arial" w:cs="Arial"/>
        </w:rPr>
        <w:t xml:space="preserve">Rowan, S., (2021). Abuse of rights in English contract law: Hidden in plain sight? </w:t>
      </w:r>
      <w:r w:rsidRPr="004B20BB">
        <w:rPr>
          <w:rFonts w:ascii="Arial" w:hAnsi="Arial" w:cs="Arial"/>
          <w:i/>
        </w:rPr>
        <w:t>The Modern Law Review</w:t>
      </w:r>
      <w:r w:rsidRPr="004B20BB">
        <w:rPr>
          <w:rFonts w:ascii="Arial" w:hAnsi="Arial" w:cs="Arial"/>
        </w:rPr>
        <w:t>, 84(5), pp.1066-1092.</w:t>
      </w:r>
    </w:p>
    <w:p w14:paraId="4D8CD08B" w14:textId="77777777" w:rsidR="001349B5" w:rsidRPr="004B20BB" w:rsidRDefault="001349B5" w:rsidP="004B20BB">
      <w:pPr>
        <w:spacing w:line="360" w:lineRule="auto"/>
        <w:rPr>
          <w:rFonts w:ascii="Arial" w:hAnsi="Arial" w:cs="Arial"/>
        </w:rPr>
      </w:pPr>
      <w:r w:rsidRPr="004B20BB">
        <w:rPr>
          <w:rFonts w:ascii="Arial" w:hAnsi="Arial" w:cs="Arial"/>
        </w:rPr>
        <w:t xml:space="preserve">Taylor, L. (2018) </w:t>
      </w:r>
      <w:r w:rsidRPr="004B20BB">
        <w:rPr>
          <w:rFonts w:ascii="Arial" w:hAnsi="Arial" w:cs="Arial"/>
          <w:i/>
        </w:rPr>
        <w:t>Elliott and Quinn’s criminal law</w:t>
      </w:r>
      <w:r w:rsidRPr="004B20BB">
        <w:rPr>
          <w:rFonts w:ascii="Arial" w:hAnsi="Arial" w:cs="Arial"/>
        </w:rPr>
        <w:t>. Twelfth edition. Harlow, England ; Pearson Education Limited.</w:t>
      </w:r>
    </w:p>
    <w:p w14:paraId="06689808" w14:textId="77777777" w:rsidR="00266C5F" w:rsidRPr="002A5F56" w:rsidRDefault="00266C5F" w:rsidP="002A5F56">
      <w:pPr>
        <w:spacing w:line="360" w:lineRule="auto"/>
        <w:rPr>
          <w:rFonts w:ascii="Arial" w:hAnsi="Arial" w:cs="Arial"/>
        </w:rPr>
      </w:pPr>
    </w:p>
    <w:p w14:paraId="00000038" w14:textId="77777777" w:rsidR="000B6F7F" w:rsidRPr="002A5F56" w:rsidRDefault="000B6F7F" w:rsidP="002A5F56">
      <w:pPr>
        <w:spacing w:line="360" w:lineRule="auto"/>
        <w:rPr>
          <w:rFonts w:ascii="Arial" w:hAnsi="Arial" w:cs="Arial"/>
        </w:rPr>
      </w:pPr>
    </w:p>
    <w:p w14:paraId="00000039" w14:textId="77777777" w:rsidR="000B6F7F" w:rsidRPr="002A5F56" w:rsidRDefault="000B6F7F" w:rsidP="002A5F56">
      <w:pPr>
        <w:spacing w:line="360" w:lineRule="auto"/>
        <w:rPr>
          <w:rFonts w:ascii="Arial" w:hAnsi="Arial" w:cs="Arial"/>
        </w:rPr>
      </w:pPr>
    </w:p>
    <w:p w14:paraId="0000003A" w14:textId="77777777" w:rsidR="000B6F7F" w:rsidRPr="002A5F56" w:rsidRDefault="000B6F7F" w:rsidP="002A5F56">
      <w:pPr>
        <w:spacing w:line="360" w:lineRule="auto"/>
        <w:rPr>
          <w:rFonts w:ascii="Arial" w:hAnsi="Arial" w:cs="Arial"/>
        </w:rPr>
      </w:pPr>
    </w:p>
    <w:p w14:paraId="0000003B" w14:textId="77777777" w:rsidR="000B6F7F" w:rsidRPr="002A5F56" w:rsidRDefault="000B6F7F" w:rsidP="002A5F56">
      <w:pPr>
        <w:spacing w:line="360" w:lineRule="auto"/>
        <w:rPr>
          <w:rFonts w:ascii="Arial" w:hAnsi="Arial" w:cs="Arial"/>
        </w:rPr>
      </w:pPr>
    </w:p>
    <w:sectPr w:rsidR="000B6F7F" w:rsidRPr="002A5F56" w:rsidSect="00B91B68">
      <w:headerReference w:type="default" r:id="rId9"/>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00C88" w14:textId="77777777" w:rsidR="00416527" w:rsidRDefault="00416527" w:rsidP="00B91B68">
      <w:pPr>
        <w:spacing w:line="240" w:lineRule="auto"/>
      </w:pPr>
      <w:r>
        <w:separator/>
      </w:r>
    </w:p>
  </w:endnote>
  <w:endnote w:type="continuationSeparator" w:id="0">
    <w:p w14:paraId="1F713D94" w14:textId="77777777" w:rsidR="00416527" w:rsidRDefault="00416527" w:rsidP="00B91B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773838"/>
      <w:docPartObj>
        <w:docPartGallery w:val="Page Numbers (Bottom of Page)"/>
        <w:docPartUnique/>
      </w:docPartObj>
    </w:sdtPr>
    <w:sdtEndPr/>
    <w:sdtContent>
      <w:sdt>
        <w:sdtPr>
          <w:id w:val="-1769616900"/>
          <w:docPartObj>
            <w:docPartGallery w:val="Page Numbers (Top of Page)"/>
            <w:docPartUnique/>
          </w:docPartObj>
        </w:sdtPr>
        <w:sdtEndPr/>
        <w:sdtContent>
          <w:p w14:paraId="588AAF89" w14:textId="65C35F31" w:rsidR="00B91B68" w:rsidRDefault="00B91B68">
            <w:pPr>
              <w:pStyle w:val="Subsol"/>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5D4F84D" w14:textId="77777777" w:rsidR="00B91B68" w:rsidRDefault="00B91B6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1B89C" w14:textId="77777777" w:rsidR="00416527" w:rsidRDefault="00416527" w:rsidP="00B91B68">
      <w:pPr>
        <w:spacing w:line="240" w:lineRule="auto"/>
      </w:pPr>
      <w:r>
        <w:separator/>
      </w:r>
    </w:p>
  </w:footnote>
  <w:footnote w:type="continuationSeparator" w:id="0">
    <w:p w14:paraId="3F465560" w14:textId="77777777" w:rsidR="00416527" w:rsidRDefault="00416527" w:rsidP="00B91B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3B3C" w14:textId="0BF2AB37" w:rsidR="00B91B68" w:rsidRPr="00B91B68" w:rsidRDefault="00B91B68" w:rsidP="00B91B68">
    <w:pPr>
      <w:pStyle w:val="Antet"/>
      <w:jc w:val="right"/>
      <w:rPr>
        <w:bCs/>
      </w:rPr>
    </w:pPr>
    <w:r w:rsidRPr="00B91B68">
      <w:rPr>
        <w:bCs/>
      </w:rPr>
      <w:t>Criminal Law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43F40"/>
    <w:multiLevelType w:val="hybridMultilevel"/>
    <w:tmpl w:val="53D6B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7776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F7F"/>
    <w:rsid w:val="00075530"/>
    <w:rsid w:val="000B3B92"/>
    <w:rsid w:val="000B6F7F"/>
    <w:rsid w:val="001349B5"/>
    <w:rsid w:val="001F73D0"/>
    <w:rsid w:val="00204BBF"/>
    <w:rsid w:val="00266C5F"/>
    <w:rsid w:val="002A5F56"/>
    <w:rsid w:val="002B5A8C"/>
    <w:rsid w:val="002F78C3"/>
    <w:rsid w:val="00416527"/>
    <w:rsid w:val="00482101"/>
    <w:rsid w:val="004B20BB"/>
    <w:rsid w:val="006B5703"/>
    <w:rsid w:val="009F39BD"/>
    <w:rsid w:val="00A101CF"/>
    <w:rsid w:val="00B13CEA"/>
    <w:rsid w:val="00B27904"/>
    <w:rsid w:val="00B44FA6"/>
    <w:rsid w:val="00B80E8F"/>
    <w:rsid w:val="00B91B68"/>
    <w:rsid w:val="00C82F0F"/>
    <w:rsid w:val="00E463CC"/>
    <w:rsid w:val="00EF392F"/>
    <w:rsid w:val="00F17560"/>
    <w:rsid w:val="00F72F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DC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outlineLvl w:val="0"/>
    </w:pPr>
    <w:rPr>
      <w:b/>
      <w:sz w:val="28"/>
      <w:szCs w:val="28"/>
    </w:rPr>
  </w:style>
  <w:style w:type="paragraph" w:styleId="Titlu2">
    <w:name w:val="heading 2"/>
    <w:basedOn w:val="Normal"/>
    <w:next w:val="Normal"/>
    <w:uiPriority w:val="9"/>
    <w:unhideWhenUsed/>
    <w:qFormat/>
    <w:pPr>
      <w:keepNext/>
      <w:keepLines/>
      <w:outlineLvl w:val="1"/>
    </w:pPr>
    <w:rPr>
      <w:b/>
      <w:sz w:val="26"/>
      <w:szCs w:val="26"/>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Titlu1Caracter">
    <w:name w:val="Titlu 1 Caracter"/>
    <w:basedOn w:val="Fontdeparagrafimplicit"/>
    <w:link w:val="Titlu1"/>
    <w:uiPriority w:val="9"/>
    <w:rsid w:val="00266C5F"/>
    <w:rPr>
      <w:b/>
      <w:sz w:val="28"/>
      <w:szCs w:val="28"/>
    </w:rPr>
  </w:style>
  <w:style w:type="paragraph" w:styleId="Bibliografie">
    <w:name w:val="Bibliography"/>
    <w:basedOn w:val="Normal"/>
    <w:next w:val="Normal"/>
    <w:uiPriority w:val="37"/>
    <w:unhideWhenUsed/>
    <w:rsid w:val="00266C5F"/>
  </w:style>
  <w:style w:type="character" w:styleId="Hyperlink">
    <w:name w:val="Hyperlink"/>
    <w:basedOn w:val="Fontdeparagrafimplicit"/>
    <w:uiPriority w:val="99"/>
    <w:unhideWhenUsed/>
    <w:rsid w:val="00266C5F"/>
    <w:rPr>
      <w:color w:val="0000FF" w:themeColor="hyperlink"/>
      <w:u w:val="single"/>
    </w:rPr>
  </w:style>
  <w:style w:type="character" w:styleId="MeniuneNerezolvat">
    <w:name w:val="Unresolved Mention"/>
    <w:basedOn w:val="Fontdeparagrafimplicit"/>
    <w:uiPriority w:val="99"/>
    <w:semiHidden/>
    <w:unhideWhenUsed/>
    <w:rsid w:val="00266C5F"/>
    <w:rPr>
      <w:color w:val="605E5C"/>
      <w:shd w:val="clear" w:color="auto" w:fill="E1DFDD"/>
    </w:rPr>
  </w:style>
  <w:style w:type="paragraph" w:styleId="Listparagraf">
    <w:name w:val="List Paragraph"/>
    <w:basedOn w:val="Normal"/>
    <w:uiPriority w:val="34"/>
    <w:qFormat/>
    <w:rsid w:val="00266C5F"/>
    <w:pPr>
      <w:ind w:left="720"/>
      <w:contextualSpacing/>
    </w:pPr>
  </w:style>
  <w:style w:type="paragraph" w:styleId="Antet">
    <w:name w:val="header"/>
    <w:basedOn w:val="Normal"/>
    <w:link w:val="AntetCaracter"/>
    <w:uiPriority w:val="99"/>
    <w:unhideWhenUsed/>
    <w:rsid w:val="00B91B68"/>
    <w:pPr>
      <w:tabs>
        <w:tab w:val="center" w:pos="4513"/>
        <w:tab w:val="right" w:pos="9026"/>
      </w:tabs>
      <w:spacing w:line="240" w:lineRule="auto"/>
    </w:pPr>
  </w:style>
  <w:style w:type="character" w:customStyle="1" w:styleId="AntetCaracter">
    <w:name w:val="Antet Caracter"/>
    <w:basedOn w:val="Fontdeparagrafimplicit"/>
    <w:link w:val="Antet"/>
    <w:uiPriority w:val="99"/>
    <w:rsid w:val="00B91B68"/>
  </w:style>
  <w:style w:type="paragraph" w:styleId="Subsol">
    <w:name w:val="footer"/>
    <w:basedOn w:val="Normal"/>
    <w:link w:val="SubsolCaracter"/>
    <w:uiPriority w:val="99"/>
    <w:unhideWhenUsed/>
    <w:rsid w:val="00B91B6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91B68"/>
  </w:style>
  <w:style w:type="paragraph" w:styleId="Titlucuprins">
    <w:name w:val="TOC Heading"/>
    <w:basedOn w:val="Titlu1"/>
    <w:next w:val="Normal"/>
    <w:uiPriority w:val="39"/>
    <w:unhideWhenUsed/>
    <w:qFormat/>
    <w:rsid w:val="00B80E8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B80E8F"/>
    <w:pPr>
      <w:spacing w:after="100"/>
    </w:pPr>
  </w:style>
  <w:style w:type="paragraph" w:styleId="Cuprins2">
    <w:name w:val="toc 2"/>
    <w:basedOn w:val="Normal"/>
    <w:next w:val="Normal"/>
    <w:autoRedefine/>
    <w:uiPriority w:val="39"/>
    <w:unhideWhenUsed/>
    <w:rsid w:val="00B80E8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22866">
      <w:bodyDiv w:val="1"/>
      <w:marLeft w:val="0"/>
      <w:marRight w:val="0"/>
      <w:marTop w:val="0"/>
      <w:marBottom w:val="0"/>
      <w:divBdr>
        <w:top w:val="none" w:sz="0" w:space="0" w:color="auto"/>
        <w:left w:val="none" w:sz="0" w:space="0" w:color="auto"/>
        <w:bottom w:val="none" w:sz="0" w:space="0" w:color="auto"/>
        <w:right w:val="none" w:sz="0" w:space="0" w:color="auto"/>
      </w:divBdr>
    </w:div>
    <w:div w:id="1869098655">
      <w:bodyDiv w:val="1"/>
      <w:marLeft w:val="0"/>
      <w:marRight w:val="0"/>
      <w:marTop w:val="0"/>
      <w:marBottom w:val="0"/>
      <w:divBdr>
        <w:top w:val="none" w:sz="0" w:space="0" w:color="auto"/>
        <w:left w:val="none" w:sz="0" w:space="0" w:color="auto"/>
        <w:bottom w:val="none" w:sz="0" w:space="0" w:color="auto"/>
        <w:right w:val="none" w:sz="0" w:space="0" w:color="auto"/>
      </w:divBdr>
    </w:div>
    <w:div w:id="2050909373">
      <w:bodyDiv w:val="1"/>
      <w:marLeft w:val="0"/>
      <w:marRight w:val="0"/>
      <w:marTop w:val="0"/>
      <w:marBottom w:val="0"/>
      <w:divBdr>
        <w:top w:val="none" w:sz="0" w:space="0" w:color="auto"/>
        <w:left w:val="none" w:sz="0" w:space="0" w:color="auto"/>
        <w:bottom w:val="none" w:sz="0" w:space="0" w:color="auto"/>
        <w:right w:val="none" w:sz="0" w:space="0" w:color="auto"/>
      </w:divBdr>
    </w:div>
    <w:div w:id="2090494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Jud19</b:Tag>
    <b:SourceType>InternetSite</b:SourceType>
    <b:Guid>{C1C61EEB-E6C6-4F46-9ABE-27C2246D2488}</b:Guid>
    <b:Author>
      <b:Author>
        <b:Corporate>Judiciary.UK</b:Corporate>
      </b:Author>
    </b:Author>
    <b:Title>THE QUEEN ON THE APPLICATION OF</b:Title>
    <b:Year>2019</b:Year>
    <b:YearAccessed>2024</b:YearAccessed>
    <b:MonthAccessed>6</b:MonthAccessed>
    <b:DayAccessed>21</b:DayAccessed>
    <b:URL>https://www.judiciary.uk/wp-content/uploads/2020/02/miller-v-college-of-police-judgment.pdf</b:URL>
    <b:RefOrder>1</b:RefOrder>
  </b:Source>
  <b:Source>
    <b:Tag>Gov245</b:Tag>
    <b:SourceType>InternetSite</b:SourceType>
    <b:Guid>{21A011A5-3F86-42FD-9FA3-EE973F265362}</b:Guid>
    <b:Author>
      <b:Author>
        <b:Corporate>Gov.UK</b:Corporate>
      </b:Author>
    </b:Author>
    <b:Title>CRIMINAL CASES: PROCTOR, Edith Rose and GIBBINS, Walter: convicted at Leeds on 11 March.</b:Title>
    <b:Year>2024</b:Year>
    <b:YearAccessed>2024</b:YearAccessed>
    <b:MonthAccessed>6</b:MonthAccessed>
    <b:DayAccessed>21</b:DayAccessed>
    <b:URL>https://discovery.nationalarchives.gov.uk/details/record?catid=5098561&amp;catln=6</b:URL>
    <b:RefOrder>2</b:RefOrder>
  </b:Source>
  <b:Source>
    <b:Tag>Par24</b:Tag>
    <b:SourceType>InternetSite</b:SourceType>
    <b:Guid>{AA62867B-48E9-445C-B582-FB789B0E3886}</b:Guid>
    <b:Author>
      <b:Author>
        <b:Corporate>Parliament.uk</b:Corporate>
      </b:Author>
    </b:Author>
    <b:Title>Judgments - Regina v. Smith (On Appeal From The Court of Appeal</b:Title>
    <b:Year>2024</b:Year>
    <b:YearAccessed>2024</b:YearAccessed>
    <b:MonthAccessed>6</b:MonthAccessed>
    <b:DayAccessed>22</b:DayAccessed>
    <b:URL>https://publications.parliament.uk/pa/ld199900/ldjudgmt/jd000727/smith-1.htm</b:URL>
    <b:RefOrder>3</b:RefOrder>
  </b:Source>
</b:Sources>
</file>

<file path=customXml/itemProps1.xml><?xml version="1.0" encoding="utf-8"?>
<ds:datastoreItem xmlns:ds="http://schemas.openxmlformats.org/officeDocument/2006/customXml" ds:itemID="{C38A7953-0548-41DE-AC68-470D3C1897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1710</Words>
  <Characters>9782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2024-06-27T12:14:00Z</dcterms:created>
  <dcterms:modified xsi:type="dcterms:W3CDTF">2024-06-27T13:34:00Z</dcterms:modified>
</cp:coreProperties>
</file>