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E79D67" w14:textId="0B493D6E" w:rsidR="00833470" w:rsidRPr="00074402" w:rsidRDefault="00833470" w:rsidP="00833470">
      <w:pPr>
        <w:spacing w:line="360" w:lineRule="auto"/>
        <w:rPr>
          <w:rFonts w:ascii="Arial" w:hAnsi="Arial" w:cs="Arial"/>
          <w:szCs w:val="24"/>
        </w:rPr>
      </w:pPr>
      <w:r w:rsidRPr="00074402">
        <w:rPr>
          <w:rFonts w:ascii="Arial" w:hAnsi="Arial" w:cs="Arial"/>
          <w:noProof/>
          <w:szCs w:val="24"/>
        </w:rPr>
        <w:drawing>
          <wp:anchor distT="0" distB="0" distL="114300" distR="114300" simplePos="0" relativeHeight="251677696" behindDoc="0" locked="0" layoutInCell="1" allowOverlap="1" wp14:anchorId="060D49BE" wp14:editId="46D2B317">
            <wp:simplePos x="0" y="0"/>
            <wp:positionH relativeFrom="column">
              <wp:posOffset>0</wp:posOffset>
            </wp:positionH>
            <wp:positionV relativeFrom="paragraph">
              <wp:posOffset>292100</wp:posOffset>
            </wp:positionV>
            <wp:extent cx="1809750" cy="723900"/>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308E6896" w14:textId="77777777" w:rsidR="00833470" w:rsidRPr="00074402" w:rsidRDefault="00833470" w:rsidP="00833470">
      <w:pPr>
        <w:spacing w:line="360" w:lineRule="auto"/>
        <w:rPr>
          <w:rFonts w:ascii="Arial" w:hAnsi="Arial" w:cs="Arial"/>
          <w:szCs w:val="24"/>
        </w:rPr>
      </w:pPr>
    </w:p>
    <w:p w14:paraId="624F191C" w14:textId="77777777" w:rsidR="00833470" w:rsidRPr="00074402" w:rsidRDefault="00833470" w:rsidP="00833470">
      <w:pPr>
        <w:spacing w:line="360" w:lineRule="auto"/>
        <w:rPr>
          <w:rFonts w:ascii="Arial" w:hAnsi="Arial" w:cs="Arial"/>
          <w:szCs w:val="24"/>
        </w:rPr>
      </w:pPr>
    </w:p>
    <w:p w14:paraId="0F83201D" w14:textId="77777777" w:rsidR="00833470" w:rsidRPr="00074402" w:rsidRDefault="00833470" w:rsidP="00833470">
      <w:pPr>
        <w:spacing w:line="360" w:lineRule="auto"/>
        <w:rPr>
          <w:rFonts w:ascii="Arial" w:hAnsi="Arial" w:cs="Arial"/>
          <w:szCs w:val="24"/>
        </w:rPr>
      </w:pPr>
    </w:p>
    <w:p w14:paraId="3473C351" w14:textId="77777777" w:rsidR="00833470" w:rsidRDefault="00833470" w:rsidP="00833470">
      <w:pPr>
        <w:tabs>
          <w:tab w:val="left" w:pos="6540"/>
        </w:tabs>
        <w:spacing w:line="360" w:lineRule="auto"/>
        <w:rPr>
          <w:rFonts w:ascii="Arial" w:hAnsi="Arial" w:cs="Arial"/>
          <w:sz w:val="28"/>
          <w:szCs w:val="28"/>
        </w:rPr>
      </w:pPr>
    </w:p>
    <w:p w14:paraId="5818B88A" w14:textId="047250EA" w:rsidR="00833470" w:rsidRPr="00B4275F" w:rsidRDefault="00833470" w:rsidP="00833470">
      <w:pPr>
        <w:tabs>
          <w:tab w:val="left" w:pos="6540"/>
        </w:tabs>
        <w:spacing w:line="360" w:lineRule="auto"/>
        <w:rPr>
          <w:rFonts w:ascii="Arial" w:hAnsi="Arial" w:cs="Arial"/>
          <w:sz w:val="28"/>
          <w:szCs w:val="28"/>
          <w:lang w:val="nl-NL"/>
        </w:rPr>
      </w:pPr>
      <w:bookmarkStart w:id="0" w:name="_Hlk119323191"/>
      <w:r w:rsidRPr="00B4275F">
        <w:rPr>
          <w:rFonts w:ascii="Arial" w:hAnsi="Arial" w:cs="Arial"/>
          <w:b/>
          <w:bCs/>
          <w:sz w:val="28"/>
          <w:szCs w:val="28"/>
          <w:lang w:val="nl-NL"/>
        </w:rPr>
        <w:t>Student name</w:t>
      </w:r>
      <w:r w:rsidRPr="00B4275F">
        <w:rPr>
          <w:rFonts w:ascii="Arial" w:hAnsi="Arial" w:cs="Arial"/>
          <w:sz w:val="28"/>
          <w:szCs w:val="28"/>
          <w:lang w:val="nl-NL"/>
        </w:rPr>
        <w:t xml:space="preserve">: </w:t>
      </w:r>
      <w:r w:rsidR="00F749AC" w:rsidRPr="00B4275F">
        <w:rPr>
          <w:rFonts w:ascii="Arial" w:hAnsi="Arial" w:cs="Arial"/>
          <w:sz w:val="28"/>
          <w:szCs w:val="28"/>
          <w:lang w:val="nl-NL"/>
        </w:rPr>
        <w:t>Tahamina Akter</w:t>
      </w:r>
    </w:p>
    <w:p w14:paraId="476C763A" w14:textId="32C172C8" w:rsidR="00833470" w:rsidRPr="00B4275F" w:rsidRDefault="00833470" w:rsidP="00833470">
      <w:pPr>
        <w:tabs>
          <w:tab w:val="left" w:pos="6540"/>
        </w:tabs>
        <w:spacing w:line="360" w:lineRule="auto"/>
        <w:rPr>
          <w:rFonts w:ascii="Arial" w:hAnsi="Arial" w:cs="Arial"/>
          <w:sz w:val="28"/>
          <w:szCs w:val="28"/>
          <w:lang w:val="nl-NL"/>
        </w:rPr>
      </w:pPr>
      <w:r w:rsidRPr="00B4275F">
        <w:rPr>
          <w:rFonts w:ascii="Arial" w:hAnsi="Arial" w:cs="Arial"/>
          <w:b/>
          <w:bCs/>
          <w:sz w:val="28"/>
          <w:szCs w:val="28"/>
          <w:lang w:val="nl-NL"/>
        </w:rPr>
        <w:t>Student ID</w:t>
      </w:r>
      <w:r w:rsidRPr="00B4275F">
        <w:rPr>
          <w:rFonts w:ascii="Arial" w:hAnsi="Arial" w:cs="Arial"/>
          <w:sz w:val="28"/>
          <w:szCs w:val="28"/>
          <w:lang w:val="nl-NL"/>
        </w:rPr>
        <w:t>:</w:t>
      </w:r>
      <w:r w:rsidR="00B4275F" w:rsidRPr="00B4275F">
        <w:rPr>
          <w:rFonts w:ascii="Arial" w:hAnsi="Arial" w:cs="Arial"/>
          <w:sz w:val="28"/>
          <w:szCs w:val="28"/>
          <w:lang w:val="nl-NL"/>
        </w:rPr>
        <w:t xml:space="preserve"> </w:t>
      </w:r>
      <w:r w:rsidR="00B4275F">
        <w:rPr>
          <w:rFonts w:ascii="Arial" w:hAnsi="Arial" w:cs="Arial"/>
          <w:sz w:val="28"/>
          <w:szCs w:val="28"/>
          <w:lang w:val="nl-NL"/>
        </w:rPr>
        <w:t>2523763</w:t>
      </w:r>
    </w:p>
    <w:p w14:paraId="27005EB9" w14:textId="77777777" w:rsidR="00833470" w:rsidRPr="00B4275F" w:rsidRDefault="00833470" w:rsidP="00833470">
      <w:pPr>
        <w:tabs>
          <w:tab w:val="left" w:pos="6540"/>
        </w:tabs>
        <w:spacing w:line="360" w:lineRule="auto"/>
        <w:rPr>
          <w:rFonts w:ascii="Arial" w:hAnsi="Arial" w:cs="Arial"/>
          <w:sz w:val="28"/>
          <w:szCs w:val="28"/>
          <w:lang w:val="nl-NL"/>
        </w:rPr>
      </w:pPr>
    </w:p>
    <w:p w14:paraId="543E95E7" w14:textId="74ECF992" w:rsidR="00833470" w:rsidRPr="0030397A" w:rsidRDefault="00833470" w:rsidP="00833470">
      <w:pPr>
        <w:tabs>
          <w:tab w:val="left" w:pos="6540"/>
        </w:tabs>
        <w:spacing w:line="360" w:lineRule="auto"/>
        <w:rPr>
          <w:rFonts w:ascii="Arial" w:hAnsi="Arial" w:cs="Arial"/>
          <w:sz w:val="28"/>
          <w:szCs w:val="28"/>
        </w:rPr>
      </w:pPr>
      <w:r w:rsidRPr="0030397A">
        <w:rPr>
          <w:rFonts w:ascii="Arial" w:hAnsi="Arial" w:cs="Arial"/>
          <w:b/>
          <w:bCs/>
          <w:sz w:val="28"/>
          <w:szCs w:val="28"/>
        </w:rPr>
        <w:t>Module name</w:t>
      </w:r>
      <w:r w:rsidRPr="0030397A">
        <w:rPr>
          <w:rFonts w:ascii="Arial" w:hAnsi="Arial" w:cs="Arial"/>
          <w:sz w:val="28"/>
          <w:szCs w:val="28"/>
        </w:rPr>
        <w:t xml:space="preserve">: </w:t>
      </w:r>
      <w:r w:rsidR="0030397A" w:rsidRPr="0030397A">
        <w:rPr>
          <w:rFonts w:ascii="Arial" w:hAnsi="Arial" w:cs="Arial"/>
          <w:sz w:val="28"/>
          <w:szCs w:val="28"/>
        </w:rPr>
        <w:t>Introduct</w:t>
      </w:r>
      <w:r w:rsidR="0030397A">
        <w:rPr>
          <w:rFonts w:ascii="Arial" w:hAnsi="Arial" w:cs="Arial"/>
          <w:sz w:val="28"/>
          <w:szCs w:val="28"/>
        </w:rPr>
        <w:t>ion to Health and Social Care</w:t>
      </w:r>
    </w:p>
    <w:p w14:paraId="0009AFB0" w14:textId="7EC383FE" w:rsidR="00833470" w:rsidRPr="0030397A" w:rsidRDefault="00833470" w:rsidP="00833470">
      <w:pPr>
        <w:tabs>
          <w:tab w:val="left" w:pos="6540"/>
        </w:tabs>
        <w:spacing w:line="360" w:lineRule="auto"/>
        <w:rPr>
          <w:rFonts w:ascii="Arial" w:hAnsi="Arial" w:cs="Arial"/>
          <w:sz w:val="28"/>
          <w:szCs w:val="28"/>
          <w:lang w:val="fr-FR"/>
        </w:rPr>
      </w:pPr>
      <w:r w:rsidRPr="0030397A">
        <w:rPr>
          <w:rFonts w:ascii="Arial" w:hAnsi="Arial" w:cs="Arial"/>
          <w:b/>
          <w:bCs/>
          <w:sz w:val="28"/>
          <w:szCs w:val="28"/>
          <w:lang w:val="fr-FR"/>
        </w:rPr>
        <w:t>Module code</w:t>
      </w:r>
      <w:r w:rsidRPr="0030397A">
        <w:rPr>
          <w:rFonts w:ascii="Arial" w:hAnsi="Arial" w:cs="Arial"/>
          <w:sz w:val="28"/>
          <w:szCs w:val="28"/>
          <w:lang w:val="fr-FR"/>
        </w:rPr>
        <w:t>:</w:t>
      </w:r>
      <w:r w:rsidR="0030397A" w:rsidRPr="0030397A">
        <w:rPr>
          <w:rFonts w:ascii="Arial" w:hAnsi="Arial" w:cs="Arial"/>
          <w:sz w:val="28"/>
          <w:szCs w:val="28"/>
          <w:lang w:val="fr-FR"/>
        </w:rPr>
        <w:t xml:space="preserve"> LCH</w:t>
      </w:r>
      <w:r w:rsidR="0030397A">
        <w:rPr>
          <w:rFonts w:ascii="Arial" w:hAnsi="Arial" w:cs="Arial"/>
          <w:sz w:val="28"/>
          <w:szCs w:val="28"/>
          <w:lang w:val="fr-FR"/>
        </w:rPr>
        <w:t>S4003_LON</w:t>
      </w:r>
    </w:p>
    <w:p w14:paraId="410C101D" w14:textId="3DEE1EFB" w:rsidR="00925D5E" w:rsidRPr="0030397A" w:rsidRDefault="00967FF8">
      <w:pPr>
        <w:rPr>
          <w:lang w:val="fr-FR"/>
        </w:rPr>
        <w:sectPr w:rsidR="00925D5E" w:rsidRPr="0030397A">
          <w:headerReference w:type="default" r:id="rId10"/>
          <w:footerReference w:type="default" r:id="rId11"/>
          <w:pgSz w:w="11906" w:h="16838"/>
          <w:pgMar w:top="1440" w:right="1440" w:bottom="1440" w:left="1440" w:header="708" w:footer="708" w:gutter="0"/>
          <w:cols w:space="708"/>
          <w:docGrid w:linePitch="360"/>
        </w:sectPr>
      </w:pPr>
      <w:proofErr w:type="spellStart"/>
      <w:r w:rsidRPr="001721D3">
        <w:rPr>
          <w:rFonts w:ascii="Arial" w:hAnsi="Arial" w:cs="Arial"/>
          <w:b/>
          <w:bCs/>
          <w:sz w:val="28"/>
          <w:szCs w:val="28"/>
          <w:lang w:val="fr-FR"/>
        </w:rPr>
        <w:t>Lecture</w:t>
      </w:r>
      <w:r>
        <w:rPr>
          <w:rFonts w:ascii="Arial" w:hAnsi="Arial" w:cs="Arial"/>
          <w:b/>
          <w:bCs/>
          <w:sz w:val="28"/>
          <w:szCs w:val="28"/>
          <w:lang w:val="fr-FR"/>
        </w:rPr>
        <w:t>r</w:t>
      </w:r>
      <w:proofErr w:type="spellEnd"/>
      <w:r>
        <w:rPr>
          <w:rFonts w:ascii="Arial" w:hAnsi="Arial" w:cs="Arial"/>
          <w:b/>
          <w:bCs/>
          <w:sz w:val="28"/>
          <w:szCs w:val="28"/>
          <w:lang w:val="fr-FR"/>
        </w:rPr>
        <w:t xml:space="preserve"> </w:t>
      </w:r>
      <w:r w:rsidR="00833470" w:rsidRPr="001721D3">
        <w:rPr>
          <w:rFonts w:ascii="Arial" w:hAnsi="Arial" w:cs="Arial"/>
          <w:b/>
          <w:bCs/>
          <w:sz w:val="28"/>
          <w:szCs w:val="28"/>
          <w:lang w:val="fr-FR"/>
        </w:rPr>
        <w:t>nam</w:t>
      </w:r>
      <w:bookmarkEnd w:id="0"/>
      <w:r w:rsidR="0030397A">
        <w:rPr>
          <w:rFonts w:ascii="Arial" w:hAnsi="Arial" w:cs="Arial"/>
          <w:b/>
          <w:bCs/>
          <w:sz w:val="28"/>
          <w:szCs w:val="28"/>
          <w:lang w:val="fr-FR"/>
        </w:rPr>
        <w:t xml:space="preserve">e: </w:t>
      </w:r>
      <w:r w:rsidR="0030397A">
        <w:rPr>
          <w:rFonts w:ascii="Arial" w:hAnsi="Arial" w:cs="Arial"/>
          <w:sz w:val="28"/>
          <w:szCs w:val="28"/>
          <w:lang w:val="fr-FR"/>
        </w:rPr>
        <w:t>Sam Parker</w:t>
      </w:r>
    </w:p>
    <w:p w14:paraId="5BEF183B" w14:textId="77777777" w:rsidR="00486986" w:rsidRPr="001721D3" w:rsidRDefault="00486986" w:rsidP="00833470">
      <w:pPr>
        <w:rPr>
          <w:rFonts w:ascii="Arial" w:hAnsi="Arial" w:cs="Arial"/>
          <w:b/>
          <w:bCs/>
          <w:sz w:val="28"/>
          <w:szCs w:val="28"/>
          <w:lang w:val="fr-FR"/>
        </w:rPr>
      </w:pPr>
    </w:p>
    <w:sdt>
      <w:sdtPr>
        <w:rPr>
          <w:rFonts w:asciiTheme="minorHAnsi" w:eastAsiaTheme="minorEastAsia" w:hAnsiTheme="minorHAnsi" w:cstheme="minorBidi"/>
          <w:color w:val="auto"/>
          <w:sz w:val="22"/>
          <w:szCs w:val="22"/>
          <w:lang w:eastAsia="zh-CN"/>
        </w:rPr>
        <w:id w:val="-1680118251"/>
        <w:docPartObj>
          <w:docPartGallery w:val="Table of Contents"/>
          <w:docPartUnique/>
        </w:docPartObj>
      </w:sdtPr>
      <w:sdtEndPr>
        <w:rPr>
          <w:b/>
          <w:bCs/>
        </w:rPr>
      </w:sdtEndPr>
      <w:sdtContent>
        <w:p w14:paraId="5904AE9B" w14:textId="6FD2B659" w:rsidR="00486986" w:rsidRPr="001721D3" w:rsidRDefault="00486986">
          <w:pPr>
            <w:pStyle w:val="TOCHeading"/>
            <w:rPr>
              <w:b/>
              <w:bCs/>
              <w:color w:val="000000" w:themeColor="text1"/>
              <w:sz w:val="28"/>
              <w:szCs w:val="28"/>
              <w:lang w:val="fr-FR"/>
            </w:rPr>
          </w:pPr>
          <w:r w:rsidRPr="001721D3">
            <w:rPr>
              <w:b/>
              <w:bCs/>
              <w:color w:val="000000" w:themeColor="text1"/>
              <w:sz w:val="28"/>
              <w:szCs w:val="28"/>
              <w:lang w:val="fr-FR"/>
            </w:rPr>
            <w:t>Contents Page</w:t>
          </w:r>
        </w:p>
        <w:p w14:paraId="0C27526C" w14:textId="77777777" w:rsidR="00486986" w:rsidRPr="001721D3" w:rsidRDefault="00486986" w:rsidP="00486986">
          <w:pPr>
            <w:rPr>
              <w:lang w:val="fr-FR" w:eastAsia="en-GB"/>
            </w:rPr>
          </w:pPr>
        </w:p>
        <w:p w14:paraId="4AE28241" w14:textId="0F8C8C47" w:rsidR="0091585F" w:rsidRDefault="00486986">
          <w:pPr>
            <w:pStyle w:val="TOC1"/>
            <w:tabs>
              <w:tab w:val="right" w:leader="dot" w:pos="9016"/>
            </w:tabs>
            <w:rPr>
              <w:noProof/>
              <w:kern w:val="2"/>
              <w:sz w:val="24"/>
              <w:szCs w:val="24"/>
              <w:lang w:eastAsia="en-GB"/>
              <w14:ligatures w14:val="standardContextual"/>
            </w:rPr>
          </w:pPr>
          <w:r>
            <w:fldChar w:fldCharType="begin"/>
          </w:r>
          <w:r>
            <w:instrText xml:space="preserve"> TOC \o "1-3" \h \z \u </w:instrText>
          </w:r>
          <w:r>
            <w:fldChar w:fldCharType="separate"/>
          </w:r>
          <w:hyperlink w:anchor="_Toc235202505" w:history="1">
            <w:r w:rsidR="0091585F">
              <w:rPr>
                <w:rStyle w:val="Hyperlink"/>
                <w:b/>
                <w:bCs/>
                <w:noProof/>
              </w:rPr>
              <w:t>Element 1</w:t>
            </w:r>
            <w:r w:rsidR="0091585F">
              <w:rPr>
                <w:noProof/>
                <w:webHidden/>
              </w:rPr>
              <w:tab/>
            </w:r>
            <w:r w:rsidR="0091585F">
              <w:rPr>
                <w:noProof/>
                <w:webHidden/>
              </w:rPr>
              <w:fldChar w:fldCharType="begin"/>
            </w:r>
            <w:r w:rsidR="0091585F">
              <w:rPr>
                <w:noProof/>
                <w:webHidden/>
              </w:rPr>
              <w:instrText xml:space="preserve"> PAGEREF _Toc235202505 \h </w:instrText>
            </w:r>
            <w:r w:rsidR="0091585F">
              <w:rPr>
                <w:noProof/>
                <w:webHidden/>
              </w:rPr>
            </w:r>
            <w:r w:rsidR="0091585F">
              <w:rPr>
                <w:noProof/>
                <w:webHidden/>
              </w:rPr>
              <w:fldChar w:fldCharType="separate"/>
            </w:r>
            <w:r w:rsidR="0091585F">
              <w:rPr>
                <w:noProof/>
                <w:webHidden/>
              </w:rPr>
              <w:t>3</w:t>
            </w:r>
            <w:r w:rsidR="0091585F">
              <w:rPr>
                <w:noProof/>
                <w:webHidden/>
              </w:rPr>
              <w:fldChar w:fldCharType="end"/>
            </w:r>
          </w:hyperlink>
        </w:p>
        <w:p w14:paraId="6EABD63F" w14:textId="3057A18C" w:rsidR="0091585F" w:rsidRDefault="0091585F">
          <w:pPr>
            <w:pStyle w:val="TOC1"/>
            <w:tabs>
              <w:tab w:val="right" w:leader="dot" w:pos="9016"/>
            </w:tabs>
            <w:rPr>
              <w:noProof/>
              <w:kern w:val="2"/>
              <w:sz w:val="24"/>
              <w:szCs w:val="24"/>
              <w:lang w:eastAsia="en-GB"/>
              <w14:ligatures w14:val="standardContextual"/>
            </w:rPr>
          </w:pPr>
          <w:hyperlink w:anchor="_Toc235202506" w:history="1">
            <w:r w:rsidRPr="00137E6C">
              <w:rPr>
                <w:rStyle w:val="Hyperlink"/>
                <w:b/>
                <w:bCs/>
                <w:noProof/>
              </w:rPr>
              <w:t>References</w:t>
            </w:r>
            <w:r>
              <w:rPr>
                <w:noProof/>
                <w:webHidden/>
              </w:rPr>
              <w:tab/>
            </w:r>
            <w:r>
              <w:rPr>
                <w:noProof/>
                <w:webHidden/>
              </w:rPr>
              <w:fldChar w:fldCharType="begin"/>
            </w:r>
            <w:r>
              <w:rPr>
                <w:noProof/>
                <w:webHidden/>
              </w:rPr>
              <w:instrText xml:space="preserve"> PAGEREF _Toc235202506 \h </w:instrText>
            </w:r>
            <w:r>
              <w:rPr>
                <w:noProof/>
                <w:webHidden/>
              </w:rPr>
            </w:r>
            <w:r>
              <w:rPr>
                <w:noProof/>
                <w:webHidden/>
              </w:rPr>
              <w:fldChar w:fldCharType="separate"/>
            </w:r>
            <w:r>
              <w:rPr>
                <w:noProof/>
                <w:webHidden/>
              </w:rPr>
              <w:t>4</w:t>
            </w:r>
            <w:r>
              <w:rPr>
                <w:noProof/>
                <w:webHidden/>
              </w:rPr>
              <w:fldChar w:fldCharType="end"/>
            </w:r>
          </w:hyperlink>
        </w:p>
        <w:p w14:paraId="51471889" w14:textId="416333E6" w:rsidR="0091585F" w:rsidRDefault="0091585F">
          <w:pPr>
            <w:pStyle w:val="TOC1"/>
            <w:tabs>
              <w:tab w:val="right" w:leader="dot" w:pos="9016"/>
            </w:tabs>
            <w:rPr>
              <w:noProof/>
              <w:kern w:val="2"/>
              <w:sz w:val="24"/>
              <w:szCs w:val="24"/>
              <w:lang w:eastAsia="en-GB"/>
              <w14:ligatures w14:val="standardContextual"/>
            </w:rPr>
          </w:pPr>
          <w:hyperlink w:anchor="_Toc235202507" w:history="1">
            <w:r w:rsidRPr="00137E6C">
              <w:rPr>
                <w:rStyle w:val="Hyperlink"/>
                <w:b/>
                <w:bCs/>
                <w:noProof/>
              </w:rPr>
              <w:t>Element 2</w:t>
            </w:r>
            <w:r>
              <w:rPr>
                <w:noProof/>
                <w:webHidden/>
              </w:rPr>
              <w:tab/>
            </w:r>
            <w:r>
              <w:rPr>
                <w:noProof/>
                <w:webHidden/>
              </w:rPr>
              <w:fldChar w:fldCharType="begin"/>
            </w:r>
            <w:r>
              <w:rPr>
                <w:noProof/>
                <w:webHidden/>
              </w:rPr>
              <w:instrText xml:space="preserve"> PAGEREF _Toc235202507 \h </w:instrText>
            </w:r>
            <w:r>
              <w:rPr>
                <w:noProof/>
                <w:webHidden/>
              </w:rPr>
            </w:r>
            <w:r>
              <w:rPr>
                <w:noProof/>
                <w:webHidden/>
              </w:rPr>
              <w:fldChar w:fldCharType="separate"/>
            </w:r>
            <w:r>
              <w:rPr>
                <w:noProof/>
                <w:webHidden/>
              </w:rPr>
              <w:t>5</w:t>
            </w:r>
            <w:r>
              <w:rPr>
                <w:noProof/>
                <w:webHidden/>
              </w:rPr>
              <w:fldChar w:fldCharType="end"/>
            </w:r>
          </w:hyperlink>
        </w:p>
        <w:p w14:paraId="2F851E1B" w14:textId="20CB58A7" w:rsidR="0091585F" w:rsidRDefault="0091585F">
          <w:pPr>
            <w:pStyle w:val="TOC1"/>
            <w:tabs>
              <w:tab w:val="right" w:leader="dot" w:pos="9016"/>
            </w:tabs>
            <w:rPr>
              <w:noProof/>
              <w:kern w:val="2"/>
              <w:sz w:val="24"/>
              <w:szCs w:val="24"/>
              <w:lang w:eastAsia="en-GB"/>
              <w14:ligatures w14:val="standardContextual"/>
            </w:rPr>
          </w:pPr>
          <w:hyperlink w:anchor="_Toc235202508" w:history="1">
            <w:r w:rsidRPr="00137E6C">
              <w:rPr>
                <w:rStyle w:val="Hyperlink"/>
                <w:b/>
                <w:bCs/>
                <w:noProof/>
              </w:rPr>
              <w:t>References</w:t>
            </w:r>
            <w:r>
              <w:rPr>
                <w:noProof/>
                <w:webHidden/>
              </w:rPr>
              <w:tab/>
            </w:r>
            <w:r>
              <w:rPr>
                <w:noProof/>
                <w:webHidden/>
              </w:rPr>
              <w:fldChar w:fldCharType="begin"/>
            </w:r>
            <w:r>
              <w:rPr>
                <w:noProof/>
                <w:webHidden/>
              </w:rPr>
              <w:instrText xml:space="preserve"> PAGEREF _Toc235202508 \h </w:instrText>
            </w:r>
            <w:r>
              <w:rPr>
                <w:noProof/>
                <w:webHidden/>
              </w:rPr>
            </w:r>
            <w:r>
              <w:rPr>
                <w:noProof/>
                <w:webHidden/>
              </w:rPr>
              <w:fldChar w:fldCharType="separate"/>
            </w:r>
            <w:r>
              <w:rPr>
                <w:noProof/>
                <w:webHidden/>
              </w:rPr>
              <w:t>7</w:t>
            </w:r>
            <w:r>
              <w:rPr>
                <w:noProof/>
                <w:webHidden/>
              </w:rPr>
              <w:fldChar w:fldCharType="end"/>
            </w:r>
          </w:hyperlink>
        </w:p>
        <w:p w14:paraId="2F2D77A8" w14:textId="20E0BF96" w:rsidR="00486986" w:rsidRDefault="00486986" w:rsidP="00833470">
          <w:pPr>
            <w:sectPr w:rsidR="00486986" w:rsidSect="00925D5E">
              <w:pgSz w:w="11906" w:h="16838"/>
              <w:pgMar w:top="1440" w:right="1440" w:bottom="1440" w:left="1440" w:header="708" w:footer="708" w:gutter="0"/>
              <w:cols w:space="708"/>
              <w:docGrid w:linePitch="360"/>
            </w:sectPr>
          </w:pPr>
          <w:r>
            <w:rPr>
              <w:b/>
              <w:bCs/>
            </w:rPr>
            <w:fldChar w:fldCharType="end"/>
          </w:r>
        </w:p>
      </w:sdtContent>
    </w:sdt>
    <w:p w14:paraId="5AFFC33B" w14:textId="72F8297D" w:rsidR="003A000F" w:rsidRDefault="00A65691">
      <w:pPr>
        <w:sectPr w:rsidR="003A000F" w:rsidSect="003A000F">
          <w:pgSz w:w="16838" w:h="11906" w:orient="landscape"/>
          <w:pgMar w:top="1440" w:right="1440" w:bottom="1440" w:left="1440" w:header="708" w:footer="708" w:gutter="0"/>
          <w:cols w:space="708"/>
          <w:docGrid w:linePitch="360"/>
        </w:sectPr>
      </w:pPr>
      <w:r>
        <w:rPr>
          <w:noProof/>
        </w:rPr>
        <w:lastRenderedPageBreak/>
        <mc:AlternateContent>
          <mc:Choice Requires="wps">
            <w:drawing>
              <wp:anchor distT="45720" distB="45720" distL="114300" distR="114300" simplePos="0" relativeHeight="251669504" behindDoc="0" locked="0" layoutInCell="1" allowOverlap="1" wp14:anchorId="298766ED" wp14:editId="2873BFE5">
                <wp:simplePos x="0" y="0"/>
                <wp:positionH relativeFrom="column">
                  <wp:posOffset>5626100</wp:posOffset>
                </wp:positionH>
                <wp:positionV relativeFrom="paragraph">
                  <wp:posOffset>1156970</wp:posOffset>
                </wp:positionV>
                <wp:extent cx="4055745" cy="2413000"/>
                <wp:effectExtent l="19050" t="19050" r="20955" b="25400"/>
                <wp:wrapSquare wrapText="bothSides"/>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55745" cy="2413000"/>
                        </a:xfrm>
                        <a:prstGeom prst="rect">
                          <a:avLst/>
                        </a:prstGeom>
                        <a:solidFill>
                          <a:srgbClr val="FFFFFF"/>
                        </a:solidFill>
                        <a:ln w="44450">
                          <a:solidFill>
                            <a:srgbClr val="000000"/>
                          </a:solidFill>
                          <a:miter lim="800000"/>
                          <a:headEnd/>
                          <a:tailEnd/>
                        </a:ln>
                        <a:effectLst>
                          <a:softEdge rad="25400"/>
                        </a:effectLst>
                      </wps:spPr>
                      <wps:txbx>
                        <w:txbxContent>
                          <w:p w14:paraId="219A338A" w14:textId="193EEC72" w:rsidR="00BE6BE0" w:rsidRDefault="006854CF" w:rsidP="00622F01">
                            <w:pPr>
                              <w:rPr>
                                <w:b/>
                                <w:bCs/>
                                <w:color w:val="538135" w:themeColor="accent6" w:themeShade="BF"/>
                                <w:sz w:val="20"/>
                                <w:szCs w:val="20"/>
                              </w:rPr>
                            </w:pPr>
                            <w:r>
                              <w:rPr>
                                <w:b/>
                                <w:bCs/>
                                <w:color w:val="538135" w:themeColor="accent6" w:themeShade="BF"/>
                                <w:sz w:val="20"/>
                                <w:szCs w:val="20"/>
                              </w:rPr>
                              <w:t>History of Pharmacy</w:t>
                            </w:r>
                            <w:r w:rsidR="00B4275F">
                              <w:rPr>
                                <w:b/>
                                <w:bCs/>
                                <w:color w:val="538135" w:themeColor="accent6" w:themeShade="BF"/>
                                <w:sz w:val="20"/>
                                <w:szCs w:val="20"/>
                              </w:rPr>
                              <w:t xml:space="preserve"> </w:t>
                            </w:r>
                          </w:p>
                          <w:p w14:paraId="12311CCA" w14:textId="2E7CB220" w:rsidR="006854CF" w:rsidRPr="006854CF" w:rsidRDefault="006854CF" w:rsidP="00622F01">
                            <w:pPr>
                              <w:rPr>
                                <w:color w:val="000000" w:themeColor="text1"/>
                                <w:sz w:val="20"/>
                                <w:szCs w:val="20"/>
                              </w:rPr>
                            </w:pPr>
                            <w:r w:rsidRPr="006854CF">
                              <w:rPr>
                                <w:color w:val="000000" w:themeColor="text1"/>
                                <w:sz w:val="20"/>
                                <w:szCs w:val="20"/>
                              </w:rPr>
                              <w:t>Pharmacy in Britain began with medieval apothecaries who diagnosed illness and prepared medicines, while chemists and druggists focused on manufacturing and selling remedies. The founding of the Pharmaceutical Society in 1841 marked the start of modern professional regulation, later strengthened by the Pharmacy and Poisons Act 1868, which restricted those who could sell medicines. The creation of the NHS in 1948 transformed pharmacy by increasing prescription numbers and reducing traditional compounding. From the 1980s, the profession shifted toward more clinical, patient-focused roles. The establishment of the General Pharmaceutical Council in 2010 formalised this modernisation and expanded pharmacists’ responsibilities.</w:t>
                            </w:r>
                            <w:r w:rsidR="0030397A">
                              <w:rPr>
                                <w:color w:val="000000" w:themeColor="text1"/>
                                <w:sz w:val="20"/>
                                <w:szCs w:val="20"/>
                              </w:rPr>
                              <w:t xml:space="preserve"> (B</w:t>
                            </w:r>
                            <w:r w:rsidR="00A65691">
                              <w:rPr>
                                <w:color w:val="000000" w:themeColor="text1"/>
                                <w:sz w:val="20"/>
                                <w:szCs w:val="20"/>
                              </w:rPr>
                              <w:t xml:space="preserve">ritish Society for the History  of Pharmacy 2024)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98766ED" id="_x0000_t202" coordsize="21600,21600" o:spt="202" path="m,l,21600r21600,l21600,xe">
                <v:stroke joinstyle="miter"/>
                <v:path gradientshapeok="t" o:connecttype="rect"/>
              </v:shapetype>
              <v:shape id="Text Box 6" o:spid="_x0000_s1026" type="#_x0000_t202" style="position:absolute;margin-left:443pt;margin-top:91.1pt;width:319.35pt;height:190pt;z-index:2516695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" strokeweight="3.5pt">
                <v:textbox>
                  <w:txbxContent>
                    <w:p w14:paraId="219A338A" w14:textId="193EEC72" w:rsidR="00BE6BE0" w:rsidRDefault="006854CF" w:rsidP="00622F01">
                      <w:pPr>
                        <w:rPr>
                          <w:b/>
                          <w:bCs/>
                          <w:color w:val="538135" w:themeColor="accent6" w:themeShade="BF"/>
                          <w:sz w:val="20"/>
                          <w:szCs w:val="20"/>
                        </w:rPr>
                      </w:pPr>
                      <w:r>
                        <w:rPr>
                          <w:b/>
                          <w:bCs/>
                          <w:color w:val="538135" w:themeColor="accent6" w:themeShade="BF"/>
                          <w:sz w:val="20"/>
                          <w:szCs w:val="20"/>
                        </w:rPr>
                        <w:t>History of Pharmacy</w:t>
                      </w:r>
                      <w:r w:rsidR="00B4275F">
                        <w:rPr>
                          <w:b/>
                          <w:bCs/>
                          <w:color w:val="538135" w:themeColor="accent6" w:themeShade="BF"/>
                          <w:sz w:val="20"/>
                          <w:szCs w:val="20"/>
                        </w:rPr>
                        <w:t xml:space="preserve"> </w:t>
                      </w:r>
                    </w:p>
                    <w:p w14:paraId="12311CCA" w14:textId="2E7CB220" w:rsidR="006854CF" w:rsidRPr="006854CF" w:rsidRDefault="006854CF" w:rsidP="00622F01">
                      <w:pPr>
                        <w:rPr>
                          <w:color w:val="000000" w:themeColor="text1"/>
                          <w:sz w:val="20"/>
                          <w:szCs w:val="20"/>
                        </w:rPr>
                      </w:pPr>
                      <w:r w:rsidRPr="006854CF">
                        <w:rPr>
                          <w:color w:val="000000" w:themeColor="text1"/>
                          <w:sz w:val="20"/>
                          <w:szCs w:val="20"/>
                        </w:rPr>
                        <w:t>Pharmacy in Britain began with medieval apothecaries who diagnosed illness and prepared medicines, while chemists and druggists focused on manufacturing and selling remedies. The founding of the Pharmaceutical Society in 1841 marked the start of modern professional regulation, later strengthened by the Pharmacy and Poisons Act 1868, which restricted those who could sell medicines. The creation of the NHS in 1948 transformed pharmacy by increasing prescription numbers and reducing traditional compounding. From the 1980s, the profession shifted toward more clinical, patient-focused roles. The establishment of the General Pharmaceutical Council in 2010 formalised this modernisation and expanded pharmacists’ responsibilities.</w:t>
                      </w:r>
                      <w:r w:rsidR="0030397A">
                        <w:rPr>
                          <w:color w:val="000000" w:themeColor="text1"/>
                          <w:sz w:val="20"/>
                          <w:szCs w:val="20"/>
                        </w:rPr>
                        <w:t xml:space="preserve"> (B</w:t>
                      </w:r>
                      <w:r w:rsidR="00A65691">
                        <w:rPr>
                          <w:color w:val="000000" w:themeColor="text1"/>
                          <w:sz w:val="20"/>
                          <w:szCs w:val="20"/>
                        </w:rPr>
                        <w:t xml:space="preserve">ritish Society for the History  of Pharmacy 2024) </w:t>
                      </w:r>
                    </w:p>
                  </w:txbxContent>
                </v:textbox>
                <w10:wrap type="square"/>
              </v:shape>
            </w:pict>
          </mc:Fallback>
        </mc:AlternateContent>
      </w:r>
      <w:r>
        <w:rPr>
          <w:noProof/>
        </w:rPr>
        <mc:AlternateContent>
          <mc:Choice Requires="wps">
            <w:drawing>
              <wp:anchor distT="45720" distB="45720" distL="114300" distR="114300" simplePos="0" relativeHeight="251665408" behindDoc="0" locked="0" layoutInCell="1" allowOverlap="1" wp14:anchorId="21A64788" wp14:editId="30E5464C">
                <wp:simplePos x="0" y="0"/>
                <wp:positionH relativeFrom="margin">
                  <wp:posOffset>2482215</wp:posOffset>
                </wp:positionH>
                <wp:positionV relativeFrom="paragraph">
                  <wp:posOffset>1176020</wp:posOffset>
                </wp:positionV>
                <wp:extent cx="3088005" cy="2394585"/>
                <wp:effectExtent l="19050" t="19050" r="17145" b="24765"/>
                <wp:wrapSquare wrapText="bothSides"/>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88005" cy="2394585"/>
                        </a:xfrm>
                        <a:prstGeom prst="rect">
                          <a:avLst/>
                        </a:prstGeom>
                        <a:solidFill>
                          <a:srgbClr val="FFFFFF"/>
                        </a:solidFill>
                        <a:ln w="44450">
                          <a:solidFill>
                            <a:srgbClr val="000000"/>
                          </a:solidFill>
                          <a:miter lim="800000"/>
                          <a:headEnd/>
                          <a:tailEnd/>
                        </a:ln>
                        <a:effectLst>
                          <a:softEdge rad="25400"/>
                        </a:effectLst>
                      </wps:spPr>
                      <wps:txbx>
                        <w:txbxContent>
                          <w:p w14:paraId="31CCABAC" w14:textId="313E19FE" w:rsidR="00BE6BE0" w:rsidRDefault="006854CF" w:rsidP="000A69C0">
                            <w:pPr>
                              <w:rPr>
                                <w:b/>
                                <w:bCs/>
                                <w:color w:val="538135" w:themeColor="accent6" w:themeShade="BF"/>
                              </w:rPr>
                            </w:pPr>
                            <w:r>
                              <w:rPr>
                                <w:b/>
                                <w:bCs/>
                                <w:color w:val="538135" w:themeColor="accent6" w:themeShade="BF"/>
                              </w:rPr>
                              <w:t>History of Pharmacy</w:t>
                            </w:r>
                          </w:p>
                          <w:p w14:paraId="0FEAF5F9" w14:textId="54129234" w:rsidR="006854CF" w:rsidRPr="006854CF" w:rsidRDefault="006854CF" w:rsidP="000A69C0">
                            <w:pPr>
                              <w:rPr>
                                <w:b/>
                                <w:bCs/>
                                <w:color w:val="538135" w:themeColor="accent6" w:themeShade="BF"/>
                              </w:rPr>
                            </w:pPr>
                            <w:r>
                              <w:rPr>
                                <w:noProof/>
                              </w:rPr>
                              <w:drawing>
                                <wp:inline distT="0" distB="0" distL="0" distR="0" wp14:anchorId="1D76A5AC" wp14:editId="7F474657">
                                  <wp:extent cx="2855168" cy="1885950"/>
                                  <wp:effectExtent l="0" t="0" r="2540" b="0"/>
                                  <wp:docPr id="8012580" name="Picture 25" descr="Discover the EVOLUTION of PHARMACY: 19th Century Insigh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1" descr="Discover the EVOLUTION of PHARMACY: 19th Century Insights!"/>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857810" cy="1887695"/>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1A64788" id="Text Box 5" o:spid="_x0000_s1027" type="#_x0000_t202" style="position:absolute;margin-left:195.45pt;margin-top:92.6pt;width:243.15pt;height:188.55pt;z-index:2516654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" strokeweight="3.5pt">
                <v:textbox>
                  <w:txbxContent>
                    <w:p w14:paraId="31CCABAC" w14:textId="313E19FE" w:rsidR="00BE6BE0" w:rsidRDefault="006854CF" w:rsidP="000A69C0">
                      <w:pPr>
                        <w:rPr>
                          <w:b/>
                          <w:bCs/>
                          <w:color w:val="538135" w:themeColor="accent6" w:themeShade="BF"/>
                        </w:rPr>
                      </w:pPr>
                      <w:r>
                        <w:rPr>
                          <w:b/>
                          <w:bCs/>
                          <w:color w:val="538135" w:themeColor="accent6" w:themeShade="BF"/>
                        </w:rPr>
                        <w:t>History of Pharmacy</w:t>
                      </w:r>
                    </w:p>
                    <w:p w14:paraId="0FEAF5F9" w14:textId="54129234" w:rsidR="006854CF" w:rsidRPr="006854CF" w:rsidRDefault="006854CF" w:rsidP="000A69C0">
                      <w:pPr>
                        <w:rPr>
                          <w:b/>
                          <w:bCs/>
                          <w:color w:val="538135" w:themeColor="accent6" w:themeShade="BF"/>
                        </w:rPr>
                      </w:pPr>
                      <w:r>
                        <w:rPr>
                          <w:noProof/>
                        </w:rPr>
                        <w:drawing>
                          <wp:inline distT="0" distB="0" distL="0" distR="0" wp14:anchorId="1D76A5AC" wp14:editId="7F474657">
                            <wp:extent cx="2855168" cy="1885950"/>
                            <wp:effectExtent l="0" t="0" r="2540" b="0"/>
                            <wp:docPr id="8012580" name="Picture 25" descr="Discover the EVOLUTION of PHARMACY: 19th Century Insigh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1" descr="Discover the EVOLUTION of PHARMACY: 19th Century Insights!"/>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857810" cy="1887695"/>
                                    </a:xfrm>
                                    <a:prstGeom prst="rect">
                                      <a:avLst/>
                                    </a:prstGeom>
                                    <a:noFill/>
                                    <a:ln>
                                      <a:noFill/>
                                    </a:ln>
                                  </pic:spPr>
                                </pic:pic>
                              </a:graphicData>
                            </a:graphic>
                          </wp:inline>
                        </w:drawing>
                      </w:r>
                    </w:p>
                  </w:txbxContent>
                </v:textbox>
                <w10:wrap type="square" anchorx="margin"/>
              </v:shape>
            </w:pict>
          </mc:Fallback>
        </mc:AlternateContent>
      </w:r>
      <w:r w:rsidR="0030397A">
        <w:rPr>
          <w:noProof/>
        </w:rPr>
        <mc:AlternateContent>
          <mc:Choice Requires="wps">
            <w:drawing>
              <wp:anchor distT="45720" distB="45720" distL="114300" distR="114300" simplePos="0" relativeHeight="251671552" behindDoc="0" locked="0" layoutInCell="1" allowOverlap="1" wp14:anchorId="5D749413" wp14:editId="035376D5">
                <wp:simplePos x="0" y="0"/>
                <wp:positionH relativeFrom="page">
                  <wp:posOffset>205105</wp:posOffset>
                </wp:positionH>
                <wp:positionV relativeFrom="paragraph">
                  <wp:posOffset>3648075</wp:posOffset>
                </wp:positionV>
                <wp:extent cx="3581400" cy="2032635"/>
                <wp:effectExtent l="19050" t="19050" r="38100" b="43815"/>
                <wp:wrapSquare wrapText="bothSides"/>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81400" cy="2032635"/>
                        </a:xfrm>
                        <a:prstGeom prst="rect">
                          <a:avLst/>
                        </a:prstGeom>
                        <a:solidFill>
                          <a:srgbClr val="FFFFFF"/>
                        </a:solidFill>
                        <a:ln w="47625">
                          <a:solidFill>
                            <a:srgbClr val="000000"/>
                          </a:solidFill>
                          <a:miter lim="800000"/>
                          <a:headEnd/>
                          <a:tailEnd/>
                        </a:ln>
                        <a:effectLst>
                          <a:softEdge rad="25400"/>
                        </a:effectLst>
                      </wps:spPr>
                      <wps:txbx>
                        <w:txbxContent>
                          <w:p w14:paraId="34A24BF9" w14:textId="1777C446" w:rsidR="00BE6BE0" w:rsidRDefault="006854CF" w:rsidP="00BE6BE0">
                            <w:pPr>
                              <w:rPr>
                                <w:b/>
                                <w:bCs/>
                                <w:color w:val="A8D08D" w:themeColor="accent6" w:themeTint="99"/>
                              </w:rPr>
                            </w:pPr>
                            <w:r>
                              <w:rPr>
                                <w:b/>
                                <w:bCs/>
                                <w:color w:val="A8D08D" w:themeColor="accent6" w:themeTint="99"/>
                              </w:rPr>
                              <w:t>Function of the Pharmacy</w:t>
                            </w:r>
                            <w:r w:rsidR="00B4275F">
                              <w:rPr>
                                <w:b/>
                                <w:bCs/>
                                <w:color w:val="A8D08D" w:themeColor="accent6" w:themeTint="99"/>
                              </w:rPr>
                              <w:t xml:space="preserve"> </w:t>
                            </w:r>
                          </w:p>
                          <w:p w14:paraId="1DEF2B33" w14:textId="27183386" w:rsidR="006854CF" w:rsidRPr="00A65691" w:rsidRDefault="006854CF" w:rsidP="00BE6BE0">
                            <w:pPr>
                              <w:rPr>
                                <w:color w:val="000000" w:themeColor="text1"/>
                                <w:sz w:val="20"/>
                                <w:szCs w:val="20"/>
                              </w:rPr>
                            </w:pPr>
                            <w:r w:rsidRPr="00A65691">
                              <w:rPr>
                                <w:color w:val="000000" w:themeColor="text1"/>
                                <w:sz w:val="20"/>
                                <w:szCs w:val="20"/>
                              </w:rPr>
                              <w:t>Pharmacies offer accessible healthcare advice for minor illnesses such as coughs, colds, sore throats and ear infections, and help people use medicines safely. Through Pharmacy First, many can supply prescription-only treatments without a GP appointment. They also dispose of unwanted medicines and provide services like emergency contraception, blood pressure checks, smoking cessation support and sexual health testing. Pharmacists can refer patients to other professionals when needed.</w:t>
                            </w:r>
                            <w:r w:rsidR="0030397A" w:rsidRPr="00A65691">
                              <w:rPr>
                                <w:color w:val="000000" w:themeColor="text1"/>
                                <w:sz w:val="20"/>
                                <w:szCs w:val="20"/>
                              </w:rPr>
                              <w:t xml:space="preserve"> (NHS</w:t>
                            </w:r>
                            <w:r w:rsidR="00A65691">
                              <w:rPr>
                                <w:color w:val="000000" w:themeColor="text1"/>
                                <w:sz w:val="20"/>
                                <w:szCs w:val="20"/>
                              </w:rPr>
                              <w:t xml:space="preserve"> 2024)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D749413" id="Text Box 7" o:spid="_x0000_s1028" type="#_x0000_t202" style="position:absolute;margin-left:16.15pt;margin-top:287.25pt;width:282pt;height:160.05pt;z-index:251671552;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" strokeweight="3.75pt">
                <v:textbox>
                  <w:txbxContent>
                    <w:p w14:paraId="34A24BF9" w14:textId="1777C446" w:rsidR="00BE6BE0" w:rsidRDefault="006854CF" w:rsidP="00BE6BE0">
                      <w:pPr>
                        <w:rPr>
                          <w:b/>
                          <w:bCs/>
                          <w:color w:val="A8D08D" w:themeColor="accent6" w:themeTint="99"/>
                        </w:rPr>
                      </w:pPr>
                      <w:r>
                        <w:rPr>
                          <w:b/>
                          <w:bCs/>
                          <w:color w:val="A8D08D" w:themeColor="accent6" w:themeTint="99"/>
                        </w:rPr>
                        <w:t>Function of the Pharmacy</w:t>
                      </w:r>
                      <w:r w:rsidR="00B4275F">
                        <w:rPr>
                          <w:b/>
                          <w:bCs/>
                          <w:color w:val="A8D08D" w:themeColor="accent6" w:themeTint="99"/>
                        </w:rPr>
                        <w:t xml:space="preserve"> </w:t>
                      </w:r>
                    </w:p>
                    <w:p w14:paraId="1DEF2B33" w14:textId="27183386" w:rsidR="006854CF" w:rsidRPr="00A65691" w:rsidRDefault="006854CF" w:rsidP="00BE6BE0">
                      <w:pPr>
                        <w:rPr>
                          <w:color w:val="000000" w:themeColor="text1"/>
                          <w:sz w:val="20"/>
                          <w:szCs w:val="20"/>
                        </w:rPr>
                      </w:pPr>
                      <w:r w:rsidRPr="00A65691">
                        <w:rPr>
                          <w:color w:val="000000" w:themeColor="text1"/>
                          <w:sz w:val="20"/>
                          <w:szCs w:val="20"/>
                        </w:rPr>
                        <w:t>Pharmacies offer accessible healthcare advice for minor illnesses such as coughs, colds, sore throats and ear infections, and help people use medicines safely. Through Pharmacy First, many can supply prescription-only treatments without a GP appointment. They also dispose of unwanted medicines and provide services like emergency contraception, blood pressure checks, smoking cessation support and sexual health testing. Pharmacists can refer patients to other professionals when needed.</w:t>
                      </w:r>
                      <w:r w:rsidR="0030397A" w:rsidRPr="00A65691">
                        <w:rPr>
                          <w:color w:val="000000" w:themeColor="text1"/>
                          <w:sz w:val="20"/>
                          <w:szCs w:val="20"/>
                        </w:rPr>
                        <w:t xml:space="preserve"> (NHS</w:t>
                      </w:r>
                      <w:r w:rsidR="00A65691">
                        <w:rPr>
                          <w:color w:val="000000" w:themeColor="text1"/>
                          <w:sz w:val="20"/>
                          <w:szCs w:val="20"/>
                        </w:rPr>
                        <w:t xml:space="preserve"> 2024)</w:t>
                      </w:r>
                    </w:p>
                  </w:txbxContent>
                </v:textbox>
                <w10:wrap type="square" anchorx="page"/>
              </v:shape>
            </w:pict>
          </mc:Fallback>
        </mc:AlternateContent>
      </w:r>
      <w:r w:rsidR="0030397A">
        <w:rPr>
          <w:noProof/>
        </w:rPr>
        <mc:AlternateContent>
          <mc:Choice Requires="wps">
            <w:drawing>
              <wp:anchor distT="45720" distB="45720" distL="114300" distR="114300" simplePos="0" relativeHeight="251675648" behindDoc="0" locked="0" layoutInCell="1" allowOverlap="1" wp14:anchorId="1182A892" wp14:editId="0C508921">
                <wp:simplePos x="0" y="0"/>
                <wp:positionH relativeFrom="page">
                  <wp:posOffset>3947160</wp:posOffset>
                </wp:positionH>
                <wp:positionV relativeFrom="paragraph">
                  <wp:posOffset>3629025</wp:posOffset>
                </wp:positionV>
                <wp:extent cx="6586855" cy="2054225"/>
                <wp:effectExtent l="19050" t="19050" r="42545" b="41275"/>
                <wp:wrapSquare wrapText="bothSides"/>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86855" cy="2054225"/>
                        </a:xfrm>
                        <a:prstGeom prst="rect">
                          <a:avLst/>
                        </a:prstGeom>
                        <a:solidFill>
                          <a:srgbClr val="FFFFFF"/>
                        </a:solidFill>
                        <a:ln w="47625">
                          <a:solidFill>
                            <a:srgbClr val="000000"/>
                          </a:solidFill>
                          <a:miter lim="800000"/>
                          <a:headEnd/>
                          <a:tailEnd/>
                        </a:ln>
                        <a:effectLst>
                          <a:softEdge rad="25400"/>
                        </a:effectLst>
                      </wps:spPr>
                      <wps:txbx>
                        <w:txbxContent>
                          <w:p w14:paraId="15CC3909" w14:textId="5C1271B9" w:rsidR="001D05DB" w:rsidRDefault="00B9301F" w:rsidP="00BE6BE0">
                            <w:pPr>
                              <w:rPr>
                                <w:b/>
                                <w:bCs/>
                                <w:color w:val="385623" w:themeColor="accent6" w:themeShade="80"/>
                              </w:rPr>
                            </w:pPr>
                            <w:r>
                              <w:rPr>
                                <w:b/>
                                <w:bCs/>
                                <w:color w:val="385623" w:themeColor="accent6" w:themeShade="80"/>
                              </w:rPr>
                              <w:t>Challenges Faced By Pharma</w:t>
                            </w:r>
                            <w:r w:rsidR="0030397A">
                              <w:rPr>
                                <w:b/>
                                <w:bCs/>
                                <w:color w:val="385623" w:themeColor="accent6" w:themeShade="80"/>
                              </w:rPr>
                              <w:t>cies</w:t>
                            </w:r>
                            <w:r w:rsidR="00766E12">
                              <w:rPr>
                                <w:b/>
                                <w:bCs/>
                                <w:color w:val="385623" w:themeColor="accent6" w:themeShade="80"/>
                              </w:rPr>
                              <w:t xml:space="preserve"> </w:t>
                            </w:r>
                          </w:p>
                          <w:p w14:paraId="69FD32DC" w14:textId="67E393D0" w:rsidR="00B9301F" w:rsidRDefault="000663E2" w:rsidP="000663E2">
                            <w:pPr>
                              <w:rPr>
                                <w:color w:val="000000" w:themeColor="text1"/>
                                <w:sz w:val="20"/>
                                <w:szCs w:val="20"/>
                              </w:rPr>
                            </w:pPr>
                            <w:r w:rsidRPr="000663E2">
                              <w:rPr>
                                <w:color w:val="000000" w:themeColor="text1"/>
                                <w:sz w:val="20"/>
                                <w:szCs w:val="20"/>
                              </w:rPr>
                              <w:t>Community pharmacies are increasingly affected by frequent medicine shortages, which make it difficult to provide patients with the treatments they need. When essential medicines are unavailable, pharmacy teams must spend extra time contacting suppliers, finding suitable alternatives, and explaining the situation to patients. This creates delays, increases stress, and disrupts the smooth running of daily services. Medicine shortages also impact patient confidence, as people rely on pharmacies for consistent access to vital medication.</w:t>
                            </w:r>
                          </w:p>
                          <w:p w14:paraId="7A5437A0" w14:textId="0DABCBF5" w:rsidR="0030397A" w:rsidRPr="00A62CFA" w:rsidRDefault="0030397A" w:rsidP="0030397A">
                            <w:pPr>
                              <w:rPr>
                                <w:color w:val="000000" w:themeColor="text1"/>
                              </w:rPr>
                            </w:pPr>
                            <w:r w:rsidRPr="004F57D4">
                              <w:rPr>
                                <w:color w:val="000000" w:themeColor="text1"/>
                                <w:sz w:val="20"/>
                                <w:szCs w:val="20"/>
                              </w:rPr>
                              <w:t>Underfunding is a major issue for community pharmacies, as they are expected to deliver more services without receiving enough financial support. Limited funding creates staffing pressures, reduces resources, and restricts investment in training or equipment. Over time, this makes it harder for pharmacies to maintain consistent, high</w:t>
                            </w:r>
                            <w:r w:rsidRPr="004F57D4">
                              <w:rPr>
                                <w:color w:val="000000" w:themeColor="text1"/>
                                <w:sz w:val="20"/>
                                <w:szCs w:val="20"/>
                              </w:rPr>
                              <w:noBreakHyphen/>
                              <w:t>quality patient care.</w:t>
                            </w:r>
                            <w:r>
                              <w:rPr>
                                <w:color w:val="000000" w:themeColor="text1"/>
                                <w:sz w:val="20"/>
                                <w:szCs w:val="20"/>
                              </w:rPr>
                              <w:t xml:space="preserve"> (Community Pharmacy England 2025)</w:t>
                            </w:r>
                          </w:p>
                          <w:p w14:paraId="7F8A0BEB" w14:textId="77777777" w:rsidR="0030397A" w:rsidRPr="000663E2" w:rsidRDefault="0030397A" w:rsidP="000663E2">
                            <w:pPr>
                              <w:rPr>
                                <w:color w:val="000000" w:themeColor="text1"/>
                                <w:sz w:val="20"/>
                                <w:szCs w:val="2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182A892" id="Text Box 8" o:spid="_x0000_s1029" type="#_x0000_t202" style="position:absolute;margin-left:310.8pt;margin-top:285.75pt;width:518.65pt;height:161.75pt;z-index:251675648;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" strokeweight="3.75pt">
                <v:textbox>
                  <w:txbxContent>
                    <w:p w14:paraId="15CC3909" w14:textId="5C1271B9" w:rsidR="001D05DB" w:rsidRDefault="00B9301F" w:rsidP="00BE6BE0">
                      <w:pPr>
                        <w:rPr>
                          <w:b/>
                          <w:bCs/>
                          <w:color w:val="385623" w:themeColor="accent6" w:themeShade="80"/>
                        </w:rPr>
                      </w:pPr>
                      <w:r>
                        <w:rPr>
                          <w:b/>
                          <w:bCs/>
                          <w:color w:val="385623" w:themeColor="accent6" w:themeShade="80"/>
                        </w:rPr>
                        <w:t>Challenges Faced By Pharma</w:t>
                      </w:r>
                      <w:r w:rsidR="0030397A">
                        <w:rPr>
                          <w:b/>
                          <w:bCs/>
                          <w:color w:val="385623" w:themeColor="accent6" w:themeShade="80"/>
                        </w:rPr>
                        <w:t>cies</w:t>
                      </w:r>
                      <w:r w:rsidR="00766E12">
                        <w:rPr>
                          <w:b/>
                          <w:bCs/>
                          <w:color w:val="385623" w:themeColor="accent6" w:themeShade="80"/>
                        </w:rPr>
                        <w:t xml:space="preserve"> </w:t>
                      </w:r>
                    </w:p>
                    <w:p w14:paraId="69FD32DC" w14:textId="67E393D0" w:rsidR="00B9301F" w:rsidRDefault="000663E2" w:rsidP="000663E2">
                      <w:pPr>
                        <w:rPr>
                          <w:color w:val="000000" w:themeColor="text1"/>
                          <w:sz w:val="20"/>
                          <w:szCs w:val="20"/>
                        </w:rPr>
                      </w:pPr>
                      <w:r w:rsidRPr="000663E2">
                        <w:rPr>
                          <w:color w:val="000000" w:themeColor="text1"/>
                          <w:sz w:val="20"/>
                          <w:szCs w:val="20"/>
                        </w:rPr>
                        <w:t>Community pharmacies are increasingly affected by frequent medicine shortages, which make it difficult to provide patients with the treatments they need. When essential medicines are unavailable, pharmacy teams must spend extra time contacting suppliers, finding suitable alternatives, and explaining the situation to patients. This creates delays, increases stress, and disrupts the smooth running of daily services. Medicine shortages also impact patient confidence, as people rely on pharmacies for consistent access to vital medication.</w:t>
                      </w:r>
                    </w:p>
                    <w:p w14:paraId="7A5437A0" w14:textId="0DABCBF5" w:rsidR="0030397A" w:rsidRPr="00A62CFA" w:rsidRDefault="0030397A" w:rsidP="0030397A">
                      <w:pPr>
                        <w:rPr>
                          <w:color w:val="000000" w:themeColor="text1"/>
                        </w:rPr>
                      </w:pPr>
                      <w:r w:rsidRPr="004F57D4">
                        <w:rPr>
                          <w:color w:val="000000" w:themeColor="text1"/>
                          <w:sz w:val="20"/>
                          <w:szCs w:val="20"/>
                        </w:rPr>
                        <w:t>Underfunding is a major issue for community pharmacies, as they are expected to deliver more services without receiving enough financial support. Limited funding creates staffing pressures, reduces resources, and restricts investment in training or equipment. Over time, this makes it harder for pharmacies to maintain consistent, high</w:t>
                      </w:r>
                      <w:r w:rsidRPr="004F57D4">
                        <w:rPr>
                          <w:color w:val="000000" w:themeColor="text1"/>
                          <w:sz w:val="20"/>
                          <w:szCs w:val="20"/>
                        </w:rPr>
                        <w:noBreakHyphen/>
                        <w:t>quality patient care.</w:t>
                      </w:r>
                      <w:r>
                        <w:rPr>
                          <w:color w:val="000000" w:themeColor="text1"/>
                          <w:sz w:val="20"/>
                          <w:szCs w:val="20"/>
                        </w:rPr>
                        <w:t xml:space="preserve"> (Community Pharmacy England 2025)</w:t>
                      </w:r>
                    </w:p>
                    <w:p w14:paraId="7F8A0BEB" w14:textId="77777777" w:rsidR="0030397A" w:rsidRPr="000663E2" w:rsidRDefault="0030397A" w:rsidP="000663E2">
                      <w:pPr>
                        <w:rPr>
                          <w:color w:val="000000" w:themeColor="text1"/>
                          <w:sz w:val="20"/>
                          <w:szCs w:val="20"/>
                        </w:rPr>
                      </w:pPr>
                    </w:p>
                  </w:txbxContent>
                </v:textbox>
                <w10:wrap type="square" anchorx="page"/>
              </v:shape>
            </w:pict>
          </mc:Fallback>
        </mc:AlternateContent>
      </w:r>
      <w:r w:rsidR="0030397A">
        <w:rPr>
          <w:noProof/>
        </w:rPr>
        <mc:AlternateContent>
          <mc:Choice Requires="wps">
            <w:drawing>
              <wp:anchor distT="45720" distB="45720" distL="114300" distR="114300" simplePos="0" relativeHeight="251667456" behindDoc="0" locked="0" layoutInCell="1" allowOverlap="1" wp14:anchorId="2F5030E1" wp14:editId="53083A84">
                <wp:simplePos x="0" y="0"/>
                <wp:positionH relativeFrom="margin">
                  <wp:posOffset>6246314</wp:posOffset>
                </wp:positionH>
                <wp:positionV relativeFrom="paragraph">
                  <wp:posOffset>1635397</wp:posOffset>
                </wp:positionV>
                <wp:extent cx="2922905" cy="1816100"/>
                <wp:effectExtent l="19050" t="19050" r="10795" b="1270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22905" cy="1816100"/>
                        </a:xfrm>
                        <a:prstGeom prst="rect">
                          <a:avLst/>
                        </a:prstGeom>
                        <a:solidFill>
                          <a:srgbClr val="FFFFFF"/>
                        </a:solidFill>
                        <a:ln w="44450">
                          <a:solidFill>
                            <a:srgbClr val="000000"/>
                          </a:solidFill>
                          <a:miter lim="800000"/>
                          <a:headEnd/>
                          <a:tailEnd/>
                        </a:ln>
                        <a:effectLst>
                          <a:softEdge rad="25400"/>
                        </a:effectLst>
                      </wps:spPr>
                      <wps:txbx>
                        <w:txbxContent>
                          <w:p w14:paraId="1EE2EAF2" w14:textId="1DC69BE3" w:rsidR="00BE6BE0" w:rsidRDefault="00BE6BE0" w:rsidP="00BE6BE0">
                            <w:pPr>
                              <w:rPr>
                                <w:b/>
                                <w:bCs/>
                                <w:color w:val="385623" w:themeColor="accent6" w:themeShade="8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F5030E1" id="Text Box 2" o:spid="_x0000_s1030" type="#_x0000_t202" style="position:absolute;margin-left:491.85pt;margin-top:128.75pt;width:230.15pt;height:143pt;z-index:25166745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" strokeweight="3.5pt">
                <v:textbox>
                  <w:txbxContent>
                    <w:p w14:paraId="1EE2EAF2" w14:textId="1DC69BE3" w:rsidR="00BE6BE0" w:rsidRDefault="00BE6BE0" w:rsidP="00BE6BE0">
                      <w:pPr>
                        <w:rPr>
                          <w:b/>
                          <w:bCs/>
                          <w:color w:val="385623" w:themeColor="accent6" w:themeShade="80"/>
                        </w:rPr>
                      </w:pPr>
                    </w:p>
                  </w:txbxContent>
                </v:textbox>
                <w10:wrap type="square" anchorx="margin"/>
              </v:shape>
            </w:pict>
          </mc:Fallback>
        </mc:AlternateContent>
      </w:r>
      <w:r w:rsidR="00721B47">
        <w:rPr>
          <w:noProof/>
        </w:rPr>
        <mc:AlternateContent>
          <mc:Choice Requires="wps">
            <w:drawing>
              <wp:anchor distT="45720" distB="45720" distL="114300" distR="114300" simplePos="0" relativeHeight="251663360" behindDoc="0" locked="0" layoutInCell="1" allowOverlap="1" wp14:anchorId="04CAE92E" wp14:editId="1B520FAB">
                <wp:simplePos x="0" y="0"/>
                <wp:positionH relativeFrom="page">
                  <wp:posOffset>960120</wp:posOffset>
                </wp:positionH>
                <wp:positionV relativeFrom="paragraph">
                  <wp:posOffset>1259205</wp:posOffset>
                </wp:positionV>
                <wp:extent cx="2367280" cy="2271395"/>
                <wp:effectExtent l="19050" t="19050" r="33020" b="33655"/>
                <wp:wrapSquare wrapText="bothSides"/>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7280" cy="2271395"/>
                        </a:xfrm>
                        <a:prstGeom prst="rect">
                          <a:avLst/>
                        </a:prstGeom>
                        <a:solidFill>
                          <a:srgbClr val="FFFFFF"/>
                        </a:solidFill>
                        <a:ln w="47625">
                          <a:solidFill>
                            <a:schemeClr val="accent2"/>
                          </a:solidFill>
                          <a:miter lim="800000"/>
                          <a:headEnd/>
                          <a:tailEnd/>
                        </a:ln>
                        <a:effectLst>
                          <a:softEdge rad="25400"/>
                        </a:effectLst>
                      </wps:spPr>
                      <wps:txbx>
                        <w:txbxContent>
                          <w:p w14:paraId="10934D78" w14:textId="5BA0A18D" w:rsidR="006854CF" w:rsidRPr="006854CF" w:rsidRDefault="00721B47" w:rsidP="00721B47">
                            <w:pPr>
                              <w:rPr>
                                <w:color w:val="000000" w:themeColor="text1"/>
                              </w:rPr>
                            </w:pPr>
                            <w:r w:rsidRPr="00721B47">
                              <w:rPr>
                                <w:color w:val="000000" w:themeColor="text1"/>
                              </w:rPr>
                              <w:t>Pharmacy services exist to ensure the safe and effective use of medicines, provide accessible health advice, and support public health within the community. They help patients manage long</w:t>
                            </w:r>
                            <w:r w:rsidRPr="00721B47">
                              <w:rPr>
                                <w:color w:val="000000" w:themeColor="text1"/>
                              </w:rPr>
                              <w:noBreakHyphen/>
                              <w:t>term conditions, offer essential clinical services, and reduce pressure on hospitals and GP practices by delivering convenient, frontline care.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4CAE92E" id="Text Box 4" o:spid="_x0000_s1031" type="#_x0000_t202" style="position:absolute;margin-left:75.6pt;margin-top:99.15pt;width:186.4pt;height:178.85pt;z-index:251663360;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" strokecolor="#ed7d31 [3205]" strokeweight="3.75pt">
                <v:textbox>
                  <w:txbxContent>
                    <w:p w14:paraId="10934D78" w14:textId="5BA0A18D" w:rsidR="006854CF" w:rsidRPr="006854CF" w:rsidRDefault="00721B47" w:rsidP="00721B47">
                      <w:pPr>
                        <w:rPr>
                          <w:color w:val="000000" w:themeColor="text1"/>
                        </w:rPr>
                      </w:pPr>
                      <w:r w:rsidRPr="00721B47">
                        <w:rPr>
                          <w:color w:val="000000" w:themeColor="text1"/>
                        </w:rPr>
                        <w:t>Pharmacy services exist to ensure the safe and effective use of medicines, provide accessible health advice, and support public health within the community. They help patients manage long</w:t>
                      </w:r>
                      <w:r w:rsidRPr="00721B47">
                        <w:rPr>
                          <w:color w:val="000000" w:themeColor="text1"/>
                        </w:rPr>
                        <w:noBreakHyphen/>
                        <w:t>term conditions, offer essential clinical services, and reduce pressure on hospitals and GP practices by delivering convenient, frontline care.</w:t>
                      </w:r>
                    </w:p>
                  </w:txbxContent>
                </v:textbox>
                <w10:wrap type="square" anchorx="page"/>
              </v:shape>
            </w:pict>
          </mc:Fallback>
        </mc:AlternateContent>
      </w:r>
      <w:r w:rsidR="00A62CFA">
        <w:rPr>
          <w:noProof/>
        </w:rPr>
        <mc:AlternateContent>
          <mc:Choice Requires="wps">
            <w:drawing>
              <wp:anchor distT="0" distB="0" distL="114300" distR="114300" simplePos="0" relativeHeight="251659264" behindDoc="1" locked="0" layoutInCell="1" allowOverlap="1" wp14:anchorId="777A8668" wp14:editId="0A8DA8F0">
                <wp:simplePos x="0" y="0"/>
                <wp:positionH relativeFrom="page">
                  <wp:posOffset>6350</wp:posOffset>
                </wp:positionH>
                <wp:positionV relativeFrom="paragraph">
                  <wp:posOffset>-1079500</wp:posOffset>
                </wp:positionV>
                <wp:extent cx="10675620" cy="7702550"/>
                <wp:effectExtent l="0" t="0" r="11430" b="12700"/>
                <wp:wrapNone/>
                <wp:docPr id="1" name="Rectangle 1"/>
                <wp:cNvGraphicFramePr/>
                <a:graphic xmlns:a="http://schemas.openxmlformats.org/drawingml/2006/main">
                  <a:graphicData uri="http://schemas.microsoft.com/office/word/2010/wordprocessingShape">
                    <wps:wsp>
                      <wps:cNvSpPr/>
                      <wps:spPr>
                        <a:xfrm>
                          <a:off x="0" y="0"/>
                          <a:ext cx="10675620" cy="7702550"/>
                        </a:xfrm>
                        <a:prstGeom prst="rect">
                          <a:avLst/>
                        </a:prstGeom>
                        <a:solidFill>
                          <a:schemeClr val="tx1">
                            <a:lumMod val="50000"/>
                            <a:lumOff val="50000"/>
                            <a:alpha val="46000"/>
                          </a:schemeClr>
                        </a:solidFill>
                        <a:ln>
                          <a:solidFill>
                            <a:srgbClr val="92D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2C96C53" id="Rectangle 1" o:spid="_x0000_s1026" style="position:absolute;margin-left:.5pt;margin-top:-85pt;width:840.6pt;height:606.5pt;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" fillcolor="gray [1629]" strokecolor="#92d050" strokeweight="1pt">
                <v:fill opacity="30069f"/>
                <w10:wrap anchorx="page"/>
              </v:rect>
            </w:pict>
          </mc:Fallback>
        </mc:AlternateContent>
      </w:r>
      <w:r w:rsidR="00BE6BE0">
        <w:rPr>
          <w:noProof/>
        </w:rPr>
        <mc:AlternateContent>
          <mc:Choice Requires="wps">
            <w:drawing>
              <wp:anchor distT="45720" distB="45720" distL="114300" distR="114300" simplePos="0" relativeHeight="251661312" behindDoc="0" locked="0" layoutInCell="1" allowOverlap="1" wp14:anchorId="3E780AA8" wp14:editId="37EC971D">
                <wp:simplePos x="0" y="0"/>
                <wp:positionH relativeFrom="margin">
                  <wp:posOffset>774700</wp:posOffset>
                </wp:positionH>
                <wp:positionV relativeFrom="paragraph">
                  <wp:posOffset>0</wp:posOffset>
                </wp:positionV>
                <wp:extent cx="6536690" cy="1153160"/>
                <wp:effectExtent l="0" t="0" r="16510" b="2794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36690" cy="1153160"/>
                        </a:xfrm>
                        <a:prstGeom prst="rect">
                          <a:avLst/>
                        </a:prstGeom>
                        <a:solidFill>
                          <a:schemeClr val="accent2">
                            <a:lumMod val="60000"/>
                            <a:lumOff val="40000"/>
                          </a:schemeClr>
                        </a:solidFill>
                        <a:ln w="9525">
                          <a:solidFill>
                            <a:srgbClr val="000000"/>
                          </a:solidFill>
                          <a:miter lim="800000"/>
                          <a:headEnd/>
                          <a:tailEnd/>
                        </a:ln>
                        <a:effectLst>
                          <a:softEdge rad="50800"/>
                        </a:effectLst>
                      </wps:spPr>
                      <wps:txbx>
                        <w:txbxContent>
                          <w:p w14:paraId="5AE6D13D" w14:textId="77777777" w:rsidR="00167306" w:rsidRPr="00167306" w:rsidRDefault="00167306" w:rsidP="00167306">
                            <w:pPr>
                              <w:pStyle w:val="Heading1"/>
                              <w:jc w:val="center"/>
                              <w:rPr>
                                <w:b/>
                                <w:bCs/>
                                <w:i/>
                                <w:iCs/>
                                <w:color w:val="00B0F0"/>
                                <w:sz w:val="72"/>
                                <w:szCs w:val="72"/>
                              </w:rPr>
                            </w:pPr>
                            <w:bookmarkStart w:id="1" w:name="_Toc235202505"/>
                            <w:r w:rsidRPr="00167306">
                              <w:rPr>
                                <w:b/>
                                <w:bCs/>
                                <w:i/>
                                <w:iCs/>
                                <w:color w:val="00B0F0"/>
                                <w:sz w:val="72"/>
                                <w:szCs w:val="72"/>
                              </w:rPr>
                              <w:t>Pharmacy Services</w:t>
                            </w:r>
                            <w:bookmarkEnd w:id="1"/>
                          </w:p>
                          <w:p w14:paraId="35D336A9" w14:textId="77777777" w:rsidR="00167306" w:rsidRDefault="00167306"/>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E780AA8" id="_x0000_s1032" type="#_x0000_t202" style="position:absolute;margin-left:61pt;margin-top:0;width:514.7pt;height:90.8pt;z-index:2516613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" fillcolor="#f4b083 [1941]">
                <v:textbox>
                  <w:txbxContent>
                    <w:p w14:paraId="5AE6D13D" w14:textId="77777777" w:rsidR="00167306" w:rsidRPr="00167306" w:rsidRDefault="00167306" w:rsidP="00167306">
                      <w:pPr>
                        <w:pStyle w:val="Heading1"/>
                        <w:jc w:val="center"/>
                        <w:rPr>
                          <w:b/>
                          <w:bCs/>
                          <w:i/>
                          <w:iCs/>
                          <w:color w:val="00B0F0"/>
                          <w:sz w:val="72"/>
                          <w:szCs w:val="72"/>
                        </w:rPr>
                      </w:pPr>
                      <w:bookmarkStart w:id="2" w:name="_Toc235202505"/>
                      <w:r w:rsidRPr="00167306">
                        <w:rPr>
                          <w:b/>
                          <w:bCs/>
                          <w:i/>
                          <w:iCs/>
                          <w:color w:val="00B0F0"/>
                          <w:sz w:val="72"/>
                          <w:szCs w:val="72"/>
                        </w:rPr>
                        <w:t>Pharmacy Services</w:t>
                      </w:r>
                      <w:bookmarkEnd w:id="2"/>
                    </w:p>
                    <w:p w14:paraId="35D336A9" w14:textId="77777777" w:rsidR="00167306" w:rsidRDefault="00167306"/>
                  </w:txbxContent>
                </v:textbox>
                <w10:wrap type="square" anchorx="margin"/>
              </v:shape>
            </w:pict>
          </mc:Fallback>
        </mc:AlternateContent>
      </w:r>
    </w:p>
    <w:p w14:paraId="646A0E27" w14:textId="23EE8AFD" w:rsidR="00967FF8" w:rsidRDefault="00967FF8" w:rsidP="00967FF8">
      <w:pPr>
        <w:pStyle w:val="Heading1"/>
        <w:rPr>
          <w:b/>
          <w:bCs/>
          <w:color w:val="auto"/>
          <w:sz w:val="22"/>
          <w:szCs w:val="22"/>
        </w:rPr>
      </w:pPr>
      <w:bookmarkStart w:id="3" w:name="_Toc235202506"/>
      <w:r>
        <w:rPr>
          <w:b/>
          <w:bCs/>
          <w:color w:val="auto"/>
          <w:sz w:val="22"/>
          <w:szCs w:val="22"/>
        </w:rPr>
        <w:lastRenderedPageBreak/>
        <w:t>References</w:t>
      </w:r>
      <w:bookmarkEnd w:id="3"/>
    </w:p>
    <w:p w14:paraId="48E79FE7" w14:textId="77777777" w:rsidR="00967FF8" w:rsidRDefault="00967FF8" w:rsidP="00967FF8"/>
    <w:p w14:paraId="66BB515C" w14:textId="44BE0E15" w:rsidR="00967FF8" w:rsidRDefault="00967FF8" w:rsidP="00967FF8">
      <w:r>
        <w:t xml:space="preserve">British Society for the History of Pharmacy (2024) </w:t>
      </w:r>
      <w:r>
        <w:rPr>
          <w:i/>
          <w:iCs/>
        </w:rPr>
        <w:t>History of Pharmacy in Great Britain: 1841-present.</w:t>
      </w:r>
      <w:r>
        <w:t xml:space="preserve"> British Society for the History of Pharmacy. Available at: </w:t>
      </w:r>
      <w:hyperlink r:id="rId13" w:history="1">
        <w:r w:rsidR="007853ED" w:rsidRPr="005552D5">
          <w:rPr>
            <w:rStyle w:val="Hyperlink"/>
          </w:rPr>
          <w:t>https://ww</w:t>
        </w:r>
        <w:r w:rsidR="007853ED" w:rsidRPr="005552D5">
          <w:rPr>
            <w:rStyle w:val="Hyperlink"/>
          </w:rPr>
          <w:t>w</w:t>
        </w:r>
        <w:r w:rsidR="007853ED" w:rsidRPr="005552D5">
          <w:rPr>
            <w:rStyle w:val="Hyperlink"/>
          </w:rPr>
          <w:t>.bshp.org/history-of-</w:t>
        </w:r>
        <w:r w:rsidR="007853ED" w:rsidRPr="005552D5">
          <w:rPr>
            <w:rStyle w:val="Hyperlink"/>
          </w:rPr>
          <w:t>pharmacy</w:t>
        </w:r>
      </w:hyperlink>
      <w:r w:rsidR="007853ED">
        <w:t xml:space="preserve"> </w:t>
      </w:r>
      <w:r>
        <w:t xml:space="preserve"> (Accessed: 10 July 2026).</w:t>
      </w:r>
    </w:p>
    <w:p w14:paraId="48209DF4" w14:textId="58265DD6" w:rsidR="00967FF8" w:rsidRDefault="00967FF8" w:rsidP="00967FF8">
      <w:r>
        <w:t xml:space="preserve">Community Pharmacy England (2025) </w:t>
      </w:r>
      <w:r>
        <w:rPr>
          <w:i/>
          <w:iCs/>
        </w:rPr>
        <w:t xml:space="preserve">Peers highlight critical issues for community pharmacies in Parliament. </w:t>
      </w:r>
      <w:r>
        <w:t xml:space="preserve">Community Pharmacy England. Available at: </w:t>
      </w:r>
      <w:hyperlink r:id="rId14" w:history="1">
        <w:r w:rsidR="007853ED" w:rsidRPr="005552D5">
          <w:rPr>
            <w:rStyle w:val="Hyperlink"/>
          </w:rPr>
          <w:t>http</w:t>
        </w:r>
        <w:r w:rsidR="007853ED" w:rsidRPr="005552D5">
          <w:rPr>
            <w:rStyle w:val="Hyperlink"/>
          </w:rPr>
          <w:t>s</w:t>
        </w:r>
        <w:r w:rsidR="007853ED" w:rsidRPr="005552D5">
          <w:rPr>
            <w:rStyle w:val="Hyperlink"/>
          </w:rPr>
          <w:t>://cpe.org.uk/our-news/peers-highlight-critical-issues-for-community-pharmacies-in-parliamen</w:t>
        </w:r>
        <w:r w:rsidR="007853ED" w:rsidRPr="005552D5">
          <w:rPr>
            <w:rStyle w:val="Hyperlink"/>
          </w:rPr>
          <w:t>t</w:t>
        </w:r>
      </w:hyperlink>
      <w:r w:rsidR="007853ED">
        <w:t xml:space="preserve"> </w:t>
      </w:r>
      <w:r>
        <w:t xml:space="preserve"> (Accessed: 10 July 2026)</w:t>
      </w:r>
    </w:p>
    <w:p w14:paraId="4DF736F9" w14:textId="287A309D" w:rsidR="0091585F" w:rsidRDefault="00967FF8" w:rsidP="00255016">
      <w:r>
        <w:t>NHS (2024)</w:t>
      </w:r>
      <w:r>
        <w:rPr>
          <w:i/>
          <w:iCs/>
        </w:rPr>
        <w:t xml:space="preserve"> How pharmacies can help. </w:t>
      </w:r>
      <w:r>
        <w:t xml:space="preserve">NHS. Available at: </w:t>
      </w:r>
      <w:hyperlink r:id="rId15" w:history="1">
        <w:r w:rsidR="007853ED" w:rsidRPr="005552D5">
          <w:rPr>
            <w:rStyle w:val="Hyperlink"/>
          </w:rPr>
          <w:t>https://www.nhs.uk/nhs-services/pharmacies/how-pharmacies</w:t>
        </w:r>
        <w:r w:rsidR="007853ED" w:rsidRPr="005552D5">
          <w:rPr>
            <w:rStyle w:val="Hyperlink"/>
          </w:rPr>
          <w:t>-</w:t>
        </w:r>
        <w:r w:rsidR="007853ED" w:rsidRPr="005552D5">
          <w:rPr>
            <w:rStyle w:val="Hyperlink"/>
          </w:rPr>
          <w:t>can-help</w:t>
        </w:r>
        <w:r w:rsidR="007853ED" w:rsidRPr="005552D5">
          <w:rPr>
            <w:rStyle w:val="Hyperlink"/>
          </w:rPr>
          <w:t>/</w:t>
        </w:r>
      </w:hyperlink>
      <w:r w:rsidR="007853ED">
        <w:t xml:space="preserve"> </w:t>
      </w:r>
      <w:r>
        <w:t xml:space="preserve"> (Accessed: 10 July 2026)</w:t>
      </w:r>
    </w:p>
    <w:p w14:paraId="56D4457A" w14:textId="28C8ECC9" w:rsidR="00967FF8" w:rsidRPr="0091585F" w:rsidRDefault="0091585F" w:rsidP="00255016">
      <w:r>
        <w:br w:type="page"/>
      </w:r>
    </w:p>
    <w:p w14:paraId="123EBD0E" w14:textId="3C4F6C36" w:rsidR="009F35A8" w:rsidRPr="0091585F" w:rsidRDefault="00833470" w:rsidP="0091585F">
      <w:pPr>
        <w:pStyle w:val="Heading1"/>
        <w:rPr>
          <w:b/>
          <w:bCs/>
          <w:sz w:val="22"/>
          <w:szCs w:val="22"/>
        </w:rPr>
      </w:pPr>
      <w:bookmarkStart w:id="4" w:name="_Toc235202507"/>
      <w:r w:rsidRPr="0091585F">
        <w:rPr>
          <w:b/>
          <w:bCs/>
          <w:color w:val="auto"/>
          <w:sz w:val="22"/>
          <w:szCs w:val="22"/>
        </w:rPr>
        <w:lastRenderedPageBreak/>
        <w:t>Element 2</w:t>
      </w:r>
      <w:bookmarkEnd w:id="4"/>
    </w:p>
    <w:p w14:paraId="107ACFF2" w14:textId="77777777" w:rsidR="00622F01" w:rsidRPr="00622F01" w:rsidRDefault="00622F01" w:rsidP="00622F01">
      <w:pPr>
        <w:rPr>
          <w:rFonts w:ascii="Arial" w:hAnsi="Arial" w:cs="Arial"/>
        </w:rPr>
      </w:pPr>
      <w:r w:rsidRPr="00622F01">
        <w:rPr>
          <w:rFonts w:ascii="Arial" w:hAnsi="Arial" w:cs="Arial"/>
        </w:rPr>
        <w:t> </w:t>
      </w:r>
    </w:p>
    <w:p w14:paraId="528832A2" w14:textId="77777777" w:rsidR="00622F01" w:rsidRPr="00622F01" w:rsidRDefault="00622F01" w:rsidP="00622F01">
      <w:pPr>
        <w:rPr>
          <w:rFonts w:ascii="Arial" w:hAnsi="Arial" w:cs="Arial"/>
        </w:rPr>
      </w:pPr>
      <w:r w:rsidRPr="00622F01">
        <w:rPr>
          <w:rFonts w:ascii="Arial" w:hAnsi="Arial" w:cs="Arial"/>
        </w:rPr>
        <w:t>Community mental health services have changed from institutionalised asylums in the 18</w:t>
      </w:r>
      <w:r w:rsidRPr="00622F01">
        <w:rPr>
          <w:rFonts w:ascii="Arial" w:hAnsi="Arial" w:cs="Arial"/>
          <w:vertAlign w:val="superscript"/>
        </w:rPr>
        <w:t>th</w:t>
      </w:r>
      <w:r w:rsidRPr="00622F01">
        <w:rPr>
          <w:rFonts w:ascii="Arial" w:hAnsi="Arial" w:cs="Arial"/>
        </w:rPr>
        <w:t> – early 20</w:t>
      </w:r>
      <w:r w:rsidRPr="00622F01">
        <w:rPr>
          <w:rFonts w:ascii="Arial" w:hAnsi="Arial" w:cs="Arial"/>
          <w:vertAlign w:val="superscript"/>
        </w:rPr>
        <w:t>th</w:t>
      </w:r>
      <w:r w:rsidRPr="00622F01">
        <w:rPr>
          <w:rFonts w:ascii="Arial" w:hAnsi="Arial" w:cs="Arial"/>
        </w:rPr>
        <w:t> century to integrated, community–based treatment shaped by social changes and medical advances in the late 20</w:t>
      </w:r>
      <w:r w:rsidRPr="00622F01">
        <w:rPr>
          <w:rFonts w:ascii="Arial" w:hAnsi="Arial" w:cs="Arial"/>
          <w:vertAlign w:val="superscript"/>
        </w:rPr>
        <w:t>th</w:t>
      </w:r>
      <w:r w:rsidRPr="00622F01">
        <w:rPr>
          <w:rFonts w:ascii="Arial" w:hAnsi="Arial" w:cs="Arial"/>
        </w:rPr>
        <w:t> century. </w:t>
      </w:r>
    </w:p>
    <w:p w14:paraId="4E0B41C6" w14:textId="77777777" w:rsidR="00622F01" w:rsidRPr="00622F01" w:rsidRDefault="00622F01" w:rsidP="00622F01">
      <w:pPr>
        <w:rPr>
          <w:rFonts w:ascii="Arial" w:hAnsi="Arial" w:cs="Arial"/>
        </w:rPr>
      </w:pPr>
      <w:r w:rsidRPr="00622F01">
        <w:rPr>
          <w:rFonts w:ascii="Arial" w:hAnsi="Arial" w:cs="Arial"/>
        </w:rPr>
        <w:t> </w:t>
      </w:r>
    </w:p>
    <w:p w14:paraId="20E7295D" w14:textId="43B72A1D" w:rsidR="00622F01" w:rsidRPr="00622F01" w:rsidRDefault="00622F01" w:rsidP="00622F01">
      <w:pPr>
        <w:rPr>
          <w:rFonts w:ascii="Arial" w:hAnsi="Arial" w:cs="Arial"/>
        </w:rPr>
      </w:pPr>
      <w:r w:rsidRPr="00622F01">
        <w:rPr>
          <w:rFonts w:ascii="Arial" w:hAnsi="Arial" w:cs="Arial"/>
        </w:rPr>
        <w:t>Mental health care in Britain during the 18th and 19th centuries was dominated by large asylums designed to isolate people with mental illness from wider society. These institutions were often overcrowded and underfunded, and although early treatment aimed to provide structured routines through moral treatment, many hospitals eventually became more administrative than therapeutic. Mental illness was poorly understood, and communal attitudes often viewed mental illnesses as moral failures or personal weaknesses. The 1959 Mental Health Act abolished the distinction between psychiatric and other hospitals and encouraged the development of community care. Psychiatrists questioned traditional treatments used to treat mental health; R.D. Laing, for example, suggested that social rather than medical reasons were responsible for schizophrenia and opposed standard treatments for the illness, including electroconvulsive therapy and long</w:t>
      </w:r>
      <w:r w:rsidRPr="00622F01">
        <w:rPr>
          <w:rFonts w:ascii="Arial" w:hAnsi="Arial" w:cs="Arial"/>
        </w:rPr>
        <w:noBreakHyphen/>
        <w:t>term hospitalisation. The introduction of psychotropic drugs in the 1960s enabled patients to be treated outside institutional settings and reduced the need for long</w:t>
      </w:r>
      <w:r w:rsidRPr="00622F01">
        <w:rPr>
          <w:rFonts w:ascii="Arial" w:hAnsi="Arial" w:cs="Arial"/>
        </w:rPr>
        <w:noBreakHyphen/>
        <w:t>stay care, helping the move toward community</w:t>
      </w:r>
      <w:r w:rsidRPr="00622F01">
        <w:rPr>
          <w:rFonts w:ascii="Arial" w:hAnsi="Arial" w:cs="Arial"/>
        </w:rPr>
        <w:noBreakHyphen/>
        <w:t>based support. These medications, coupled with changing social attitudes, gave momentum to the abolition of the Victorian asylums, which increased further with the Minister of Health Enoch Powell’s speech calling for their closure. The 1983 Mental Health Act under Margaret Thatcher strengthened patient rights and formalised the move toward treating mentally ill individuals within their communities rather than in long</w:t>
      </w:r>
      <w:r w:rsidRPr="00622F01">
        <w:rPr>
          <w:rFonts w:ascii="Arial" w:hAnsi="Arial" w:cs="Arial"/>
        </w:rPr>
        <w:noBreakHyphen/>
        <w:t>stay institutions. (People’s History Museum</w:t>
      </w:r>
      <w:r w:rsidR="00A65691">
        <w:rPr>
          <w:rFonts w:ascii="Arial" w:hAnsi="Arial" w:cs="Arial"/>
        </w:rPr>
        <w:t xml:space="preserve"> 2023</w:t>
      </w:r>
      <w:r w:rsidRPr="00622F01">
        <w:rPr>
          <w:rFonts w:ascii="Arial" w:hAnsi="Arial" w:cs="Arial"/>
        </w:rPr>
        <w:t>) </w:t>
      </w:r>
    </w:p>
    <w:p w14:paraId="5F2AA5DB" w14:textId="05C927E7" w:rsidR="00622F01" w:rsidRPr="00622F01" w:rsidRDefault="00622F01" w:rsidP="00622F01">
      <w:pPr>
        <w:rPr>
          <w:rFonts w:ascii="Arial" w:hAnsi="Arial" w:cs="Arial"/>
        </w:rPr>
      </w:pPr>
      <w:r w:rsidRPr="00622F01">
        <w:rPr>
          <w:rFonts w:ascii="Arial" w:hAnsi="Arial" w:cs="Arial"/>
        </w:rPr>
        <w:t xml:space="preserve">Community Mental Health Services (CMHS) in England has undergone substantial change under the NHS Long Term Plan and </w:t>
      </w:r>
      <w:r w:rsidR="00561E30">
        <w:rPr>
          <w:rFonts w:ascii="Arial" w:hAnsi="Arial" w:cs="Arial"/>
        </w:rPr>
        <w:t>the NHS mental health implementation plan, which aim to develop new,</w:t>
      </w:r>
      <w:r w:rsidRPr="00622F01">
        <w:rPr>
          <w:rFonts w:ascii="Arial" w:hAnsi="Arial" w:cs="Arial"/>
        </w:rPr>
        <w:t xml:space="preserve"> integrated models of primary and community mental health care. A new community-based offer will include access to psychological therapies, improved physical health care, employment support, personalised and trauma-informed care, medicine management and support for self-harm and substance use. By 2023/24, it enabled approximately 370,000 adults and older adults per year to have greater choice and control over their care and to live well in their communities. Under the </w:t>
      </w:r>
      <w:r w:rsidR="00561E30">
        <w:rPr>
          <w:rFonts w:ascii="Arial" w:hAnsi="Arial" w:cs="Arial"/>
        </w:rPr>
        <w:t>Long-Term</w:t>
      </w:r>
      <w:r w:rsidRPr="00622F01">
        <w:rPr>
          <w:rFonts w:ascii="Arial" w:hAnsi="Arial" w:cs="Arial"/>
        </w:rPr>
        <w:t> Plan, Integrated care systems (ICSs) have developed and begun delivering new models of integrated primary and community care for adults and older adults with severe mental illnesses. A total of 390,000 people with SMI will receive an annual physical health check, while 55,000 people per year will have access to Individual Placement and Support (IPS) services. (NHS</w:t>
      </w:r>
      <w:r w:rsidR="00F341C0">
        <w:rPr>
          <w:rFonts w:ascii="Arial" w:hAnsi="Arial" w:cs="Arial"/>
        </w:rPr>
        <w:t xml:space="preserve"> England</w:t>
      </w:r>
      <w:r w:rsidR="00A65691">
        <w:rPr>
          <w:rFonts w:ascii="Arial" w:hAnsi="Arial" w:cs="Arial"/>
        </w:rPr>
        <w:t xml:space="preserve"> No date</w:t>
      </w:r>
      <w:r w:rsidRPr="00622F01">
        <w:rPr>
          <w:rFonts w:ascii="Arial" w:hAnsi="Arial" w:cs="Arial"/>
        </w:rPr>
        <w:t>) </w:t>
      </w:r>
    </w:p>
    <w:p w14:paraId="0229B0EF" w14:textId="0D362A7E" w:rsidR="00622F01" w:rsidRPr="00622F01" w:rsidRDefault="00622F01" w:rsidP="00622F01">
      <w:pPr>
        <w:rPr>
          <w:rFonts w:ascii="Arial" w:hAnsi="Arial" w:cs="Arial"/>
        </w:rPr>
      </w:pPr>
      <w:r w:rsidRPr="00622F01">
        <w:rPr>
          <w:rFonts w:ascii="Arial" w:hAnsi="Arial" w:cs="Arial"/>
        </w:rPr>
        <w:t>Although the NHS Long Term Plan sets out an ambitious vision for CMHSs, the Centre for Mental Health states that progress has been uneven across England. They emphasise that major workforce shortages and funding pressures limit the impact of new community-based treatments such as IPS services and ICSs. The Centre for Mental Health also notes that care for people with SMIs often remains inconsistent across regions, with weak coordination among health teams, General Practitioners and social workers. As a result, despite increased access, the quality and consistency of CMHS still depend heavily on the number of workers. (GOV.UK</w:t>
      </w:r>
      <w:r w:rsidR="00A65691">
        <w:rPr>
          <w:rFonts w:ascii="Arial" w:hAnsi="Arial" w:cs="Arial"/>
        </w:rPr>
        <w:t xml:space="preserve"> 2026</w:t>
      </w:r>
      <w:r w:rsidRPr="00622F01">
        <w:rPr>
          <w:rFonts w:ascii="Arial" w:hAnsi="Arial" w:cs="Arial"/>
        </w:rPr>
        <w:t>) </w:t>
      </w:r>
    </w:p>
    <w:p w14:paraId="1475634B" w14:textId="6842440A" w:rsidR="00622F01" w:rsidRPr="00622F01" w:rsidRDefault="00622F01" w:rsidP="00622F01">
      <w:pPr>
        <w:rPr>
          <w:rFonts w:ascii="Arial" w:hAnsi="Arial" w:cs="Arial"/>
        </w:rPr>
      </w:pPr>
      <w:r w:rsidRPr="00622F01">
        <w:rPr>
          <w:rFonts w:ascii="Arial" w:hAnsi="Arial" w:cs="Arial"/>
        </w:rPr>
        <w:lastRenderedPageBreak/>
        <w:t>Community Mental Health Services (CMHS) play a crucial role in helping people live fuller, healthier lives by offering care in the individual's own home. Through a combination of therapy, medication management and self-harm and substance use support, these services create a space where people feel understood and in control. CMHS encourage service users to take part in decisions about their care, helping grow independence and social connections. By focusing on both mental and social well-being, these services not only reduce the need for institutionalisation but also strengthen communities and allow individuals to recover in a safe, comforting environment. (Care Quality Commission</w:t>
      </w:r>
      <w:r w:rsidR="00A65691">
        <w:rPr>
          <w:rFonts w:ascii="Arial" w:hAnsi="Arial" w:cs="Arial"/>
        </w:rPr>
        <w:t xml:space="preserve"> 2025</w:t>
      </w:r>
      <w:r w:rsidRPr="00622F01">
        <w:rPr>
          <w:rFonts w:ascii="Arial" w:hAnsi="Arial" w:cs="Arial"/>
        </w:rPr>
        <w:t>)</w:t>
      </w:r>
    </w:p>
    <w:p w14:paraId="52C2901F" w14:textId="7C422462" w:rsidR="00DB3024" w:rsidRDefault="00DB3024">
      <w:pPr>
        <w:rPr>
          <w:rFonts w:ascii="Arial" w:hAnsi="Arial" w:cs="Arial"/>
        </w:rPr>
      </w:pPr>
    </w:p>
    <w:p w14:paraId="4E52DD4F" w14:textId="77777777" w:rsidR="00595534" w:rsidRDefault="00595534">
      <w:pPr>
        <w:rPr>
          <w:rFonts w:ascii="Arial" w:hAnsi="Arial" w:cs="Arial"/>
        </w:rPr>
      </w:pPr>
    </w:p>
    <w:p w14:paraId="20F1A3B3" w14:textId="1459DF18" w:rsidR="00595534" w:rsidRPr="0008032D" w:rsidRDefault="00595534">
      <w:pPr>
        <w:rPr>
          <w:rFonts w:ascii="Arial" w:hAnsi="Arial" w:cs="Arial"/>
        </w:rPr>
        <w:sectPr w:rsidR="00595534" w:rsidRPr="0008032D" w:rsidSect="003A000F">
          <w:pgSz w:w="11906" w:h="16838"/>
          <w:pgMar w:top="1440" w:right="1440" w:bottom="1440" w:left="1440" w:header="708" w:footer="708" w:gutter="0"/>
          <w:cols w:space="708"/>
          <w:docGrid w:linePitch="360"/>
        </w:sectPr>
      </w:pPr>
    </w:p>
    <w:p w14:paraId="23578436" w14:textId="77777777" w:rsidR="00833470" w:rsidRDefault="00833470" w:rsidP="00486986">
      <w:pPr>
        <w:pStyle w:val="Heading1"/>
        <w:rPr>
          <w:b/>
          <w:bCs/>
          <w:color w:val="000000" w:themeColor="text1"/>
          <w:sz w:val="28"/>
          <w:szCs w:val="28"/>
        </w:rPr>
      </w:pPr>
      <w:bookmarkStart w:id="5" w:name="_Toc235202508"/>
      <w:r w:rsidRPr="00486986">
        <w:rPr>
          <w:b/>
          <w:bCs/>
          <w:color w:val="000000" w:themeColor="text1"/>
          <w:sz w:val="28"/>
          <w:szCs w:val="28"/>
        </w:rPr>
        <w:lastRenderedPageBreak/>
        <w:t>References</w:t>
      </w:r>
      <w:bookmarkEnd w:id="5"/>
    </w:p>
    <w:p w14:paraId="39607AC3" w14:textId="77777777" w:rsidR="009631B6" w:rsidRDefault="009631B6" w:rsidP="009631B6"/>
    <w:p w14:paraId="04C7DA91" w14:textId="0FCEE48B" w:rsidR="009631B6" w:rsidRDefault="00AB5A90" w:rsidP="009631B6">
      <w:r w:rsidRPr="00AB5A90">
        <w:t>Care Quality Commission (202</w:t>
      </w:r>
      <w:r w:rsidR="00CC2574">
        <w:t>6</w:t>
      </w:r>
      <w:r w:rsidRPr="00AB5A90">
        <w:t xml:space="preserve">) </w:t>
      </w:r>
      <w:r w:rsidRPr="00AB5A90">
        <w:rPr>
          <w:i/>
          <w:iCs/>
        </w:rPr>
        <w:t>Community mental health survey 2025</w:t>
      </w:r>
      <w:r w:rsidRPr="00AB5A90">
        <w:t xml:space="preserve">. Care Quality Commission. Available at: </w:t>
      </w:r>
      <w:hyperlink r:id="rId16" w:history="1">
        <w:r w:rsidRPr="00AB5A90">
          <w:rPr>
            <w:rStyle w:val="Hyperlink"/>
          </w:rPr>
          <w:t>https://www.cqc.org.uk/publications/surveys/community-mental-health-survey</w:t>
        </w:r>
      </w:hyperlink>
      <w:r w:rsidRPr="00AB5A90">
        <w:t xml:space="preserve"> (Accessed: </w:t>
      </w:r>
      <w:r w:rsidR="00F47C1D">
        <w:t>5</w:t>
      </w:r>
      <w:r w:rsidRPr="00AB5A90">
        <w:t xml:space="preserve"> July 2026)</w:t>
      </w:r>
    </w:p>
    <w:p w14:paraId="35E803BE" w14:textId="639F69DC" w:rsidR="00F47C1D" w:rsidRDefault="00F47C1D" w:rsidP="009631B6">
      <w:r>
        <w:t xml:space="preserve">Department of Health &amp; Social Care (2026) </w:t>
      </w:r>
      <w:r w:rsidRPr="00F47C1D">
        <w:rPr>
          <w:i/>
          <w:iCs/>
        </w:rPr>
        <w:t>Government response to the Health and Social Care Committee’s fourth report of session 2024 to 2026: community mental health services</w:t>
      </w:r>
      <w:r w:rsidRPr="00F47C1D">
        <w:t>.</w:t>
      </w:r>
      <w:r>
        <w:t xml:space="preserve"> GOV.UK Available at: </w:t>
      </w:r>
      <w:hyperlink r:id="rId17" w:history="1">
        <w:r w:rsidR="0091585F" w:rsidRPr="005552D5">
          <w:rPr>
            <w:rStyle w:val="Hyperlink"/>
          </w:rPr>
          <w:t>https://www.gov.uk/government/publications/community-mental-health-services-governments-response-to-the-health-and-social-care-committees-report/government-response-to-the-health-and-social-care-committees</w:t>
        </w:r>
        <w:r w:rsidR="0091585F" w:rsidRPr="005552D5">
          <w:rPr>
            <w:rStyle w:val="Hyperlink"/>
          </w:rPr>
          <w:t>-</w:t>
        </w:r>
        <w:r w:rsidR="0091585F" w:rsidRPr="005552D5">
          <w:rPr>
            <w:rStyle w:val="Hyperlink"/>
          </w:rPr>
          <w:t>fourth-report-of-session-2024-to-2026-community-mental-health-services</w:t>
        </w:r>
      </w:hyperlink>
      <w:r w:rsidR="0091585F">
        <w:t xml:space="preserve"> </w:t>
      </w:r>
      <w:r>
        <w:t xml:space="preserve"> (Accessed 5 July 2026)</w:t>
      </w:r>
    </w:p>
    <w:p w14:paraId="3B7BFB8F" w14:textId="3462DD7E" w:rsidR="00F47C1D" w:rsidRDefault="00CC2574" w:rsidP="009631B6">
      <w:r>
        <w:t xml:space="preserve">NHS England (no date) </w:t>
      </w:r>
      <w:r>
        <w:rPr>
          <w:i/>
          <w:iCs/>
        </w:rPr>
        <w:t xml:space="preserve">Community Mental Health Services. </w:t>
      </w:r>
      <w:r>
        <w:t xml:space="preserve">NHS England. Available at: </w:t>
      </w:r>
      <w:hyperlink r:id="rId18" w:history="1">
        <w:r w:rsidR="0091585F" w:rsidRPr="005552D5">
          <w:rPr>
            <w:rStyle w:val="Hyperlink"/>
          </w:rPr>
          <w:t>https://www.england.nhs.uk/mental-health/ad</w:t>
        </w:r>
        <w:r w:rsidR="0091585F" w:rsidRPr="005552D5">
          <w:rPr>
            <w:rStyle w:val="Hyperlink"/>
          </w:rPr>
          <w:t>u</w:t>
        </w:r>
        <w:r w:rsidR="0091585F" w:rsidRPr="005552D5">
          <w:rPr>
            <w:rStyle w:val="Hyperlink"/>
          </w:rPr>
          <w:t>lts/cmhs</w:t>
        </w:r>
        <w:r w:rsidR="0091585F" w:rsidRPr="005552D5">
          <w:rPr>
            <w:rStyle w:val="Hyperlink"/>
          </w:rPr>
          <w:t>/</w:t>
        </w:r>
      </w:hyperlink>
      <w:r w:rsidR="0091585F">
        <w:t xml:space="preserve"> </w:t>
      </w:r>
      <w:r w:rsidR="00F47C1D">
        <w:t xml:space="preserve"> (Accessed: 5 July 2026)</w:t>
      </w:r>
    </w:p>
    <w:p w14:paraId="5470BFD8" w14:textId="26D582F3" w:rsidR="00F47C1D" w:rsidRDefault="00F47C1D" w:rsidP="00F47C1D">
      <w:r w:rsidRPr="00F47C1D">
        <w:t xml:space="preserve">People’s History Museum </w:t>
      </w:r>
      <w:r w:rsidRPr="005F7486">
        <w:t xml:space="preserve">(2023) </w:t>
      </w:r>
      <w:r w:rsidRPr="00F47C1D">
        <w:rPr>
          <w:i/>
          <w:iCs/>
        </w:rPr>
        <w:t>Mental health policy in the NHS: 75 years on</w:t>
      </w:r>
      <w:r w:rsidRPr="00F47C1D">
        <w:t xml:space="preserve">. People’s History Museum. Available at: </w:t>
      </w:r>
      <w:hyperlink r:id="rId19" w:history="1">
        <w:r w:rsidRPr="00F47C1D">
          <w:rPr>
            <w:rStyle w:val="Hyperlink"/>
          </w:rPr>
          <w:t>https://phm.org.uk/blogposts/mental-health-policy-in-the-nhs-75-years-on</w:t>
        </w:r>
      </w:hyperlink>
      <w:r>
        <w:t xml:space="preserve"> </w:t>
      </w:r>
      <w:r w:rsidRPr="00F47C1D">
        <w:t xml:space="preserve">(Accessed: </w:t>
      </w:r>
      <w:r>
        <w:t>9</w:t>
      </w:r>
      <w:r w:rsidRPr="00F47C1D">
        <w:t xml:space="preserve"> July 2026)</w:t>
      </w:r>
    </w:p>
    <w:p w14:paraId="67224849" w14:textId="77777777" w:rsidR="00F47C1D" w:rsidRPr="00F47C1D" w:rsidRDefault="00F47C1D" w:rsidP="00F47C1D"/>
    <w:p w14:paraId="275C370B" w14:textId="77777777" w:rsidR="00F47C1D" w:rsidRDefault="00F47C1D" w:rsidP="009631B6"/>
    <w:p w14:paraId="31452CBF" w14:textId="77777777" w:rsidR="00F47C1D" w:rsidRPr="00CC2574" w:rsidRDefault="00F47C1D" w:rsidP="009631B6"/>
    <w:p w14:paraId="5F3DF731" w14:textId="77777777" w:rsidR="00CC2574" w:rsidRPr="009631B6" w:rsidRDefault="00CC2574" w:rsidP="009631B6"/>
    <w:p w14:paraId="27EBF8A3" w14:textId="77777777" w:rsidR="00EF3E35" w:rsidRDefault="00EF3E35"/>
    <w:p w14:paraId="7D2BA457" w14:textId="77777777" w:rsidR="00486986" w:rsidRDefault="00486986"/>
    <w:p w14:paraId="150E9E72" w14:textId="77777777" w:rsidR="00EF3E35" w:rsidRDefault="00EF3E35"/>
    <w:p w14:paraId="14ED9CB8" w14:textId="77777777" w:rsidR="00EF3E35" w:rsidRDefault="00EF3E35"/>
    <w:p w14:paraId="349765E8" w14:textId="77777777" w:rsidR="00EF3E35" w:rsidRDefault="00EF3E35"/>
    <w:sectPr w:rsidR="00EF3E35" w:rsidSect="003A000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D496895" w14:textId="77777777" w:rsidR="00C83EC2" w:rsidRDefault="00C83EC2" w:rsidP="00BE6BE0">
      <w:pPr>
        <w:spacing w:after="0" w:line="240" w:lineRule="auto"/>
      </w:pPr>
      <w:r>
        <w:separator/>
      </w:r>
    </w:p>
  </w:endnote>
  <w:endnote w:type="continuationSeparator" w:id="0">
    <w:p w14:paraId="7468E6EC" w14:textId="77777777" w:rsidR="00C83EC2" w:rsidRDefault="00C83EC2" w:rsidP="00BE6B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51500784"/>
      <w:docPartObj>
        <w:docPartGallery w:val="Page Numbers (Bottom of Page)"/>
        <w:docPartUnique/>
      </w:docPartObj>
    </w:sdtPr>
    <w:sdtContent>
      <w:p w14:paraId="79FC68DE" w14:textId="5BB08E77" w:rsidR="0087383F" w:rsidRDefault="0087383F">
        <w:pPr>
          <w:pStyle w:val="Footer"/>
          <w:jc w:val="center"/>
        </w:pPr>
        <w:r>
          <w:fldChar w:fldCharType="begin"/>
        </w:r>
        <w:r>
          <w:instrText>PAGE   \* MERGEFORMAT</w:instrText>
        </w:r>
        <w:r>
          <w:fldChar w:fldCharType="separate"/>
        </w:r>
        <w:r>
          <w:t>2</w:t>
        </w:r>
        <w:r>
          <w:fldChar w:fldCharType="end"/>
        </w:r>
      </w:p>
    </w:sdtContent>
  </w:sdt>
  <w:p w14:paraId="4F3AE87D" w14:textId="77777777" w:rsidR="009E257B" w:rsidRDefault="009E25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0679CE4" w14:textId="77777777" w:rsidR="00C83EC2" w:rsidRDefault="00C83EC2" w:rsidP="00BE6BE0">
      <w:pPr>
        <w:spacing w:after="0" w:line="240" w:lineRule="auto"/>
      </w:pPr>
      <w:r>
        <w:separator/>
      </w:r>
    </w:p>
  </w:footnote>
  <w:footnote w:type="continuationSeparator" w:id="0">
    <w:p w14:paraId="0E5D47FD" w14:textId="77777777" w:rsidR="00C83EC2" w:rsidRDefault="00C83EC2" w:rsidP="00BE6B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A9FA97" w14:textId="0D213EB9" w:rsidR="00BE6BE0" w:rsidRDefault="00BE6BE0" w:rsidP="00BE6BE0">
    <w:pPr>
      <w:pStyle w:val="Header"/>
      <w:ind w:left="11520"/>
    </w:pPr>
    <w:r>
      <w:rPr>
        <w:noProof/>
      </w:rPr>
      <w:drawing>
        <wp:inline distT="0" distB="0" distL="0" distR="0" wp14:anchorId="4F6FE5F2" wp14:editId="12D54B3C">
          <wp:extent cx="2181225" cy="436245"/>
          <wp:effectExtent l="0" t="0" r="9525" b="1905"/>
          <wp:docPr id="11" name="Picture 1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84540" cy="436908"/>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A539FA"/>
    <w:multiLevelType w:val="multilevel"/>
    <w:tmpl w:val="C8B2E9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645178C"/>
    <w:multiLevelType w:val="multilevel"/>
    <w:tmpl w:val="19146A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39531D9"/>
    <w:multiLevelType w:val="multilevel"/>
    <w:tmpl w:val="0E3091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2104EB2"/>
    <w:multiLevelType w:val="multilevel"/>
    <w:tmpl w:val="A816C2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A3B06C0"/>
    <w:multiLevelType w:val="multilevel"/>
    <w:tmpl w:val="6DEED5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84670725">
    <w:abstractNumId w:val="0"/>
  </w:num>
  <w:num w:numId="2" w16cid:durableId="916204381">
    <w:abstractNumId w:val="1"/>
  </w:num>
  <w:num w:numId="3" w16cid:durableId="1865364644">
    <w:abstractNumId w:val="4"/>
  </w:num>
  <w:num w:numId="4" w16cid:durableId="1275283678">
    <w:abstractNumId w:val="3"/>
  </w:num>
  <w:num w:numId="5" w16cid:durableId="72564042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000F"/>
    <w:rsid w:val="00011C17"/>
    <w:rsid w:val="000464A0"/>
    <w:rsid w:val="00056EB1"/>
    <w:rsid w:val="000663E2"/>
    <w:rsid w:val="0008032D"/>
    <w:rsid w:val="000906EC"/>
    <w:rsid w:val="00091B58"/>
    <w:rsid w:val="000A69C0"/>
    <w:rsid w:val="000B17D4"/>
    <w:rsid w:val="001127DB"/>
    <w:rsid w:val="00122B4D"/>
    <w:rsid w:val="00167306"/>
    <w:rsid w:val="001721D3"/>
    <w:rsid w:val="00183610"/>
    <w:rsid w:val="001939E5"/>
    <w:rsid w:val="00194109"/>
    <w:rsid w:val="001C48CE"/>
    <w:rsid w:val="001D05DB"/>
    <w:rsid w:val="002419A5"/>
    <w:rsid w:val="00255016"/>
    <w:rsid w:val="002767BF"/>
    <w:rsid w:val="00284C62"/>
    <w:rsid w:val="00293056"/>
    <w:rsid w:val="002A1A11"/>
    <w:rsid w:val="002D365C"/>
    <w:rsid w:val="002D6A51"/>
    <w:rsid w:val="0030397A"/>
    <w:rsid w:val="00330116"/>
    <w:rsid w:val="003A000F"/>
    <w:rsid w:val="003E17CB"/>
    <w:rsid w:val="00486986"/>
    <w:rsid w:val="004F57D4"/>
    <w:rsid w:val="004F5C7A"/>
    <w:rsid w:val="005079BD"/>
    <w:rsid w:val="00561E30"/>
    <w:rsid w:val="00595534"/>
    <w:rsid w:val="005E6F44"/>
    <w:rsid w:val="005F7486"/>
    <w:rsid w:val="00622F01"/>
    <w:rsid w:val="00636525"/>
    <w:rsid w:val="006371B8"/>
    <w:rsid w:val="006659CA"/>
    <w:rsid w:val="006854CF"/>
    <w:rsid w:val="006A6816"/>
    <w:rsid w:val="006E56A9"/>
    <w:rsid w:val="006F7371"/>
    <w:rsid w:val="00714C96"/>
    <w:rsid w:val="00721B47"/>
    <w:rsid w:val="00766E12"/>
    <w:rsid w:val="007853ED"/>
    <w:rsid w:val="00804A7F"/>
    <w:rsid w:val="00833470"/>
    <w:rsid w:val="008417C9"/>
    <w:rsid w:val="008535E9"/>
    <w:rsid w:val="0087383F"/>
    <w:rsid w:val="00894C62"/>
    <w:rsid w:val="00896C36"/>
    <w:rsid w:val="00897342"/>
    <w:rsid w:val="008C10E0"/>
    <w:rsid w:val="008F49B8"/>
    <w:rsid w:val="009070EC"/>
    <w:rsid w:val="0091585F"/>
    <w:rsid w:val="00925D5E"/>
    <w:rsid w:val="009631B6"/>
    <w:rsid w:val="00967FF8"/>
    <w:rsid w:val="009D63E1"/>
    <w:rsid w:val="009D7C87"/>
    <w:rsid w:val="009E257B"/>
    <w:rsid w:val="009F35A8"/>
    <w:rsid w:val="009F7C18"/>
    <w:rsid w:val="00A25FB9"/>
    <w:rsid w:val="00A419CA"/>
    <w:rsid w:val="00A6165E"/>
    <w:rsid w:val="00A62CFA"/>
    <w:rsid w:val="00A65691"/>
    <w:rsid w:val="00A82690"/>
    <w:rsid w:val="00A9004B"/>
    <w:rsid w:val="00AB5A90"/>
    <w:rsid w:val="00AC33CE"/>
    <w:rsid w:val="00B06C7C"/>
    <w:rsid w:val="00B26A08"/>
    <w:rsid w:val="00B34D07"/>
    <w:rsid w:val="00B36AD4"/>
    <w:rsid w:val="00B4275F"/>
    <w:rsid w:val="00B642EF"/>
    <w:rsid w:val="00B661BC"/>
    <w:rsid w:val="00B862BA"/>
    <w:rsid w:val="00B9301F"/>
    <w:rsid w:val="00BB2794"/>
    <w:rsid w:val="00BE6BE0"/>
    <w:rsid w:val="00C309C9"/>
    <w:rsid w:val="00C83A82"/>
    <w:rsid w:val="00C83EC2"/>
    <w:rsid w:val="00CC2574"/>
    <w:rsid w:val="00CF0600"/>
    <w:rsid w:val="00D26525"/>
    <w:rsid w:val="00DB3024"/>
    <w:rsid w:val="00DE3E86"/>
    <w:rsid w:val="00E83022"/>
    <w:rsid w:val="00EA174D"/>
    <w:rsid w:val="00EC33FB"/>
    <w:rsid w:val="00ED0D33"/>
    <w:rsid w:val="00EF3E35"/>
    <w:rsid w:val="00F03352"/>
    <w:rsid w:val="00F26F31"/>
    <w:rsid w:val="00F27B37"/>
    <w:rsid w:val="00F341C0"/>
    <w:rsid w:val="00F36D02"/>
    <w:rsid w:val="00F47C1D"/>
    <w:rsid w:val="00F57393"/>
    <w:rsid w:val="00F61E39"/>
    <w:rsid w:val="00F646EA"/>
    <w:rsid w:val="00F64FBC"/>
    <w:rsid w:val="00F749AC"/>
    <w:rsid w:val="00FE79E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D0CEAF"/>
  <w15:chartTrackingRefBased/>
  <w15:docId w15:val="{8EBA6B3B-A888-4BF2-8498-FC497ADF3F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E17C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2D6A5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2D6A51"/>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E6B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6BE0"/>
  </w:style>
  <w:style w:type="paragraph" w:styleId="Footer">
    <w:name w:val="footer"/>
    <w:basedOn w:val="Normal"/>
    <w:link w:val="FooterChar"/>
    <w:uiPriority w:val="99"/>
    <w:unhideWhenUsed/>
    <w:rsid w:val="00BE6B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6BE0"/>
  </w:style>
  <w:style w:type="character" w:styleId="Hyperlink">
    <w:name w:val="Hyperlink"/>
    <w:basedOn w:val="DefaultParagraphFont"/>
    <w:uiPriority w:val="99"/>
    <w:unhideWhenUsed/>
    <w:rsid w:val="0008032D"/>
    <w:rPr>
      <w:color w:val="0563C1" w:themeColor="hyperlink"/>
      <w:u w:val="single"/>
    </w:rPr>
  </w:style>
  <w:style w:type="character" w:styleId="UnresolvedMention">
    <w:name w:val="Unresolved Mention"/>
    <w:basedOn w:val="DefaultParagraphFont"/>
    <w:uiPriority w:val="99"/>
    <w:semiHidden/>
    <w:unhideWhenUsed/>
    <w:rsid w:val="0008032D"/>
    <w:rPr>
      <w:color w:val="605E5C"/>
      <w:shd w:val="clear" w:color="auto" w:fill="E1DFDD"/>
    </w:rPr>
  </w:style>
  <w:style w:type="character" w:customStyle="1" w:styleId="Heading1Char">
    <w:name w:val="Heading 1 Char"/>
    <w:basedOn w:val="DefaultParagraphFont"/>
    <w:link w:val="Heading1"/>
    <w:uiPriority w:val="9"/>
    <w:rsid w:val="003E17C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E17CB"/>
    <w:pPr>
      <w:outlineLvl w:val="9"/>
    </w:pPr>
    <w:rPr>
      <w:lang w:eastAsia="en-GB"/>
    </w:rPr>
  </w:style>
  <w:style w:type="paragraph" w:styleId="ListParagraph">
    <w:name w:val="List Paragraph"/>
    <w:basedOn w:val="Normal"/>
    <w:uiPriority w:val="34"/>
    <w:qFormat/>
    <w:rsid w:val="00DB3024"/>
    <w:pPr>
      <w:ind w:left="720"/>
      <w:contextualSpacing/>
    </w:pPr>
  </w:style>
  <w:style w:type="character" w:customStyle="1" w:styleId="Heading3Char">
    <w:name w:val="Heading 3 Char"/>
    <w:basedOn w:val="DefaultParagraphFont"/>
    <w:link w:val="Heading3"/>
    <w:uiPriority w:val="9"/>
    <w:semiHidden/>
    <w:rsid w:val="002D6A51"/>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2D6A51"/>
    <w:rPr>
      <w:rFonts w:asciiTheme="majorHAnsi" w:eastAsiaTheme="majorEastAsia" w:hAnsiTheme="majorHAnsi" w:cstheme="majorBidi"/>
      <w:i/>
      <w:iCs/>
      <w:color w:val="2F5496" w:themeColor="accent1" w:themeShade="BF"/>
    </w:rPr>
  </w:style>
  <w:style w:type="paragraph" w:styleId="TOC1">
    <w:name w:val="toc 1"/>
    <w:basedOn w:val="Normal"/>
    <w:next w:val="Normal"/>
    <w:autoRedefine/>
    <w:uiPriority w:val="39"/>
    <w:unhideWhenUsed/>
    <w:rsid w:val="00486986"/>
    <w:pPr>
      <w:spacing w:after="100"/>
    </w:pPr>
  </w:style>
  <w:style w:type="character" w:styleId="FollowedHyperlink">
    <w:name w:val="FollowedHyperlink"/>
    <w:basedOn w:val="DefaultParagraphFont"/>
    <w:uiPriority w:val="99"/>
    <w:semiHidden/>
    <w:unhideWhenUsed/>
    <w:rsid w:val="00AB5A9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bshp.org/history-of-pharmacy" TargetMode="External"/><Relationship Id="rId18" Type="http://schemas.openxmlformats.org/officeDocument/2006/relationships/hyperlink" Target="https://www.england.nhs.uk/mental-health/adults/cmhs/"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3.jpeg"/><Relationship Id="rId17" Type="http://schemas.openxmlformats.org/officeDocument/2006/relationships/hyperlink" Target="https://www.gov.uk/government/publications/community-mental-health-services-governments-response-to-the-health-and-social-care-committees-report/government-response-to-the-health-and-social-care-committees-fourth-report-of-session-2024-to-2026-community-mental-health-services" TargetMode="External"/><Relationship Id="rId2" Type="http://schemas.openxmlformats.org/officeDocument/2006/relationships/numbering" Target="numbering.xml"/><Relationship Id="rId16" Type="http://schemas.openxmlformats.org/officeDocument/2006/relationships/hyperlink" Target="https://www.cqc.org.uk/publications/surveys/community-mental-health-survey"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nhs.uk/nhs-services/pharmacies/how-pharmacies-can-help/" TargetMode="External"/><Relationship Id="rId10" Type="http://schemas.openxmlformats.org/officeDocument/2006/relationships/header" Target="header1.xml"/><Relationship Id="rId19" Type="http://schemas.openxmlformats.org/officeDocument/2006/relationships/hyperlink" Target="https://phm.org.uk/blogposts/mental-health-policy-in-the-nhs-75-years-on"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cpe.org.uk/our-news/peers-highlight-critical-issues-for-community-pharmacies-in-parliament"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9B24BF8-C345-41CE-A824-D4AA6D1609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1093</Words>
  <Characters>6234</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7313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Tarandeep Johal</dc:creator>
  <cp:keywords/>
  <dc:description/>
  <cp:lastModifiedBy>Golap Arafat</cp:lastModifiedBy>
  <cp:revision>13</cp:revision>
  <dcterms:created xsi:type="dcterms:W3CDTF">2026-07-12T15:40:00Z</dcterms:created>
  <dcterms:modified xsi:type="dcterms:W3CDTF">2026-07-17T16:44:00Z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2a8302b3-9be9-4711-87df-ce6d5340e46b</vt:lpwstr>
  </property>
</Properties>
</file>