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44EEF4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575D1">
              <w:rPr>
                <w:rFonts w:ascii="Times New Roman" w:hAnsi="Times New Roman" w:cs="Times New Roman"/>
                <w:b/>
                <w:color w:val="auto"/>
                <w:sz w:val="48"/>
              </w:rPr>
              <w:t>Bethan Ffion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140EEA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575D1">
              <w:t xml:space="preserve"> </w:t>
            </w:r>
            <w:hyperlink r:id="rId11" w:history="1">
              <w:r w:rsidR="009575D1" w:rsidRPr="009D0122">
                <w:rPr>
                  <w:rStyle w:val="Hyperddolen"/>
                  <w:b/>
                  <w:sz w:val="32"/>
                  <w:szCs w:val="32"/>
                </w:rPr>
                <w:t>2521745@student.uwtsd.ac.uk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937FF91" w:rsidR="00F927A1" w:rsidRPr="009575D1"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575D1" w:rsidRPr="009575D1">
              <w:rPr>
                <w:rFonts w:ascii="Times New Roman" w:hAnsi="Times New Roman" w:cs="Times New Roman"/>
                <w:b/>
                <w:color w:val="auto"/>
                <w:sz w:val="36"/>
                <w:szCs w:val="36"/>
              </w:rPr>
              <w:t>2521745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Pr="00E40286" w:rsidRDefault="00FC0334" w:rsidP="00FF7EBB">
            <w:pPr>
              <w:jc w:val="both"/>
              <w:rPr>
                <w:sz w:val="24"/>
                <w:szCs w:val="24"/>
              </w:rPr>
            </w:pPr>
          </w:p>
          <w:p w14:paraId="387024C9" w14:textId="3F51844D" w:rsidR="00E40286" w:rsidRPr="00E40286" w:rsidRDefault="00E40286" w:rsidP="00E40286">
            <w:pPr>
              <w:rPr>
                <w:sz w:val="24"/>
                <w:szCs w:val="24"/>
              </w:rPr>
            </w:pPr>
            <w:r w:rsidRPr="00E40286">
              <w:rPr>
                <w:sz w:val="24"/>
                <w:szCs w:val="24"/>
              </w:rPr>
              <w:t xml:space="preserve">My area and focus of work </w:t>
            </w:r>
            <w:proofErr w:type="gramStart"/>
            <w:r w:rsidRPr="00E40286">
              <w:rPr>
                <w:sz w:val="24"/>
                <w:szCs w:val="24"/>
              </w:rPr>
              <w:t>is</w:t>
            </w:r>
            <w:proofErr w:type="gramEnd"/>
            <w:r w:rsidRPr="00E40286">
              <w:rPr>
                <w:sz w:val="24"/>
                <w:szCs w:val="24"/>
              </w:rPr>
              <w:t xml:space="preserve"> with adults, so in this essay I will be looking at the area of work of children and will explain the relevant legislation, and the national, local and organisational policies and procedures for Safeguarding.   The United Nations Convention on the Rights of the Child 1989 is </w:t>
            </w:r>
            <w:r w:rsidRPr="00E40286">
              <w:rPr>
                <w:sz w:val="24"/>
                <w:szCs w:val="24"/>
              </w:rPr>
              <w:t>incorporated</w:t>
            </w:r>
            <w:r w:rsidRPr="00E40286">
              <w:rPr>
                <w:sz w:val="24"/>
                <w:szCs w:val="24"/>
              </w:rPr>
              <w:t xml:space="preserve"> to practice in Wales. The main relevant legislation with safeguarding children is the Social Services and Well-being (Wales) Act 2014 (SSWBA 2014) and The Children Act (1989).  In section 130 of the SSWBA 2014 it states there is a duty to report children ‘at risk’.  A child is defined as someone under the age of 18.  Section 130 (4) defines a child ‘at risk’ as “experiencing or is at risk of abuse, neglect or other kind of harm, and has needs for care and support (</w:t>
            </w:r>
            <w:proofErr w:type="gramStart"/>
            <w:r w:rsidRPr="00E40286">
              <w:rPr>
                <w:sz w:val="24"/>
                <w:szCs w:val="24"/>
              </w:rPr>
              <w:t>whether or not</w:t>
            </w:r>
            <w:proofErr w:type="gramEnd"/>
            <w:r w:rsidRPr="00E40286">
              <w:rPr>
                <w:sz w:val="24"/>
                <w:szCs w:val="24"/>
              </w:rPr>
              <w:t xml:space="preserve"> the authority is meeting any of those needs).  There are different forms of abuse as noted in section 197 of SSWBA 2014: physical, sexual, psychological, </w:t>
            </w:r>
            <w:proofErr w:type="gramStart"/>
            <w:r w:rsidRPr="00E40286">
              <w:rPr>
                <w:sz w:val="24"/>
                <w:szCs w:val="24"/>
              </w:rPr>
              <w:t>emotional,  or</w:t>
            </w:r>
            <w:proofErr w:type="gramEnd"/>
            <w:r w:rsidRPr="00E40286">
              <w:rPr>
                <w:sz w:val="24"/>
                <w:szCs w:val="24"/>
              </w:rPr>
              <w:t xml:space="preserve"> financial abuse. Neglect is defined as ‘failure to meet a person’s basic physical, emotional, social</w:t>
            </w:r>
            <w:r>
              <w:rPr>
                <w:sz w:val="24"/>
                <w:szCs w:val="24"/>
              </w:rPr>
              <w:t xml:space="preserve"> </w:t>
            </w:r>
            <w:r w:rsidRPr="00E40286">
              <w:rPr>
                <w:sz w:val="24"/>
                <w:szCs w:val="24"/>
              </w:rPr>
              <w:t>or psychological needs, which is likely to result in an impairment of the person’s well-being.  A relevant partner of a local authority has a duty to report when they have “reasonable cause to suspect that the child is at risk”.  Relevant partner agencies include Health Boards, Police, Education Department, Probation Services, and can also include other local authorities.  Section 47 of the Children Act (1989) puts a duty on local authorities to investigate and make enquiries when there is “reasonable cause to suspect that a child is suffering or likely to suffer significant harm”.  This is a multi-agency enquiry process; also referred to as a child protection investigation, sets out to determine what action is needed to safeguard the child.  Following a section 47 investigation it can lead to a child protection case conference, it can determine that the child is ‘a child in need’ under section 17 of the Children Act (1989), or it can lead to legal action being needed to safeguard the child.  A duty to report under section 130 of SSWBA 2014 does not trigger as section 47 investigation automatically.  Section 130 of SSWBA 2014 can either lead to and assessment for care and support if the threshold is not reached under section 47 of the Children Act (1989), or it can lead to both an assessment for care and support and a child protection investigation if the threshold of se</w:t>
            </w:r>
            <w:r>
              <w:rPr>
                <w:sz w:val="24"/>
                <w:szCs w:val="24"/>
              </w:rPr>
              <w:t>c</w:t>
            </w:r>
            <w:r w:rsidRPr="00E40286">
              <w:rPr>
                <w:sz w:val="24"/>
                <w:szCs w:val="24"/>
              </w:rPr>
              <w:t>tion 47 of the Children Act (1989) is met.</w:t>
            </w:r>
          </w:p>
          <w:p w14:paraId="41401434" w14:textId="77777777" w:rsidR="00E40286" w:rsidRPr="00E40286" w:rsidRDefault="00E40286" w:rsidP="00E40286">
            <w:pPr>
              <w:rPr>
                <w:sz w:val="24"/>
                <w:szCs w:val="24"/>
              </w:rPr>
            </w:pPr>
          </w:p>
          <w:p w14:paraId="5253D8EB" w14:textId="77777777" w:rsidR="00E40286" w:rsidRPr="00E40286" w:rsidRDefault="00E40286" w:rsidP="00E40286">
            <w:pPr>
              <w:rPr>
                <w:sz w:val="24"/>
                <w:szCs w:val="24"/>
              </w:rPr>
            </w:pPr>
            <w:r w:rsidRPr="00E40286">
              <w:rPr>
                <w:sz w:val="24"/>
                <w:szCs w:val="24"/>
              </w:rPr>
              <w:lastRenderedPageBreak/>
              <w:t xml:space="preserve">There are national policies and procedures in place for safeguarding children. The Wales Safeguarding Procedures is in place to ensure consistent safeguarding practice across </w:t>
            </w:r>
            <w:proofErr w:type="gramStart"/>
            <w:r w:rsidRPr="00E40286">
              <w:rPr>
                <w:sz w:val="24"/>
                <w:szCs w:val="24"/>
              </w:rPr>
              <w:t>Wales,  and</w:t>
            </w:r>
            <w:proofErr w:type="gramEnd"/>
            <w:r w:rsidRPr="00E40286">
              <w:rPr>
                <w:sz w:val="24"/>
                <w:szCs w:val="24"/>
              </w:rPr>
              <w:t xml:space="preserve"> to provide guidance on identifying neglect and abuse, reporting them, and responding to them.  There are more regional safeguarding boards, consisting of agencies </w:t>
            </w:r>
            <w:proofErr w:type="gramStart"/>
            <w:r w:rsidRPr="00E40286">
              <w:rPr>
                <w:sz w:val="24"/>
                <w:szCs w:val="24"/>
              </w:rPr>
              <w:t>including  local</w:t>
            </w:r>
            <w:proofErr w:type="gramEnd"/>
            <w:r w:rsidRPr="00E40286">
              <w:rPr>
                <w:sz w:val="24"/>
                <w:szCs w:val="24"/>
              </w:rPr>
              <w:t xml:space="preserve"> authorities, Health Boards, Police, Education Services, with the aim of developing more local procedures, monitoring things, promoting inter-agency working, and they also conduct child practice reviews. The local authority where I practice also has its own organisational and local policy to provide effective child protection and to keep children safe from harm and neglect.</w:t>
            </w:r>
          </w:p>
          <w:p w14:paraId="6D8CB8AF" w14:textId="77777777" w:rsidR="00FC0334" w:rsidRDefault="00FC0334" w:rsidP="00FF7EBB">
            <w:pPr>
              <w:jc w:val="both"/>
              <w:rPr>
                <w:sz w:val="24"/>
                <w:szCs w:val="24"/>
              </w:rPr>
            </w:pPr>
          </w:p>
          <w:p w14:paraId="72684128" w14:textId="5AA57D33" w:rsidR="00E40286" w:rsidRDefault="00E40286" w:rsidP="00FF7EBB">
            <w:pPr>
              <w:jc w:val="both"/>
              <w:rPr>
                <w:sz w:val="24"/>
                <w:szCs w:val="24"/>
              </w:rPr>
            </w:pPr>
            <w:r>
              <w:rPr>
                <w:sz w:val="24"/>
                <w:szCs w:val="24"/>
              </w:rPr>
              <w:t>(Word count: 532)</w:t>
            </w: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405A5A41" w14:textId="77777777" w:rsidR="00DB2034" w:rsidRDefault="00DB2034" w:rsidP="00DB2034">
            <w:pPr>
              <w:jc w:val="both"/>
            </w:pPr>
          </w:p>
          <w:p w14:paraId="65454A20" w14:textId="08EC1B6A" w:rsidR="00DB2034" w:rsidRPr="00DB2034" w:rsidRDefault="00DB2034" w:rsidP="00DB2034">
            <w:pPr>
              <w:jc w:val="both"/>
              <w:rPr>
                <w:sz w:val="24"/>
                <w:szCs w:val="24"/>
              </w:rPr>
            </w:pPr>
            <w:r w:rsidRPr="00DB2034">
              <w:rPr>
                <w:sz w:val="24"/>
                <w:szCs w:val="24"/>
              </w:rPr>
              <w:t xml:space="preserve">Safeguarding in both Adult and Children Services are important responsibilities with the common theme across both services of protecting individuals from abuse, neglect, and harm.  The main difference between children and adults facing risk is around autonomy, consent, and mental capacity.  An Adult has the right to self-determination and if they have the mental capacity under the Mental Capacity Act (2005), they can make their own </w:t>
            </w:r>
            <w:proofErr w:type="gramStart"/>
            <w:r w:rsidRPr="00DB2034">
              <w:rPr>
                <w:sz w:val="24"/>
                <w:szCs w:val="24"/>
              </w:rPr>
              <w:t>choices  about</w:t>
            </w:r>
            <w:proofErr w:type="gramEnd"/>
            <w:r w:rsidRPr="00DB2034">
              <w:rPr>
                <w:sz w:val="24"/>
                <w:szCs w:val="24"/>
              </w:rPr>
              <w:t xml:space="preserve"> their life if they understand the risks involved, and they can choose not to protect themselves when faced with risk should they wish, and they have that right.  This is in line with themes central to social work of empowerment and person-centred practice.   Adults’ consent to a safeguarding referral should always be seeks unless doing so would put them at greater risk.  Children are deemed not to be able to protect themselves like adults can, and they do not have to give consent to a safeguarding referral.  They do not have the same legal rights and authority as adults to make choices around their own safety.  One of the principles of the Children Act (1989) is that the welfare of the child is paramount, so there is a more </w:t>
            </w:r>
            <w:r w:rsidRPr="00DB2034">
              <w:rPr>
                <w:sz w:val="24"/>
                <w:szCs w:val="24"/>
              </w:rPr>
              <w:t>protective</w:t>
            </w:r>
            <w:r w:rsidRPr="00DB2034">
              <w:rPr>
                <w:sz w:val="24"/>
                <w:szCs w:val="24"/>
              </w:rPr>
              <w:t xml:space="preserve"> approach in Children’s Services as children are less able to protect themselves.</w:t>
            </w:r>
          </w:p>
          <w:p w14:paraId="2E3997A6" w14:textId="77777777" w:rsidR="00DB2034" w:rsidRPr="00DB2034" w:rsidRDefault="00DB2034" w:rsidP="00DB2034">
            <w:pPr>
              <w:jc w:val="both"/>
              <w:rPr>
                <w:sz w:val="24"/>
                <w:szCs w:val="24"/>
              </w:rPr>
            </w:pPr>
            <w:r w:rsidRPr="00DB2034">
              <w:rPr>
                <w:sz w:val="24"/>
                <w:szCs w:val="24"/>
              </w:rPr>
              <w:t xml:space="preserve">A child’s ability to make decisions, and specifically in relation to making decisions about their safety when it comes to safeguarding, will vary from child to child and their age and their maturity will impact this.  In Children’s services they use the Gillick Competence and Fraser guidelines (NSPCC, 2022) to balance the need to protect and keep them safe, whilst also </w:t>
            </w:r>
            <w:r w:rsidRPr="00DB2034">
              <w:rPr>
                <w:sz w:val="24"/>
                <w:szCs w:val="24"/>
              </w:rPr>
              <w:lastRenderedPageBreak/>
              <w:t>listening to their voice and wishes, in line with the United Nations Convention on the Rights of the Child.</w:t>
            </w:r>
          </w:p>
          <w:p w14:paraId="727B95F7" w14:textId="77777777" w:rsidR="00DB2034" w:rsidRPr="00DB2034" w:rsidRDefault="00DB2034" w:rsidP="00DB2034">
            <w:pPr>
              <w:jc w:val="both"/>
              <w:rPr>
                <w:sz w:val="24"/>
                <w:szCs w:val="24"/>
              </w:rPr>
            </w:pPr>
          </w:p>
          <w:p w14:paraId="0A351CB2" w14:textId="277BFACF" w:rsidR="00DB2034" w:rsidRPr="00DB2034" w:rsidRDefault="00DB2034" w:rsidP="00DB2034">
            <w:pPr>
              <w:jc w:val="both"/>
              <w:rPr>
                <w:sz w:val="24"/>
                <w:szCs w:val="24"/>
              </w:rPr>
            </w:pPr>
            <w:r w:rsidRPr="00DB2034">
              <w:rPr>
                <w:sz w:val="24"/>
                <w:szCs w:val="24"/>
              </w:rPr>
              <w:t xml:space="preserve">There are further differences between Children and Adults safeguarding too, in that with </w:t>
            </w:r>
            <w:proofErr w:type="gramStart"/>
            <w:r w:rsidRPr="00DB2034">
              <w:rPr>
                <w:sz w:val="24"/>
                <w:szCs w:val="24"/>
              </w:rPr>
              <w:t>Adults</w:t>
            </w:r>
            <w:proofErr w:type="gramEnd"/>
            <w:r w:rsidRPr="00DB2034">
              <w:rPr>
                <w:sz w:val="24"/>
                <w:szCs w:val="24"/>
              </w:rPr>
              <w:t xml:space="preserve"> it </w:t>
            </w:r>
            <w:proofErr w:type="gramStart"/>
            <w:r w:rsidRPr="00DB2034">
              <w:rPr>
                <w:sz w:val="24"/>
                <w:szCs w:val="24"/>
              </w:rPr>
              <w:t>has to</w:t>
            </w:r>
            <w:proofErr w:type="gramEnd"/>
            <w:r w:rsidRPr="00DB2034">
              <w:rPr>
                <w:sz w:val="24"/>
                <w:szCs w:val="24"/>
              </w:rPr>
              <w:t xml:space="preserve"> be considered before making a safeguarding referral whether an adult has care and support </w:t>
            </w:r>
            <w:proofErr w:type="gramStart"/>
            <w:r w:rsidRPr="00DB2034">
              <w:rPr>
                <w:sz w:val="24"/>
                <w:szCs w:val="24"/>
              </w:rPr>
              <w:t>needs,  and</w:t>
            </w:r>
            <w:proofErr w:type="gramEnd"/>
            <w:r w:rsidRPr="00DB2034">
              <w:rPr>
                <w:sz w:val="24"/>
                <w:szCs w:val="24"/>
              </w:rPr>
              <w:t xml:space="preserve"> also their ability to protect themselves from abuse or neglect, and </w:t>
            </w:r>
            <w:proofErr w:type="gramStart"/>
            <w:r w:rsidRPr="00DB2034">
              <w:rPr>
                <w:sz w:val="24"/>
                <w:szCs w:val="24"/>
              </w:rPr>
              <w:t>the their</w:t>
            </w:r>
            <w:proofErr w:type="gramEnd"/>
            <w:r w:rsidRPr="00DB2034">
              <w:rPr>
                <w:sz w:val="24"/>
                <w:szCs w:val="24"/>
              </w:rPr>
              <w:t xml:space="preserve"> views are considered.  On the other hand with </w:t>
            </w:r>
            <w:proofErr w:type="gramStart"/>
            <w:r w:rsidRPr="00DB2034">
              <w:rPr>
                <w:sz w:val="24"/>
                <w:szCs w:val="24"/>
              </w:rPr>
              <w:t>children</w:t>
            </w:r>
            <w:proofErr w:type="gramEnd"/>
            <w:r w:rsidRPr="00DB2034">
              <w:rPr>
                <w:sz w:val="24"/>
                <w:szCs w:val="24"/>
              </w:rPr>
              <w:t xml:space="preserve"> it is considered that children are unable to protect themselves, and the views of the child or their </w:t>
            </w:r>
            <w:proofErr w:type="gramStart"/>
            <w:r w:rsidRPr="00DB2034">
              <w:rPr>
                <w:sz w:val="24"/>
                <w:szCs w:val="24"/>
              </w:rPr>
              <w:t>parents</w:t>
            </w:r>
            <w:proofErr w:type="gramEnd"/>
            <w:r w:rsidRPr="00DB2034">
              <w:rPr>
                <w:sz w:val="24"/>
                <w:szCs w:val="24"/>
              </w:rPr>
              <w:t xml:space="preserve"> views would not impact whether a statutory intervention and </w:t>
            </w:r>
            <w:r w:rsidRPr="00DB2034">
              <w:rPr>
                <w:sz w:val="24"/>
                <w:szCs w:val="24"/>
              </w:rPr>
              <w:t>investigation</w:t>
            </w:r>
            <w:r w:rsidRPr="00DB2034">
              <w:rPr>
                <w:sz w:val="24"/>
                <w:szCs w:val="24"/>
              </w:rPr>
              <w:t xml:space="preserve"> </w:t>
            </w:r>
            <w:proofErr w:type="gramStart"/>
            <w:r w:rsidRPr="00DB2034">
              <w:rPr>
                <w:sz w:val="24"/>
                <w:szCs w:val="24"/>
              </w:rPr>
              <w:t>takes</w:t>
            </w:r>
            <w:proofErr w:type="gramEnd"/>
            <w:r w:rsidRPr="00DB2034">
              <w:rPr>
                <w:sz w:val="24"/>
                <w:szCs w:val="24"/>
              </w:rPr>
              <w:t xml:space="preserve"> place.  Another difference between Adult and Children safeguarding is how the word ‘neglect’ is used as defined in section 197 of the Social Services and Well-being (Wales) Act 2014 as with children it also considers the impact on a child’s </w:t>
            </w:r>
            <w:r w:rsidRPr="00DB2034">
              <w:rPr>
                <w:sz w:val="24"/>
                <w:szCs w:val="24"/>
              </w:rPr>
              <w:t>d</w:t>
            </w:r>
            <w:r w:rsidRPr="00DB2034">
              <w:rPr>
                <w:sz w:val="24"/>
                <w:szCs w:val="24"/>
              </w:rPr>
              <w:t>evelopment.</w:t>
            </w:r>
          </w:p>
          <w:p w14:paraId="795C6051" w14:textId="77777777" w:rsidR="00FC0334" w:rsidRDefault="00FC0334" w:rsidP="00FC0334">
            <w:pPr>
              <w:jc w:val="both"/>
              <w:rPr>
                <w:sz w:val="24"/>
                <w:szCs w:val="24"/>
              </w:rPr>
            </w:pPr>
          </w:p>
          <w:p w14:paraId="67E7ED72" w14:textId="2A15780F" w:rsidR="00FC0334" w:rsidRDefault="00DB2034" w:rsidP="00FC0334">
            <w:pPr>
              <w:jc w:val="both"/>
              <w:rPr>
                <w:sz w:val="24"/>
                <w:szCs w:val="24"/>
              </w:rPr>
            </w:pPr>
            <w:r>
              <w:rPr>
                <w:sz w:val="24"/>
                <w:szCs w:val="24"/>
              </w:rPr>
              <w:t>(Word count: 416)</w:t>
            </w: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E0382" w14:textId="77777777" w:rsidR="00C52A84" w:rsidRDefault="00C52A84">
      <w:r>
        <w:separator/>
      </w:r>
    </w:p>
  </w:endnote>
  <w:endnote w:type="continuationSeparator" w:id="0">
    <w:p w14:paraId="7874D2EB" w14:textId="77777777" w:rsidR="00C52A84" w:rsidRDefault="00C52A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440B1" w14:textId="77777777" w:rsidR="00C52A84" w:rsidRDefault="00C52A84">
      <w:r>
        <w:separator/>
      </w:r>
    </w:p>
  </w:footnote>
  <w:footnote w:type="continuationSeparator" w:id="0">
    <w:p w14:paraId="51BE652D" w14:textId="77777777" w:rsidR="00C52A84" w:rsidRDefault="00C52A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Pennyn"/>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1FA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575D1"/>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2A84"/>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3804"/>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034"/>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0286"/>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0B23"/>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521745@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Pages>
  <Words>1078</Words>
  <Characters>6146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Ffion Jones (OEDOLION)</cp:lastModifiedBy>
  <cp:revision>4</cp:revision>
  <cp:lastPrinted>2020-02-11T19:20:00Z</cp:lastPrinted>
  <dcterms:created xsi:type="dcterms:W3CDTF">2026-10-06T22:34:00Z</dcterms:created>
  <dcterms:modified xsi:type="dcterms:W3CDTF">2026-10-07T06:27:00Z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