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BF0E1" w14:textId="4867D380" w:rsidR="008C33ED" w:rsidRDefault="008C33ED">
      <w:pPr>
        <w:rPr>
          <w:b/>
          <w:bCs/>
        </w:rPr>
      </w:pPr>
      <w:r w:rsidRPr="008C33ED">
        <w:rPr>
          <w:b/>
          <w:bCs/>
        </w:rPr>
        <w:t>Within the context of the </w:t>
      </w:r>
      <w:r w:rsidRPr="008C33ED">
        <w:rPr>
          <w:b/>
          <w:bCs/>
          <w:i/>
          <w:iCs/>
        </w:rPr>
        <w:t>Celtomania</w:t>
      </w:r>
      <w:r w:rsidRPr="008C33ED">
        <w:rPr>
          <w:b/>
          <w:bCs/>
        </w:rPr>
        <w:t> </w:t>
      </w:r>
      <w:r w:rsidRPr="008C33ED">
        <w:rPr>
          <w:b/>
          <w:bCs/>
          <w:i/>
          <w:iCs/>
        </w:rPr>
        <w:t>and Celtoscepticism</w:t>
      </w:r>
      <w:r w:rsidRPr="008C33ED">
        <w:rPr>
          <w:b/>
          <w:bCs/>
        </w:rPr>
        <w:t> debate, analyse whether or not the Celts are subject to unfair scrutiny when compared to others such as the Germanic or Anglo-Saxon peoples.</w:t>
      </w:r>
    </w:p>
    <w:p w14:paraId="1FE389B8" w14:textId="71C6C590" w:rsidR="008C33ED" w:rsidRDefault="008C33ED">
      <w:pPr>
        <w:rPr>
          <w:b/>
          <w:bCs/>
        </w:rPr>
      </w:pPr>
    </w:p>
    <w:p w14:paraId="26585FA7" w14:textId="01D102B0" w:rsidR="008C33ED" w:rsidRPr="00E61ABF" w:rsidRDefault="008C33ED">
      <w:pPr>
        <w:rPr>
          <w:i/>
          <w:iCs/>
        </w:rPr>
      </w:pPr>
      <w:r w:rsidRPr="00E61ABF">
        <w:rPr>
          <w:i/>
          <w:iCs/>
        </w:rPr>
        <w:t xml:space="preserve">Conflict of ideology </w:t>
      </w:r>
    </w:p>
    <w:p w14:paraId="4D4E914A" w14:textId="5EE8CDED" w:rsidR="00A42218" w:rsidRDefault="00A42218">
      <w:r>
        <w:t>The 18</w:t>
      </w:r>
      <w:r w:rsidRPr="00A42218">
        <w:rPr>
          <w:vertAlign w:val="superscript"/>
        </w:rPr>
        <w:t>th</w:t>
      </w:r>
      <w:r>
        <w:t xml:space="preserve"> and 19</w:t>
      </w:r>
      <w:r w:rsidRPr="00A42218">
        <w:rPr>
          <w:vertAlign w:val="superscript"/>
        </w:rPr>
        <w:t>th</w:t>
      </w:r>
      <w:r>
        <w:t xml:space="preserve"> centuries witnessed the increase in Celtomania, a cultural push into a universal and unified identity of nations with a historical and genetic affiliation to the </w:t>
      </w:r>
      <w:r w:rsidR="00761B6B">
        <w:t xml:space="preserve">Celts </w:t>
      </w:r>
      <w:r>
        <w:t>of mainland Europe.</w:t>
      </w:r>
      <w:r w:rsidR="00DD7763">
        <w:rPr>
          <w:rStyle w:val="FootnoteReference"/>
        </w:rPr>
        <w:footnoteReference w:id="1"/>
      </w:r>
      <w:r>
        <w:t xml:space="preserve"> This belief has reinforced a fascination with Celtic culture and has been projected through multiple </w:t>
      </w:r>
      <w:r w:rsidR="00CD0D44">
        <w:t>facets</w:t>
      </w:r>
      <w:r>
        <w:t xml:space="preserve"> of</w:t>
      </w:r>
      <w:r w:rsidR="00CD0D44">
        <w:t xml:space="preserve"> expression. This includes a revival of Celtic languages, a strong attachment to literature, art</w:t>
      </w:r>
      <w:r w:rsidR="00761B6B">
        <w:t>,</w:t>
      </w:r>
      <w:r w:rsidR="00CD0D44">
        <w:t xml:space="preserve"> and music, and further spiritual and mythological notions such as neo-paganism and folklore.</w:t>
      </w:r>
      <w:r w:rsidR="00DD7763">
        <w:rPr>
          <w:rStyle w:val="FootnoteReference"/>
        </w:rPr>
        <w:footnoteReference w:id="2"/>
      </w:r>
    </w:p>
    <w:p w14:paraId="6A6433F3" w14:textId="0AA89E72" w:rsidR="00CD0D44" w:rsidRDefault="00CD0D44">
      <w:r>
        <w:t xml:space="preserve">The benefits of Celtomania cannot be overlooked. </w:t>
      </w:r>
      <w:r w:rsidR="00761B6B">
        <w:t xml:space="preserve">It </w:t>
      </w:r>
      <w:r>
        <w:t>has created a level of mysticism within the respective areas of Britain and Ireland, boosting i</w:t>
      </w:r>
      <w:r w:rsidR="000A637F">
        <w:t>t</w:t>
      </w:r>
      <w:r>
        <w:t>s tourism and revitalising their individual and somewhat aligned historical and national identities. Although this positive concept of identity can be beneficial in practicality</w:t>
      </w:r>
      <w:r w:rsidR="00CC5CEC">
        <w:t>, i</w:t>
      </w:r>
      <w:r>
        <w:t xml:space="preserve">t overlooks the niches within each genetic and cultural group. </w:t>
      </w:r>
      <w:r w:rsidR="00C03278">
        <w:t xml:space="preserve">This area of belief, although popular within the Scottish, Irish, </w:t>
      </w:r>
      <w:r w:rsidR="0033030C">
        <w:t>Welsh,</w:t>
      </w:r>
      <w:r w:rsidR="00C03278">
        <w:t xml:space="preserve"> and Cornish areas, </w:t>
      </w:r>
      <w:r w:rsidR="00761B6B">
        <w:t xml:space="preserve">now </w:t>
      </w:r>
      <w:r w:rsidR="00C03278">
        <w:t>faces heavy criticism within the academic world.</w:t>
      </w:r>
      <w:r>
        <w:t xml:space="preserve"> </w:t>
      </w:r>
    </w:p>
    <w:p w14:paraId="0DF0185E" w14:textId="120D34D6" w:rsidR="008C33ED" w:rsidRDefault="00C03278">
      <w:r>
        <w:t>Celtosceptisism, in contrast, defies the beliefs of Celtomania by expressing a necessity for more in depth and definitive historical accuracy. This perspective of the debate questions the simplicity in the overarching term “</w:t>
      </w:r>
      <w:r w:rsidR="00761B6B">
        <w:t>Celt</w:t>
      </w:r>
      <w:r>
        <w:t>” to describe multiple micro-cultures and tribes within Britain and Ireland, and by proxy, the revivals of the newfound Celtic culture. This field of belief insists on evidence</w:t>
      </w:r>
      <w:r w:rsidR="00784A13">
        <w:t>-based definitions, due to the complexity of societies in Britain from the pre and post Roman eras.</w:t>
      </w:r>
      <w:r w:rsidR="00DD7763">
        <w:rPr>
          <w:rStyle w:val="FootnoteReference"/>
        </w:rPr>
        <w:footnoteReference w:id="3"/>
      </w:r>
    </w:p>
    <w:p w14:paraId="36AEAA8B" w14:textId="56459BE7" w:rsidR="00784A13" w:rsidRDefault="00784A13">
      <w:r>
        <w:t xml:space="preserve">Celtosceptisism questions the ability to homogenise a simplistic term by assessing scientific and historical research areas such as genealogy, archaeology and </w:t>
      </w:r>
      <w:r w:rsidR="000A637F">
        <w:t xml:space="preserve">questioning the historical components of Celtic identity, especially information resembling the perspective of </w:t>
      </w:r>
      <w:r w:rsidR="00E4695D">
        <w:t>Celtomania</w:t>
      </w:r>
      <w:r w:rsidR="000A637F">
        <w:t>.</w:t>
      </w:r>
      <w:r w:rsidR="00D82564">
        <w:rPr>
          <w:rStyle w:val="FootnoteReference"/>
        </w:rPr>
        <w:footnoteReference w:id="4"/>
      </w:r>
    </w:p>
    <w:p w14:paraId="45F154E1" w14:textId="2BBE9369" w:rsidR="008C33ED" w:rsidRDefault="006F4011">
      <w:r>
        <w:lastRenderedPageBreak/>
        <w:t xml:space="preserve">The distortion of information from the romanticism behind the nationalistic identity comes under question from </w:t>
      </w:r>
      <w:r w:rsidR="00C8748D">
        <w:t xml:space="preserve">academic circles </w:t>
      </w:r>
      <w:r w:rsidR="00E421FE">
        <w:t xml:space="preserve">as it highlights the complexity of a singular identity when there are many facets of cultural, </w:t>
      </w:r>
      <w:r w:rsidR="00077A0B">
        <w:t>geographical,</w:t>
      </w:r>
      <w:r w:rsidR="00E421FE">
        <w:t xml:space="preserve"> and genealogical elements within it.</w:t>
      </w:r>
      <w:r w:rsidR="00DD7763">
        <w:rPr>
          <w:rStyle w:val="FootnoteReference"/>
        </w:rPr>
        <w:footnoteReference w:id="5"/>
      </w:r>
    </w:p>
    <w:p w14:paraId="763F739B" w14:textId="402B34A6" w:rsidR="008C33ED" w:rsidRDefault="00C62DF0">
      <w:r>
        <w:t xml:space="preserve">Celtomania tends to fall within the sphere of “feeling”, </w:t>
      </w:r>
      <w:r w:rsidR="0093331A">
        <w:t xml:space="preserve">where the </w:t>
      </w:r>
      <w:r w:rsidR="00E4695D">
        <w:t>Celtic</w:t>
      </w:r>
      <w:r w:rsidR="0093331A">
        <w:t xml:space="preserve"> identity can be attributed to a sense of pride of national heritage, whereas </w:t>
      </w:r>
      <w:r w:rsidR="00E4695D">
        <w:t>c</w:t>
      </w:r>
      <w:r w:rsidR="0093331A">
        <w:t xml:space="preserve">eltosceptisism bases its </w:t>
      </w:r>
      <w:r w:rsidR="00E4695D">
        <w:t>beliefs</w:t>
      </w:r>
      <w:r w:rsidR="0093331A">
        <w:t xml:space="preserve"> in more of a school of “fact”, reviewing the niches within the historical and scientific differences. This area of debate </w:t>
      </w:r>
      <w:r w:rsidR="00077A0B">
        <w:t>is</w:t>
      </w:r>
      <w:r w:rsidR="0093331A">
        <w:t xml:space="preserve"> raised more frequently in comparison to their contemporaries such as the Germanic cultures</w:t>
      </w:r>
      <w:r w:rsidR="00761B6B">
        <w:t>, partially</w:t>
      </w:r>
      <w:r w:rsidR="00077A0B">
        <w:t xml:space="preserve"> </w:t>
      </w:r>
      <w:r w:rsidR="00537158">
        <w:t>d</w:t>
      </w:r>
      <w:r w:rsidR="00D84962">
        <w:t xml:space="preserve">ue to the lack of historical information on the </w:t>
      </w:r>
      <w:r w:rsidR="00761B6B">
        <w:t>Celts</w:t>
      </w:r>
      <w:r w:rsidR="00D84962">
        <w:t>. Without adequate historical documentation, the potential of embellishment or inaccuracies is more likely.</w:t>
      </w:r>
    </w:p>
    <w:p w14:paraId="3678C0DB" w14:textId="2B7078F4" w:rsidR="00D84962" w:rsidRPr="00E068D7" w:rsidRDefault="00D84962" w:rsidP="00D84962">
      <w:pPr>
        <w:rPr>
          <w:i/>
          <w:iCs/>
        </w:rPr>
      </w:pPr>
      <w:r w:rsidRPr="00E068D7">
        <w:rPr>
          <w:i/>
          <w:iCs/>
        </w:rPr>
        <w:t xml:space="preserve">Who </w:t>
      </w:r>
      <w:r w:rsidR="00077A0B" w:rsidRPr="00E068D7">
        <w:rPr>
          <w:i/>
          <w:iCs/>
        </w:rPr>
        <w:t>were</w:t>
      </w:r>
      <w:r w:rsidRPr="00E068D7">
        <w:rPr>
          <w:i/>
          <w:iCs/>
        </w:rPr>
        <w:t xml:space="preserve"> the Germanic tribes</w:t>
      </w:r>
      <w:r w:rsidR="00761B6B" w:rsidRPr="00E068D7">
        <w:rPr>
          <w:i/>
          <w:iCs/>
        </w:rPr>
        <w:t>?</w:t>
      </w:r>
    </w:p>
    <w:p w14:paraId="2C6B712C" w14:textId="74C06661" w:rsidR="00537158" w:rsidRDefault="00537158" w:rsidP="00D84962">
      <w:r>
        <w:t>The Germanic tribes of Britain and France are usually attributed to the power vacuum left from the Roman exodus of the 5</w:t>
      </w:r>
      <w:r w:rsidRPr="00537158">
        <w:rPr>
          <w:vertAlign w:val="superscript"/>
        </w:rPr>
        <w:t>th</w:t>
      </w:r>
      <w:r>
        <w:t xml:space="preserve"> Century and the further expansion of other migratory groups such as the Huns which added a sense of necessity to finding new land. The Germanic tribes include</w:t>
      </w:r>
      <w:r w:rsidR="00761B6B">
        <w:t xml:space="preserve"> the</w:t>
      </w:r>
      <w:r>
        <w:t xml:space="preserve"> Angles, Saxons and Jutes, </w:t>
      </w:r>
      <w:r w:rsidR="00761B6B">
        <w:t xml:space="preserve">who </w:t>
      </w:r>
      <w:r>
        <w:t xml:space="preserve">made up most of the migrators into Britain, and the Franks </w:t>
      </w:r>
      <w:r w:rsidR="00647F37">
        <w:t>who</w:t>
      </w:r>
      <w:r>
        <w:t xml:space="preserve"> settled in what is now France.</w:t>
      </w:r>
      <w:r w:rsidR="00DD7763">
        <w:rPr>
          <w:rStyle w:val="FootnoteReference"/>
        </w:rPr>
        <w:footnoteReference w:id="6"/>
      </w:r>
    </w:p>
    <w:p w14:paraId="74E8A11D" w14:textId="4464ABC6" w:rsidR="008C33ED" w:rsidRPr="00973B84" w:rsidRDefault="00537158">
      <w:r>
        <w:t xml:space="preserve">The migration period of </w:t>
      </w:r>
      <w:r w:rsidR="001926D4">
        <w:t>Germanic</w:t>
      </w:r>
      <w:r w:rsidR="00761B6B">
        <w:t xml:space="preserve"> tribes into </w:t>
      </w:r>
      <w:r>
        <w:t xml:space="preserve">Britain is also one of speculation, with varying potential reasons for occupation. </w:t>
      </w:r>
      <w:r w:rsidR="005F39F3">
        <w:t>The</w:t>
      </w:r>
      <w:r>
        <w:t xml:space="preserve"> post</w:t>
      </w:r>
      <w:r w:rsidR="001926D4">
        <w:t>-</w:t>
      </w:r>
      <w:r w:rsidR="005F39F3">
        <w:t>Romano</w:t>
      </w:r>
      <w:r>
        <w:t xml:space="preserve"> British were</w:t>
      </w:r>
      <w:r w:rsidR="005F39F3">
        <w:t xml:space="preserve"> recorded to be</w:t>
      </w:r>
      <w:r>
        <w:t xml:space="preserve"> “weak and demilitarised” following the occupation of the Romans,</w:t>
      </w:r>
      <w:r w:rsidR="005F39F3">
        <w:t xml:space="preserve"> and some sources suggest of </w:t>
      </w:r>
      <w:r w:rsidR="001926D4">
        <w:t>semi-</w:t>
      </w:r>
      <w:r w:rsidR="005F39F3">
        <w:t xml:space="preserve">legendary characters that came to Britain as mercenaries to fight off raiding Celtic tribes and eventually led to an opportunity for the Germanic warrior cultures to invade and push the inhabitants of West, into Wales and Cornwall. This theory has also come under scrutiny as genealogical and archaeological research suggests a more gradual migration and potential integration with the </w:t>
      </w:r>
      <w:r w:rsidR="001926D4">
        <w:t>post-</w:t>
      </w:r>
      <w:r w:rsidR="005F39F3">
        <w:t>Romano British.</w:t>
      </w:r>
      <w:r w:rsidR="00DD7763">
        <w:rPr>
          <w:rStyle w:val="FootnoteReference"/>
        </w:rPr>
        <w:footnoteReference w:id="7"/>
      </w:r>
      <w:r w:rsidR="005F39F3">
        <w:t xml:space="preserve"> </w:t>
      </w:r>
    </w:p>
    <w:p w14:paraId="064AE31E" w14:textId="27DA1240" w:rsidR="00160D23" w:rsidRPr="0033030C" w:rsidRDefault="00974103">
      <w:pPr>
        <w:rPr>
          <w:i/>
          <w:iCs/>
        </w:rPr>
      </w:pPr>
      <w:r w:rsidRPr="0033030C">
        <w:rPr>
          <w:i/>
          <w:iCs/>
        </w:rPr>
        <w:t>Historical Marginalisation</w:t>
      </w:r>
      <w:r w:rsidR="000714CE" w:rsidRPr="0033030C">
        <w:rPr>
          <w:i/>
          <w:iCs/>
        </w:rPr>
        <w:t xml:space="preserve"> and Cultural Assimilation</w:t>
      </w:r>
    </w:p>
    <w:p w14:paraId="48333955" w14:textId="2B530C04" w:rsidR="00216E64" w:rsidRDefault="00216E64">
      <w:r>
        <w:t xml:space="preserve">British Celts and their affiliated geographical regions have faced forms of marginalization throughout history. Due to several invasions and migrations </w:t>
      </w:r>
      <w:r w:rsidR="000714CE">
        <w:t xml:space="preserve">during </w:t>
      </w:r>
      <w:r>
        <w:t>their time on Britain, the Celtic nations have faced oppression. This begins with the expansion of the Roman Empire, which sought to influence and control the political structure, whilst also suppressing the Celtic language, traditions in culture, religion</w:t>
      </w:r>
      <w:r w:rsidR="000714CE">
        <w:t>,</w:t>
      </w:r>
      <w:r>
        <w:t xml:space="preserve"> and autonomy. The Anglo Saxons have been attributed to “pushing the </w:t>
      </w:r>
      <w:r w:rsidR="000714CE">
        <w:t xml:space="preserve">Celts </w:t>
      </w:r>
      <w:r>
        <w:t xml:space="preserve">westward, into </w:t>
      </w:r>
      <w:r>
        <w:lastRenderedPageBreak/>
        <w:t>Wales and Cornwall.</w:t>
      </w:r>
      <w:r w:rsidR="000714CE">
        <w:t>”</w:t>
      </w:r>
      <w:r w:rsidR="00D45F59">
        <w:rPr>
          <w:rStyle w:val="FootnoteReference"/>
        </w:rPr>
        <w:footnoteReference w:id="8"/>
      </w:r>
      <w:r>
        <w:t xml:space="preserve"> The Anglo Saxons are also the precursors and founders of the English Kingdom, which massed significant influence within the British Isles. Though Anglo-centric individuals may claim heritage to the emerging victorious faction, the Celto-centric side may hold resentment over this, as it is frequently linked to the foundations of English political dominance.</w:t>
      </w:r>
      <w:r w:rsidR="00DD7763">
        <w:rPr>
          <w:rStyle w:val="FootnoteReference"/>
        </w:rPr>
        <w:footnoteReference w:id="9"/>
      </w:r>
    </w:p>
    <w:p w14:paraId="0DA00216" w14:textId="266540F1" w:rsidR="00670314" w:rsidRDefault="00381583">
      <w:r>
        <w:t xml:space="preserve">Anglo-Saxon cultures slowly adapted into a collective English identity. Through this evolution, the English </w:t>
      </w:r>
      <w:r w:rsidR="002516AA">
        <w:t>culture</w:t>
      </w:r>
      <w:r>
        <w:t xml:space="preserve"> inherited</w:t>
      </w:r>
      <w:r w:rsidR="002516AA">
        <w:t xml:space="preserve"> several important cultural factors. Old English became the prevalent language within the British Isles, eventually adopted by the Celtic regions also. The conversion to Christianity within the 7</w:t>
      </w:r>
      <w:r w:rsidR="002516AA" w:rsidRPr="002516AA">
        <w:rPr>
          <w:vertAlign w:val="superscript"/>
        </w:rPr>
        <w:t>th</w:t>
      </w:r>
      <w:r w:rsidR="002516AA">
        <w:t xml:space="preserve"> Century brought Roman Catholic practices which aided in making Christianity the dominant religion on the island.</w:t>
      </w:r>
      <w:r w:rsidR="00DD7763">
        <w:rPr>
          <w:rStyle w:val="FootnoteReference"/>
        </w:rPr>
        <w:footnoteReference w:id="10"/>
      </w:r>
      <w:r w:rsidR="002516AA">
        <w:t xml:space="preserve"> A continuation of laws and traditions </w:t>
      </w:r>
      <w:r w:rsidR="00670314">
        <w:t>were acquired by the invading Normans, creating further historical and cultural ties to the Anglo-Saxons,</w:t>
      </w:r>
      <w:r w:rsidR="00DD7763">
        <w:rPr>
          <w:rStyle w:val="FootnoteReference"/>
        </w:rPr>
        <w:footnoteReference w:id="11"/>
      </w:r>
      <w:r w:rsidR="00670314">
        <w:t xml:space="preserve"> thus integrating a similarity in cultural and institutional areas of life.</w:t>
      </w:r>
    </w:p>
    <w:p w14:paraId="5D8D47FA" w14:textId="7290C32B" w:rsidR="00670314" w:rsidRDefault="00670314">
      <w:r>
        <w:t>Due to this, the fundamental principals of Anglo-Saxon culture can be witnessed through recorded history and compared with current cultural behaviour to create a traceable lineage of origin.</w:t>
      </w:r>
      <w:r w:rsidR="00DD7763">
        <w:rPr>
          <w:rStyle w:val="FootnoteReference"/>
        </w:rPr>
        <w:footnoteReference w:id="12"/>
      </w:r>
      <w:r w:rsidR="004840E5">
        <w:t xml:space="preserve"> </w:t>
      </w:r>
      <w:r w:rsidR="00077A0B">
        <w:t>This leads to less scrutiny due to the observable primary sources, thus creating legitimacy to cultural claims. In contrast to this, the Celtic culture is relying on fewer pieces of evidence. This leads to further uncertainty and may be perceived as left to interpretation.</w:t>
      </w:r>
    </w:p>
    <w:p w14:paraId="53B3F195" w14:textId="77777777" w:rsidR="00E068D7" w:rsidRDefault="00E068D7">
      <w:pPr>
        <w:rPr>
          <w:i/>
          <w:iCs/>
        </w:rPr>
      </w:pPr>
    </w:p>
    <w:p w14:paraId="0C587BBE" w14:textId="63EB449C" w:rsidR="00974103" w:rsidRPr="0033030C" w:rsidRDefault="00974103">
      <w:pPr>
        <w:rPr>
          <w:i/>
          <w:iCs/>
        </w:rPr>
      </w:pPr>
      <w:r w:rsidRPr="0033030C">
        <w:rPr>
          <w:i/>
          <w:iCs/>
        </w:rPr>
        <w:t>Romanticism</w:t>
      </w:r>
    </w:p>
    <w:p w14:paraId="763FCF16" w14:textId="0F349BAA" w:rsidR="00D84962" w:rsidRDefault="000714CE" w:rsidP="00D84962">
      <w:r>
        <w:t xml:space="preserve">The </w:t>
      </w:r>
      <w:r w:rsidR="006B0E9A">
        <w:t>revitalisation of the Celtic identity</w:t>
      </w:r>
      <w:r w:rsidR="007A4455">
        <w:t xml:space="preserve"> in the 18</w:t>
      </w:r>
      <w:r w:rsidR="007A4455" w:rsidRPr="007A4455">
        <w:rPr>
          <w:vertAlign w:val="superscript"/>
        </w:rPr>
        <w:t>th</w:t>
      </w:r>
      <w:r w:rsidR="007A4455">
        <w:t xml:space="preserve"> and 19</w:t>
      </w:r>
      <w:r w:rsidR="007A4455" w:rsidRPr="007A4455">
        <w:rPr>
          <w:vertAlign w:val="superscript"/>
        </w:rPr>
        <w:t>th</w:t>
      </w:r>
      <w:r w:rsidR="007A4455">
        <w:t xml:space="preserve"> centuries </w:t>
      </w:r>
      <w:r>
        <w:t xml:space="preserve">was </w:t>
      </w:r>
      <w:r w:rsidR="007A4455">
        <w:t xml:space="preserve">positive for the promotion of a </w:t>
      </w:r>
      <w:r w:rsidR="006A60DB">
        <w:t>mystical cultur</w:t>
      </w:r>
      <w:r w:rsidR="007A4455">
        <w:t>e in Britain</w:t>
      </w:r>
      <w:r w:rsidR="005A7413">
        <w:t xml:space="preserve"> </w:t>
      </w:r>
      <w:r>
        <w:t xml:space="preserve">and </w:t>
      </w:r>
      <w:r w:rsidR="007A4455">
        <w:t>benefited the “</w:t>
      </w:r>
      <w:r w:rsidR="005A4672">
        <w:t>Celtic</w:t>
      </w:r>
      <w:r w:rsidR="007A4455">
        <w:t xml:space="preserve">” nations in various ways, including tourism, </w:t>
      </w:r>
      <w:r>
        <w:t xml:space="preserve">art </w:t>
      </w:r>
      <w:r w:rsidR="007A4455">
        <w:t>and folklore</w:t>
      </w:r>
      <w:r w:rsidR="005A7413">
        <w:t xml:space="preserve">. </w:t>
      </w:r>
      <w:r>
        <w:t xml:space="preserve">However, the </w:t>
      </w:r>
      <w:r w:rsidR="005A7413">
        <w:t xml:space="preserve">folklore and revived traditions come under scrutiny due to </w:t>
      </w:r>
      <w:r>
        <w:t xml:space="preserve">their </w:t>
      </w:r>
      <w:r w:rsidR="005A7413">
        <w:t>“alien</w:t>
      </w:r>
      <w:r>
        <w:t>”</w:t>
      </w:r>
      <w:r w:rsidR="005A7413">
        <w:t xml:space="preserve"> nature in comparison to other more Anglocentric traditions. Due to the romanticism related to the revival, there can be a tendency to embrace “everything </w:t>
      </w:r>
      <w:r w:rsidR="005A4672">
        <w:t>Celtic</w:t>
      </w:r>
      <w:r w:rsidR="005A7413">
        <w:t>” regardless on level of substantiation</w:t>
      </w:r>
      <w:r w:rsidR="003660B5">
        <w:t xml:space="preserve"> such as James Macpherson’s ‘Poems of Ossian’ or in Wales, the ceremony of Maen Gorsedd</w:t>
      </w:r>
      <w:r w:rsidR="005A7413">
        <w:t xml:space="preserve">. </w:t>
      </w:r>
      <w:r w:rsidR="005A7413">
        <w:lastRenderedPageBreak/>
        <w:t>This further encourages scrutiny and sometimes cynicism to the newfound ancient claims.</w:t>
      </w:r>
      <w:r w:rsidR="00DD7763">
        <w:rPr>
          <w:rStyle w:val="FootnoteReference"/>
        </w:rPr>
        <w:footnoteReference w:id="13"/>
      </w:r>
    </w:p>
    <w:p w14:paraId="0FC06B91" w14:textId="77777777" w:rsidR="00E068D7" w:rsidRPr="00E068D7" w:rsidRDefault="00E068D7" w:rsidP="00D84962"/>
    <w:p w14:paraId="2D2C68BB" w14:textId="77777777" w:rsidR="00C8123A" w:rsidRDefault="00C8123A" w:rsidP="0018100E">
      <w:pPr>
        <w:rPr>
          <w:i/>
          <w:iCs/>
        </w:rPr>
      </w:pPr>
      <w:r>
        <w:rPr>
          <w:i/>
          <w:iCs/>
        </w:rPr>
        <w:t>Cultural and Linguistic Legacy</w:t>
      </w:r>
    </w:p>
    <w:p w14:paraId="53D0A95B" w14:textId="1C0A55F2" w:rsidR="0018100E" w:rsidRPr="00D84962" w:rsidRDefault="0018100E" w:rsidP="0018100E">
      <w:r>
        <w:t>The English language has foundations mostly in Old English, which developed from Proto-Germanic, and French, due to the Norma</w:t>
      </w:r>
      <w:r w:rsidR="00CC5CEC">
        <w:t>n</w:t>
      </w:r>
      <w:r>
        <w:t xml:space="preserve"> invasion and consequent monarchical inheritance of dynasties from French Descent. French was the first language of most of the nobility during the reign of the Angevin and Plantagenet dynasties, whereas Old English was spoken more commonly by commoners and peasantry.</w:t>
      </w:r>
      <w:r w:rsidR="00DD7763">
        <w:rPr>
          <w:rStyle w:val="FootnoteReference"/>
        </w:rPr>
        <w:footnoteReference w:id="14"/>
      </w:r>
      <w:r>
        <w:t xml:space="preserve"> </w:t>
      </w:r>
    </w:p>
    <w:p w14:paraId="3C925EB4" w14:textId="7D6B9289" w:rsidR="00D84962" w:rsidRDefault="00D84962" w:rsidP="00D84962">
      <w:r w:rsidRPr="00D84962">
        <w:t>Whilst the Normans originally trace their ancestry back to Scandinavia, they adopted much of the French culture and developing uniformity with their contemporaries. Following the successful invasion of William I, a gradual hybridisation of culture slowly manifested. The French culture also has Germanic roots, which has significantly influenced modern day culture, thus making Germanic culture in northwestern Europe to be the prevalent base of beliefs religiously, politically and culturally.</w:t>
      </w:r>
      <w:r w:rsidR="00DD7763">
        <w:rPr>
          <w:rStyle w:val="FootnoteReference"/>
        </w:rPr>
        <w:footnoteReference w:id="15"/>
      </w:r>
    </w:p>
    <w:p w14:paraId="4759A14D" w14:textId="7FD28569" w:rsidR="00001818" w:rsidRDefault="00001818" w:rsidP="00001818">
      <w:r>
        <w:t xml:space="preserve">Due to the dominating history of England, and other countries with Germanic origins, the customs of such cultures have become the norm, thus </w:t>
      </w:r>
      <w:r w:rsidR="006B3FE3">
        <w:t>implying that</w:t>
      </w:r>
      <w:r>
        <w:t xml:space="preserve"> the customs from countries such as France, Germany and England would be considered </w:t>
      </w:r>
      <w:r w:rsidR="006B3FE3">
        <w:t>similar</w:t>
      </w:r>
      <w:r>
        <w:t xml:space="preserve"> and therefore more accepted. Customs from other cultures could seem out of the ordinary, thus questioned more critically.</w:t>
      </w:r>
    </w:p>
    <w:p w14:paraId="122A3973" w14:textId="5C98033F" w:rsidR="00162020" w:rsidRPr="005A7413" w:rsidRDefault="00162020" w:rsidP="00001818">
      <w:r>
        <w:t xml:space="preserve">However, this is not to say that the </w:t>
      </w:r>
      <w:r w:rsidR="002E227A">
        <w:t>Anglo-Saxon</w:t>
      </w:r>
      <w:r>
        <w:t xml:space="preserve"> information is not analysed and scrutinised frequently. The lack of information surrounding the Anglo-Saxon migration period is frequently discussed, analysing data from linguistic, genetic and cultural information.</w:t>
      </w:r>
      <w:r w:rsidR="00DD7763">
        <w:rPr>
          <w:rStyle w:val="FootnoteReference"/>
        </w:rPr>
        <w:footnoteReference w:id="16"/>
      </w:r>
    </w:p>
    <w:p w14:paraId="564804D8" w14:textId="77777777" w:rsidR="00D84962" w:rsidRPr="0033030C" w:rsidRDefault="00D84962" w:rsidP="00D84962">
      <w:pPr>
        <w:rPr>
          <w:i/>
          <w:iCs/>
        </w:rPr>
      </w:pPr>
      <w:r w:rsidRPr="0033030C">
        <w:rPr>
          <w:i/>
          <w:iCs/>
        </w:rPr>
        <w:t>Religion</w:t>
      </w:r>
    </w:p>
    <w:p w14:paraId="23EEAA10" w14:textId="6E28E1C6" w:rsidR="00D84962" w:rsidRPr="00D84962" w:rsidRDefault="00D84962" w:rsidP="00D84962">
      <w:r w:rsidRPr="00D84962">
        <w:t xml:space="preserve">The Celts of Britain initially practiced a unique form of druidic polytheism, in which their spiritual leaders, the druids, were influential in both religious authority as well as </w:t>
      </w:r>
      <w:r w:rsidRPr="00D84962">
        <w:lastRenderedPageBreak/>
        <w:t>educational and historical. Due to the mysticism and lack of thorough understanding and evidence of the pre-</w:t>
      </w:r>
      <w:r w:rsidR="005F39F3" w:rsidRPr="00D84962">
        <w:t>Christianised</w:t>
      </w:r>
      <w:r w:rsidRPr="00D84962">
        <w:t xml:space="preserve"> </w:t>
      </w:r>
      <w:r w:rsidR="00B12CCF">
        <w:t>C</w:t>
      </w:r>
      <w:r w:rsidRPr="00D84962">
        <w:t>elts</w:t>
      </w:r>
      <w:r w:rsidR="00DD7763">
        <w:t>.</w:t>
      </w:r>
      <w:r w:rsidR="00DD7763">
        <w:rPr>
          <w:rStyle w:val="FootnoteReference"/>
        </w:rPr>
        <w:footnoteReference w:id="17"/>
      </w:r>
    </w:p>
    <w:p w14:paraId="15FEE841" w14:textId="078B1CC2" w:rsidR="00D84962" w:rsidRPr="00D84962" w:rsidRDefault="00D84962" w:rsidP="00D84962">
      <w:r w:rsidRPr="00D84962">
        <w:t xml:space="preserve">British religion in general has seen different </w:t>
      </w:r>
      <w:r w:rsidR="00C8123A">
        <w:t>theisms</w:t>
      </w:r>
      <w:r w:rsidR="00C8123A" w:rsidRPr="00D84962">
        <w:t xml:space="preserve"> </w:t>
      </w:r>
      <w:r w:rsidRPr="00D84962">
        <w:t xml:space="preserve">come and go. The inhabitants from the </w:t>
      </w:r>
      <w:r w:rsidR="005F39F3" w:rsidRPr="00D84962">
        <w:t>Germanic</w:t>
      </w:r>
      <w:r w:rsidRPr="00D84962">
        <w:t xml:space="preserve"> culture eventually converted to Roman Christianity through Kent’s ties with the Franks. This uniformity in religion with Europe and centrally, the pope, aides in giving a linear narrative with the rest of Europe and far less likely to come under scrutiny from the writers in medieval Britain, who usually tended to be individuals or organisations within the monastic class.</w:t>
      </w:r>
      <w:r w:rsidR="00DD7763">
        <w:rPr>
          <w:rStyle w:val="FootnoteReference"/>
        </w:rPr>
        <w:footnoteReference w:id="18"/>
      </w:r>
    </w:p>
    <w:p w14:paraId="6F20C12E" w14:textId="75C28974" w:rsidR="00D84962" w:rsidRPr="00D84962" w:rsidRDefault="00D84962" w:rsidP="00D84962">
      <w:r w:rsidRPr="00D84962">
        <w:t>Whereas the Celtic population believed in Celtic Christianity, which, although sharing similar fundamental beliefs within Christianity, diverged in uniformity on important dates such as Easter.</w:t>
      </w:r>
      <w:r w:rsidR="00DD7763">
        <w:rPr>
          <w:rStyle w:val="FootnoteReference"/>
        </w:rPr>
        <w:footnoteReference w:id="19"/>
      </w:r>
    </w:p>
    <w:p w14:paraId="7CF30D98" w14:textId="0A3FE8B4" w:rsidR="00D84962" w:rsidRDefault="00C8123A" w:rsidP="00D84962">
      <w:pPr>
        <w:rPr>
          <w:i/>
          <w:iCs/>
        </w:rPr>
      </w:pPr>
      <w:r w:rsidRPr="0033030C">
        <w:rPr>
          <w:i/>
          <w:iCs/>
        </w:rPr>
        <w:t>Contemporary</w:t>
      </w:r>
      <w:r w:rsidRPr="00C8123A">
        <w:rPr>
          <w:i/>
          <w:iCs/>
        </w:rPr>
        <w:t xml:space="preserve"> and Historical</w:t>
      </w:r>
      <w:r w:rsidRPr="0033030C">
        <w:rPr>
          <w:i/>
          <w:iCs/>
        </w:rPr>
        <w:t xml:space="preserve"> </w:t>
      </w:r>
      <w:r w:rsidR="00001818">
        <w:rPr>
          <w:i/>
          <w:iCs/>
        </w:rPr>
        <w:t>Accounts</w:t>
      </w:r>
    </w:p>
    <w:p w14:paraId="3185D870" w14:textId="12DB281C" w:rsidR="006B3FE3" w:rsidRPr="006B3FE3" w:rsidRDefault="006B3FE3" w:rsidP="00D84962">
      <w:r>
        <w:t xml:space="preserve">The opposing views are prevalent in the study of Celtic identity due, in part, to the lack of written records produced by the pre-Roman Celts. The ambiguity of Celtic historical evidence requires further scrutiny to ensure information about the culture is accurate, as written evidence comes from external and/or biased sources, such as Julius Caesar’s Commentarii de Bello Gallico which aimed at simplifying his reporting of known “barbarian” tribes into a single cultural entity. This allowed him to combine these tribes based on the cultural similarities such as language, religion and lifestyle </w:t>
      </w:r>
      <w:r w:rsidR="00E62304">
        <w:t>to</w:t>
      </w:r>
      <w:r>
        <w:t xml:space="preserve"> promote his interests of expanding the Roman borders, and enabled the depiction of the Celts as a formidable challenge to Roman authority.</w:t>
      </w:r>
      <w:r w:rsidR="00DD7763">
        <w:rPr>
          <w:rStyle w:val="FootnoteReference"/>
        </w:rPr>
        <w:footnoteReference w:id="20"/>
      </w:r>
    </w:p>
    <w:p w14:paraId="24C8C409" w14:textId="66BD8262" w:rsidR="00B021B5" w:rsidRDefault="00B021B5" w:rsidP="00D84962">
      <w:r>
        <w:t>Gildas</w:t>
      </w:r>
      <w:r w:rsidR="006B3FE3">
        <w:t>,</w:t>
      </w:r>
      <w:r>
        <w:t xml:space="preserve"> who wrote the only surviving historical accounts from the 6</w:t>
      </w:r>
      <w:r w:rsidRPr="00B021B5">
        <w:rPr>
          <w:vertAlign w:val="superscript"/>
        </w:rPr>
        <w:t>th</w:t>
      </w:r>
      <w:r>
        <w:t xml:space="preserve"> century, portrays the </w:t>
      </w:r>
      <w:r w:rsidR="00C8123A">
        <w:t xml:space="preserve">Celts </w:t>
      </w:r>
      <w:r>
        <w:t xml:space="preserve">negatively, suggesting that the Anglo </w:t>
      </w:r>
      <w:r w:rsidR="00C8123A">
        <w:t>Saxon “</w:t>
      </w:r>
      <w:r>
        <w:t xml:space="preserve">invasions” were a divine punishment from </w:t>
      </w:r>
      <w:r w:rsidR="00C8123A">
        <w:t xml:space="preserve">God </w:t>
      </w:r>
      <w:r>
        <w:t>for their “sinful behaviour” and “neglect of Christian principles”. He also commented on their division, giving further reason for scrutiny when referring to a unified culture.</w:t>
      </w:r>
      <w:r w:rsidR="00DD7763">
        <w:rPr>
          <w:rStyle w:val="FootnoteReference"/>
        </w:rPr>
        <w:footnoteReference w:id="21"/>
      </w:r>
    </w:p>
    <w:p w14:paraId="2D9D2765" w14:textId="316A6982" w:rsidR="00647F37" w:rsidRDefault="004D30F1" w:rsidP="00D84962">
      <w:pPr>
        <w:rPr>
          <w:b/>
          <w:bCs/>
        </w:rPr>
      </w:pPr>
      <w:r>
        <w:t>The Anglo-Saxon monk, Bede’s</w:t>
      </w:r>
      <w:r w:rsidR="00B12CCF">
        <w:t>,</w:t>
      </w:r>
      <w:r>
        <w:t xml:space="preserve"> comments about the Celts on Britain reflect on their decline and lost of territory and subsequently, their marginalisation. Whilst Bede’s</w:t>
      </w:r>
      <w:r w:rsidR="006B3FE3">
        <w:t xml:space="preserve"> dominant</w:t>
      </w:r>
      <w:r>
        <w:t xml:space="preserve"> </w:t>
      </w:r>
      <w:r w:rsidR="006B3FE3">
        <w:t>focus</w:t>
      </w:r>
      <w:r>
        <w:t xml:space="preserve"> on his writing was to promote the </w:t>
      </w:r>
      <w:r w:rsidR="00C8123A">
        <w:t xml:space="preserve">legitimacy </w:t>
      </w:r>
      <w:r>
        <w:t xml:space="preserve">of the Anglo-Saxons, or </w:t>
      </w:r>
      <w:r>
        <w:lastRenderedPageBreak/>
        <w:t>more accurately, certain Anglo-Saxon regions, such as Northumbria, where he resided, it is clear there is unfair bias.</w:t>
      </w:r>
      <w:r w:rsidR="00DD7763">
        <w:rPr>
          <w:rStyle w:val="FootnoteReference"/>
        </w:rPr>
        <w:footnoteReference w:id="22"/>
      </w:r>
    </w:p>
    <w:p w14:paraId="09430ECA" w14:textId="15193A71" w:rsidR="006B0E9A" w:rsidRPr="00E068D7" w:rsidRDefault="00B021B5">
      <w:pPr>
        <w:rPr>
          <w:i/>
          <w:iCs/>
        </w:rPr>
      </w:pPr>
      <w:r w:rsidRPr="00E068D7">
        <w:rPr>
          <w:i/>
          <w:iCs/>
        </w:rPr>
        <w:t>Is the scrutiny fair?</w:t>
      </w:r>
    </w:p>
    <w:p w14:paraId="02E18495" w14:textId="69272706" w:rsidR="00A0258D" w:rsidRDefault="00A0258D" w:rsidP="00A0258D">
      <w:r>
        <w:t xml:space="preserve">Part of the reason the Celtic identity is scrutinised more than that of the Germanic tribes is partly due to available historical references. The period of the Celtic migrations was </w:t>
      </w:r>
      <w:r w:rsidR="007D6556">
        <w:t>circa 1000BCE</w:t>
      </w:r>
      <w:r w:rsidR="00DD7763">
        <w:rPr>
          <w:rStyle w:val="FootnoteReference"/>
        </w:rPr>
        <w:footnoteReference w:id="23"/>
      </w:r>
      <w:r w:rsidRPr="00A0258D">
        <w:t>,</w:t>
      </w:r>
      <w:r>
        <w:t xml:space="preserve"> whereas the Germanic migrations took place </w:t>
      </w:r>
      <w:r w:rsidR="007D6556">
        <w:t xml:space="preserve">circa </w:t>
      </w:r>
      <w:r w:rsidR="007D6556" w:rsidRPr="007D6556">
        <w:t>4</w:t>
      </w:r>
      <w:r w:rsidR="00B12CCF">
        <w:t>49</w:t>
      </w:r>
      <w:r w:rsidR="007D6556">
        <w:t>CE.</w:t>
      </w:r>
      <w:r w:rsidR="00DD7763">
        <w:rPr>
          <w:rStyle w:val="FootnoteReference"/>
        </w:rPr>
        <w:footnoteReference w:id="24"/>
      </w:r>
      <w:r w:rsidR="007D6556">
        <w:t xml:space="preserve"> </w:t>
      </w:r>
      <w:r>
        <w:t>Due to the relative modernity of Germanic migrations, there is more written evidence, especially in areas such as Britain.</w:t>
      </w:r>
      <w:r w:rsidR="00D91997">
        <w:t xml:space="preserve"> Due to this, there could be a temptation to embellish the sparse information to inflate mythology or the Celtic culture itself.</w:t>
      </w:r>
      <w:r w:rsidR="00DD7763">
        <w:rPr>
          <w:rStyle w:val="FootnoteReference"/>
        </w:rPr>
        <w:footnoteReference w:id="25"/>
      </w:r>
    </w:p>
    <w:p w14:paraId="544351AD" w14:textId="3D17838F" w:rsidR="00B021B5" w:rsidRDefault="00E56FD8">
      <w:r>
        <w:t xml:space="preserve">The patriotism of the Celtic nations is one of the primary fundamental forces behind </w:t>
      </w:r>
      <w:r w:rsidR="00C8123A">
        <w:t xml:space="preserve">Celtomania, </w:t>
      </w:r>
      <w:r w:rsidR="00F663CD">
        <w:t>though t</w:t>
      </w:r>
      <w:r w:rsidR="00B021B5">
        <w:t xml:space="preserve">he cultural pride of the Celtic areas of Britain comes under scrutiny due to the potential for distortion of facts to further mythologise its roots. The limited information through historical sources tends to come from the suppressors as opposed to the </w:t>
      </w:r>
      <w:r w:rsidR="00001818">
        <w:t xml:space="preserve">Celts </w:t>
      </w:r>
      <w:r w:rsidR="00B021B5">
        <w:t xml:space="preserve">themselves. </w:t>
      </w:r>
    </w:p>
    <w:p w14:paraId="09BF3D26" w14:textId="469F42F4" w:rsidR="006E64BB" w:rsidRDefault="007D6556">
      <w:r>
        <w:t>Greeks and Romans described Celtic migrations, although they did not refer to the inhabitants of Britain as “Celts</w:t>
      </w:r>
      <w:proofErr w:type="gramStart"/>
      <w:r>
        <w:t>”.</w:t>
      </w:r>
      <w:proofErr w:type="gramEnd"/>
      <w:r>
        <w:t xml:space="preserve"> </w:t>
      </w:r>
      <w:r>
        <w:t>Whereas t</w:t>
      </w:r>
      <w:r>
        <w:t>he Anglo-Saxon Migrations are well documented,</w:t>
      </w:r>
      <w:r>
        <w:t xml:space="preserve"> in comparison. These documents were</w:t>
      </w:r>
      <w:r>
        <w:t xml:space="preserve"> predominantly</w:t>
      </w:r>
      <w:r>
        <w:t xml:space="preserve"> written</w:t>
      </w:r>
      <w:r>
        <w:t xml:space="preserve"> by monks</w:t>
      </w:r>
      <w:r>
        <w:t xml:space="preserve"> </w:t>
      </w:r>
      <w:r>
        <w:t xml:space="preserve">within the Anglo-Saxon period. </w:t>
      </w:r>
      <w:r w:rsidR="006E64BB">
        <w:t xml:space="preserve">Due to the lack of written </w:t>
      </w:r>
      <w:r w:rsidR="00001818">
        <w:t>Celtic</w:t>
      </w:r>
      <w:r w:rsidR="006E64BB">
        <w:t xml:space="preserve"> sources through antiquity and the medieval era, scholars must look at the information provided by external perspectives. This could </w:t>
      </w:r>
      <w:r w:rsidR="00E56FD8">
        <w:t xml:space="preserve">further encourage the Celtomaniacs to create their own version of history and culture, which cannot be attributed to any factual sources. This further raises the question of authenticity when discussing topics such as mythology and folklore, which, throughout history, has played </w:t>
      </w:r>
      <w:r w:rsidR="00D91997">
        <w:t>a significant role</w:t>
      </w:r>
      <w:r w:rsidR="00E56FD8">
        <w:t xml:space="preserve"> </w:t>
      </w:r>
      <w:r w:rsidR="00D91997">
        <w:t>in</w:t>
      </w:r>
      <w:r w:rsidR="00E56FD8">
        <w:t xml:space="preserve"> providing a perspective into the beliefs and culture of individual cultures.</w:t>
      </w:r>
      <w:r w:rsidR="00DD7763">
        <w:rPr>
          <w:rStyle w:val="FootnoteReference"/>
        </w:rPr>
        <w:footnoteReference w:id="26"/>
      </w:r>
    </w:p>
    <w:p w14:paraId="42C14E2F" w14:textId="150B877F" w:rsidR="00E56FD8" w:rsidRDefault="00E56FD8">
      <w:r>
        <w:t>This is contrasted with the Anglo-Saxons where, though sparse and still somewhat biased, historical texts can be studied and analysed more clearly which provides an adaptive perspective on the culture and history of that time.</w:t>
      </w:r>
    </w:p>
    <w:p w14:paraId="35F6CD7B" w14:textId="4009ED11" w:rsidR="00E56FD8" w:rsidRDefault="00E56FD8">
      <w:r>
        <w:lastRenderedPageBreak/>
        <w:t xml:space="preserve">The broadness of the collective identity also plays a part in the scepticism. The collective identity of “Celts on Britain” fails to delve into the cultural, </w:t>
      </w:r>
      <w:r w:rsidR="00D91997">
        <w:t>historical,</w:t>
      </w:r>
      <w:r>
        <w:t xml:space="preserve"> and genealogical differences of each region which claims the Celtic heritage.</w:t>
      </w:r>
    </w:p>
    <w:p w14:paraId="2366391D" w14:textId="1DC6EFD1" w:rsidR="008C33ED" w:rsidRPr="00D91997" w:rsidRDefault="00F663CD">
      <w:r>
        <w:t xml:space="preserve">The higher levels of scrutiny of the Celtic identity seem to come from a place of correcting </w:t>
      </w:r>
      <w:r w:rsidR="00E62304">
        <w:t>misconceptions about cultural origins</w:t>
      </w:r>
      <w:r>
        <w:t xml:space="preserve"> or substantiating claims. </w:t>
      </w:r>
      <w:r w:rsidR="00D91997">
        <w:t xml:space="preserve">Whilst the criticism is more frequent within </w:t>
      </w:r>
      <w:r w:rsidR="00D91997" w:rsidRPr="00D91997">
        <w:t>the Celtomania and Celtoscepticism</w:t>
      </w:r>
      <w:r w:rsidR="00D91997" w:rsidRPr="00D91997">
        <w:rPr>
          <w:b/>
          <w:bCs/>
        </w:rPr>
        <w:t> </w:t>
      </w:r>
      <w:r w:rsidR="00D91997" w:rsidRPr="00D91997">
        <w:t>debate,</w:t>
      </w:r>
      <w:r w:rsidR="00D91997">
        <w:t xml:space="preserve"> the levels of scrutiny may be warranted due to the lack of primary source evidence. When the victors write history, it may be inflated or embellished for political gain. Whereas the desire of modern Britons who identify themselves as Celts may also alter or adapt stories either to broaden their own mythology or attempt to fill in missing information within records.</w:t>
      </w:r>
      <w:r w:rsidR="00557268">
        <w:t xml:space="preserve"> This may indicate that there is </w:t>
      </w:r>
      <w:r w:rsidR="00110F1A">
        <w:t>fair</w:t>
      </w:r>
      <w:r w:rsidR="00557268">
        <w:t xml:space="preserve"> scrutiny on the subject as much as there may be more.</w:t>
      </w:r>
    </w:p>
    <w:p w14:paraId="6A84647F" w14:textId="77777777" w:rsidR="00D84962" w:rsidRDefault="00D84962"/>
    <w:p w14:paraId="49D07A89" w14:textId="77777777" w:rsidR="004527F6" w:rsidRDefault="004527F6"/>
    <w:p w14:paraId="4F86182E" w14:textId="77777777" w:rsidR="004527F6" w:rsidRDefault="004527F6"/>
    <w:p w14:paraId="37A26F79" w14:textId="77777777" w:rsidR="004527F6" w:rsidRDefault="004527F6"/>
    <w:p w14:paraId="790E2695" w14:textId="77777777" w:rsidR="004527F6" w:rsidRDefault="004527F6"/>
    <w:p w14:paraId="0B690176" w14:textId="77777777" w:rsidR="004527F6" w:rsidRDefault="004527F6"/>
    <w:p w14:paraId="30B09239" w14:textId="77777777" w:rsidR="004527F6" w:rsidRDefault="004527F6"/>
    <w:p w14:paraId="1EF5D308" w14:textId="77777777" w:rsidR="004527F6" w:rsidRDefault="004527F6"/>
    <w:p w14:paraId="39A553CD" w14:textId="77777777" w:rsidR="004527F6" w:rsidRDefault="004527F6"/>
    <w:p w14:paraId="2C7508DA" w14:textId="77777777" w:rsidR="004527F6" w:rsidRDefault="004527F6"/>
    <w:p w14:paraId="02156FF9" w14:textId="77777777" w:rsidR="004527F6" w:rsidRDefault="004527F6"/>
    <w:p w14:paraId="2F7541EC" w14:textId="77777777" w:rsidR="004527F6" w:rsidRDefault="004527F6"/>
    <w:p w14:paraId="758A505B" w14:textId="77777777" w:rsidR="004527F6" w:rsidRDefault="004527F6"/>
    <w:p w14:paraId="7FC6F5D6" w14:textId="77777777" w:rsidR="004527F6" w:rsidRDefault="004527F6"/>
    <w:p w14:paraId="2DD42CBA" w14:textId="77777777" w:rsidR="004527F6" w:rsidRDefault="004527F6"/>
    <w:p w14:paraId="75E98BE9" w14:textId="77777777" w:rsidR="004527F6" w:rsidRDefault="004527F6"/>
    <w:p w14:paraId="4E375107" w14:textId="77777777" w:rsidR="004527F6" w:rsidRDefault="004527F6"/>
    <w:p w14:paraId="302E3544" w14:textId="77777777" w:rsidR="004527F6" w:rsidRDefault="004527F6"/>
    <w:p w14:paraId="336B665C" w14:textId="77777777" w:rsidR="00E61ABF" w:rsidRDefault="00E61ABF">
      <w:pPr>
        <w:rPr>
          <w:rFonts w:asciiTheme="majorHAnsi" w:hAnsiTheme="majorHAnsi"/>
          <w:i/>
          <w:iCs/>
          <w:sz w:val="28"/>
          <w:szCs w:val="28"/>
        </w:rPr>
      </w:pPr>
    </w:p>
    <w:p w14:paraId="183436E9" w14:textId="41C8121B" w:rsidR="00ED58A8" w:rsidRDefault="00E61ABF">
      <w:pPr>
        <w:rPr>
          <w:rFonts w:asciiTheme="majorHAnsi" w:hAnsiTheme="majorHAnsi"/>
          <w:i/>
          <w:iCs/>
          <w:sz w:val="28"/>
          <w:szCs w:val="28"/>
        </w:rPr>
      </w:pPr>
      <w:r w:rsidRPr="00E61ABF">
        <w:rPr>
          <w:rFonts w:asciiTheme="majorHAnsi" w:hAnsiTheme="majorHAnsi"/>
          <w:i/>
          <w:iCs/>
          <w:sz w:val="28"/>
          <w:szCs w:val="28"/>
        </w:rPr>
        <w:lastRenderedPageBreak/>
        <w:t>Reference List</w:t>
      </w:r>
    </w:p>
    <w:p w14:paraId="55AD904B" w14:textId="77777777" w:rsidR="004527F6" w:rsidRPr="00D82564" w:rsidRDefault="004527F6" w:rsidP="004527F6">
      <w:pPr>
        <w:ind w:left="720" w:hanging="720"/>
        <w:rPr>
          <w:sz w:val="22"/>
          <w:szCs w:val="22"/>
        </w:rPr>
      </w:pPr>
      <w:r>
        <w:rPr>
          <w:sz w:val="22"/>
          <w:szCs w:val="22"/>
        </w:rPr>
        <w:t xml:space="preserve">Bennett, </w:t>
      </w:r>
      <w:r w:rsidRPr="00D82564">
        <w:rPr>
          <w:sz w:val="22"/>
          <w:szCs w:val="22"/>
        </w:rPr>
        <w:t xml:space="preserve">Isabella, </w:t>
      </w:r>
      <w:r w:rsidRPr="00E61ABF">
        <w:rPr>
          <w:i/>
          <w:iCs/>
          <w:sz w:val="22"/>
          <w:szCs w:val="22"/>
        </w:rPr>
        <w:t>6 ways Anglo-Saxon Invasion Shaped British Culture</w:t>
      </w:r>
      <w:r w:rsidRPr="00D82564">
        <w:rPr>
          <w:sz w:val="22"/>
          <w:szCs w:val="22"/>
        </w:rPr>
        <w:t>, Ages of Albion &lt;</w:t>
      </w:r>
      <w:r w:rsidRPr="00E61ABF">
        <w:rPr>
          <w:sz w:val="22"/>
          <w:szCs w:val="22"/>
        </w:rPr>
        <w:t>https://agesofalbion.com/anglo-saxon/6-ways-anglo-saxon-invasion-shaped-british-culture/</w:t>
      </w:r>
      <w:r w:rsidRPr="00D82564">
        <w:rPr>
          <w:sz w:val="22"/>
          <w:szCs w:val="22"/>
        </w:rPr>
        <w:t>&gt;</w:t>
      </w:r>
      <w:r>
        <w:rPr>
          <w:sz w:val="22"/>
          <w:szCs w:val="22"/>
        </w:rPr>
        <w:t xml:space="preserve"> </w:t>
      </w:r>
      <w:r w:rsidRPr="00D82564">
        <w:rPr>
          <w:sz w:val="22"/>
          <w:szCs w:val="22"/>
        </w:rPr>
        <w:t>[Accessed 27 December 2024]</w:t>
      </w:r>
    </w:p>
    <w:p w14:paraId="6C008D84" w14:textId="1B18024C" w:rsidR="00FA1698" w:rsidRPr="00D82564" w:rsidRDefault="004527F6" w:rsidP="004527F6">
      <w:pPr>
        <w:pStyle w:val="FootnoteText"/>
        <w:spacing w:after="240"/>
        <w:ind w:left="720" w:hanging="720"/>
        <w:rPr>
          <w:sz w:val="22"/>
          <w:szCs w:val="22"/>
        </w:rPr>
      </w:pPr>
      <w:r>
        <w:rPr>
          <w:sz w:val="22"/>
          <w:szCs w:val="22"/>
        </w:rPr>
        <w:t xml:space="preserve">Caesar, </w:t>
      </w:r>
      <w:r w:rsidRPr="004527F6">
        <w:rPr>
          <w:sz w:val="22"/>
          <w:szCs w:val="22"/>
        </w:rPr>
        <w:t xml:space="preserve">Julius, </w:t>
      </w:r>
      <w:r w:rsidRPr="004527F6">
        <w:rPr>
          <w:i/>
          <w:iCs/>
          <w:sz w:val="22"/>
          <w:szCs w:val="22"/>
        </w:rPr>
        <w:t>De Bello Gallico, 53BCE</w:t>
      </w:r>
      <w:r w:rsidRPr="004527F6">
        <w:rPr>
          <w:sz w:val="22"/>
          <w:szCs w:val="22"/>
        </w:rPr>
        <w:t>, trans. by W. A. McDevitte (Project Gutenberg, 2020) &lt;https://www.gutenberg.org/cache/epub/10657/pg10657-images.html&gt; [accessed 27/12/2024]</w:t>
      </w:r>
    </w:p>
    <w:p w14:paraId="3CBDFB53" w14:textId="4D609F47" w:rsidR="00FA1698" w:rsidRPr="00E61ABF" w:rsidRDefault="00FA1698" w:rsidP="00222AF7">
      <w:pPr>
        <w:pStyle w:val="FootnoteText"/>
        <w:ind w:left="720" w:hanging="720"/>
        <w:rPr>
          <w:sz w:val="22"/>
          <w:szCs w:val="22"/>
        </w:rPr>
      </w:pPr>
      <w:r w:rsidRPr="00E61ABF">
        <w:rPr>
          <w:sz w:val="22"/>
          <w:szCs w:val="22"/>
        </w:rPr>
        <w:t xml:space="preserve">Centre of Excellence, </w:t>
      </w:r>
      <w:r w:rsidRPr="00E61ABF">
        <w:rPr>
          <w:i/>
          <w:iCs/>
          <w:sz w:val="22"/>
          <w:szCs w:val="22"/>
        </w:rPr>
        <w:t>History of the English Language</w:t>
      </w:r>
      <w:r w:rsidR="004527F6">
        <w:rPr>
          <w:sz w:val="22"/>
          <w:szCs w:val="22"/>
        </w:rPr>
        <w:t xml:space="preserve"> </w:t>
      </w:r>
      <w:r w:rsidR="00D82564" w:rsidRPr="00E61ABF">
        <w:rPr>
          <w:rFonts w:cs="Arial"/>
          <w:sz w:val="22"/>
          <w:szCs w:val="22"/>
        </w:rPr>
        <w:t>&lt;</w:t>
      </w:r>
      <w:r w:rsidRPr="00E61ABF">
        <w:rPr>
          <w:sz w:val="22"/>
          <w:szCs w:val="22"/>
        </w:rPr>
        <w:t>https://www.centreofexcellence.com/history-of-the-english-language/&gt;</w:t>
      </w:r>
      <w:r w:rsidR="00395A66" w:rsidRPr="00E61ABF">
        <w:rPr>
          <w:sz w:val="22"/>
          <w:szCs w:val="22"/>
        </w:rPr>
        <w:t xml:space="preserve"> </w:t>
      </w:r>
      <w:r w:rsidR="00395A66" w:rsidRPr="00E61ABF">
        <w:rPr>
          <w:sz w:val="22"/>
          <w:szCs w:val="22"/>
        </w:rPr>
        <w:t>[Accessed 27 December 2024]</w:t>
      </w:r>
    </w:p>
    <w:p w14:paraId="2588874E" w14:textId="77777777" w:rsidR="00E61ABF" w:rsidRPr="00E61ABF" w:rsidRDefault="00E61ABF" w:rsidP="00222AF7">
      <w:pPr>
        <w:pStyle w:val="FootnoteText"/>
        <w:ind w:left="720" w:hanging="720"/>
        <w:rPr>
          <w:sz w:val="22"/>
          <w:szCs w:val="22"/>
        </w:rPr>
      </w:pPr>
    </w:p>
    <w:p w14:paraId="5A74B983" w14:textId="1130C4E5" w:rsidR="00FA1698" w:rsidRPr="00D82564" w:rsidRDefault="00FA1698" w:rsidP="00222AF7">
      <w:pPr>
        <w:pStyle w:val="FootnoteText"/>
        <w:ind w:left="720" w:hanging="720"/>
        <w:rPr>
          <w:sz w:val="22"/>
          <w:szCs w:val="22"/>
        </w:rPr>
      </w:pPr>
      <w:r w:rsidRPr="00D82564">
        <w:rPr>
          <w:sz w:val="22"/>
          <w:szCs w:val="22"/>
        </w:rPr>
        <w:t xml:space="preserve">Classically Christian, </w:t>
      </w:r>
      <w:r w:rsidRPr="00E61ABF">
        <w:rPr>
          <w:i/>
          <w:iCs/>
          <w:sz w:val="22"/>
          <w:szCs w:val="22"/>
        </w:rPr>
        <w:t>An excursus on the Synod of Whitby (AD 664) and Celtic Christianity</w:t>
      </w:r>
      <w:r w:rsidRPr="00D82564">
        <w:rPr>
          <w:sz w:val="22"/>
          <w:szCs w:val="22"/>
        </w:rPr>
        <w:t xml:space="preserve">, </w:t>
      </w:r>
      <w:r w:rsidR="00D82564" w:rsidRPr="00D82564">
        <w:rPr>
          <w:sz w:val="22"/>
          <w:szCs w:val="22"/>
        </w:rPr>
        <w:t>&lt;</w:t>
      </w:r>
      <w:r w:rsidRPr="00D82564">
        <w:rPr>
          <w:sz w:val="22"/>
          <w:szCs w:val="22"/>
        </w:rPr>
        <w:t>https://thepocketscroll.wordpress.com/2013/10/13/an-excursus-on-the-synod-of-whitby-ad-664-and-celtic-christianity/</w:t>
      </w:r>
      <w:r w:rsidR="00D82564" w:rsidRPr="00D82564">
        <w:rPr>
          <w:sz w:val="22"/>
          <w:szCs w:val="22"/>
        </w:rPr>
        <w:t>&gt;</w:t>
      </w:r>
      <w:r w:rsidR="00395A66">
        <w:rPr>
          <w:sz w:val="22"/>
          <w:szCs w:val="22"/>
        </w:rPr>
        <w:t xml:space="preserve"> </w:t>
      </w:r>
      <w:r w:rsidR="00395A66" w:rsidRPr="00D82564">
        <w:rPr>
          <w:sz w:val="22"/>
          <w:szCs w:val="22"/>
        </w:rPr>
        <w:t>[Accessed 27 December 2024]</w:t>
      </w:r>
    </w:p>
    <w:p w14:paraId="018E7BD4" w14:textId="77777777" w:rsidR="00FA1698" w:rsidRPr="00D82564" w:rsidRDefault="00FA1698" w:rsidP="00222AF7">
      <w:pPr>
        <w:pStyle w:val="FootnoteText"/>
        <w:ind w:left="720" w:hanging="720"/>
        <w:rPr>
          <w:sz w:val="22"/>
          <w:szCs w:val="22"/>
        </w:rPr>
      </w:pPr>
    </w:p>
    <w:p w14:paraId="36B80780" w14:textId="0F187F2F" w:rsidR="00FA1698" w:rsidRPr="00D82564" w:rsidRDefault="004527F6" w:rsidP="004527F6">
      <w:pPr>
        <w:pStyle w:val="FootnoteText"/>
        <w:spacing w:after="240"/>
        <w:ind w:left="720" w:hanging="720"/>
        <w:rPr>
          <w:sz w:val="22"/>
          <w:szCs w:val="22"/>
        </w:rPr>
      </w:pPr>
      <w:r>
        <w:rPr>
          <w:sz w:val="22"/>
          <w:szCs w:val="22"/>
        </w:rPr>
        <w:t xml:space="preserve">Collis, </w:t>
      </w:r>
      <w:r w:rsidRPr="004527F6">
        <w:rPr>
          <w:sz w:val="22"/>
          <w:szCs w:val="22"/>
        </w:rPr>
        <w:t>John R., ‘Celts Ancient and Modern: Recent Controversies in Celtic Studies</w:t>
      </w:r>
      <w:proofErr w:type="gramStart"/>
      <w:r w:rsidRPr="004527F6">
        <w:rPr>
          <w:sz w:val="22"/>
          <w:szCs w:val="22"/>
        </w:rPr>
        <w:t>’,</w:t>
      </w:r>
      <w:proofErr w:type="gramEnd"/>
      <w:r w:rsidRPr="004527F6">
        <w:rPr>
          <w:sz w:val="22"/>
          <w:szCs w:val="22"/>
        </w:rPr>
        <w:t xml:space="preserve"> </w:t>
      </w:r>
      <w:r w:rsidRPr="004527F6">
        <w:rPr>
          <w:i/>
          <w:iCs/>
          <w:sz w:val="22"/>
          <w:szCs w:val="22"/>
        </w:rPr>
        <w:t>Studia Celtica Fennica</w:t>
      </w:r>
      <w:r w:rsidRPr="004527F6">
        <w:rPr>
          <w:sz w:val="22"/>
          <w:szCs w:val="22"/>
        </w:rPr>
        <w:t>, 14 (2017), 58-70 &lt;https://journal.fi/scf/article/download/60981/38889/111523&gt; [accessed 27 December 2024].</w:t>
      </w:r>
    </w:p>
    <w:p w14:paraId="135E14EC" w14:textId="1B55695E" w:rsidR="00FA1698" w:rsidRPr="00D82564" w:rsidRDefault="00FA1698" w:rsidP="00222AF7">
      <w:pPr>
        <w:pStyle w:val="FootnoteText"/>
        <w:ind w:left="720" w:hanging="720"/>
        <w:rPr>
          <w:sz w:val="22"/>
          <w:szCs w:val="22"/>
        </w:rPr>
      </w:pPr>
      <w:r w:rsidRPr="00D82564">
        <w:rPr>
          <w:sz w:val="22"/>
          <w:szCs w:val="22"/>
        </w:rPr>
        <w:t xml:space="preserve">Cunliffe, Barry, </w:t>
      </w:r>
      <w:r w:rsidRPr="00E61ABF">
        <w:rPr>
          <w:i/>
          <w:iCs/>
          <w:sz w:val="22"/>
          <w:szCs w:val="22"/>
        </w:rPr>
        <w:t>The Ancient Celts</w:t>
      </w:r>
      <w:r w:rsidRPr="00D82564">
        <w:rPr>
          <w:sz w:val="22"/>
          <w:szCs w:val="22"/>
        </w:rPr>
        <w:t>, 2nd edn. (Oxford: Oxford University Press, 2018)</w:t>
      </w:r>
    </w:p>
    <w:p w14:paraId="3D7A39F9" w14:textId="77777777" w:rsidR="00FA1698" w:rsidRPr="00D82564" w:rsidRDefault="00FA1698" w:rsidP="00222AF7">
      <w:pPr>
        <w:pStyle w:val="FootnoteText"/>
        <w:ind w:left="720" w:hanging="720"/>
        <w:rPr>
          <w:sz w:val="22"/>
          <w:szCs w:val="22"/>
        </w:rPr>
      </w:pPr>
    </w:p>
    <w:p w14:paraId="266B573E" w14:textId="78F9530A" w:rsidR="004527F6" w:rsidRDefault="004527F6" w:rsidP="004527F6">
      <w:pPr>
        <w:pStyle w:val="FootnoteText"/>
        <w:spacing w:after="240"/>
        <w:ind w:left="720" w:hanging="720"/>
        <w:rPr>
          <w:sz w:val="22"/>
          <w:szCs w:val="22"/>
        </w:rPr>
      </w:pPr>
      <w:r>
        <w:rPr>
          <w:sz w:val="22"/>
          <w:szCs w:val="22"/>
        </w:rPr>
        <w:t xml:space="preserve">Dobney, </w:t>
      </w:r>
      <w:r w:rsidRPr="004527F6">
        <w:rPr>
          <w:sz w:val="22"/>
          <w:szCs w:val="22"/>
        </w:rPr>
        <w:t>Keith, ‘Being Anglo-Saxon a matter of language and culture, not genetics</w:t>
      </w:r>
      <w:proofErr w:type="gramStart"/>
      <w:r w:rsidRPr="004527F6">
        <w:rPr>
          <w:sz w:val="22"/>
          <w:szCs w:val="22"/>
        </w:rPr>
        <w:t>’,</w:t>
      </w:r>
      <w:proofErr w:type="gramEnd"/>
      <w:r w:rsidRPr="004527F6">
        <w:rPr>
          <w:sz w:val="22"/>
          <w:szCs w:val="22"/>
        </w:rPr>
        <w:t xml:space="preserve"> </w:t>
      </w:r>
      <w:r w:rsidRPr="004527F6">
        <w:rPr>
          <w:i/>
          <w:iCs/>
          <w:sz w:val="22"/>
          <w:szCs w:val="22"/>
        </w:rPr>
        <w:t>University of Sydney</w:t>
      </w:r>
      <w:r w:rsidRPr="004527F6">
        <w:rPr>
          <w:sz w:val="22"/>
          <w:szCs w:val="22"/>
        </w:rPr>
        <w:t>, 24 June 2021 &lt;https://www.sydney.edu.au/news-opinion/news/2021/06/24/being-anglo-saxon-a-matter-of-language-and-culture-not-genetics.html&gt; [accessed 27 December 2024].</w:t>
      </w:r>
    </w:p>
    <w:p w14:paraId="3AC4FB2B" w14:textId="77777777" w:rsidR="004527F6" w:rsidRPr="00E61ABF" w:rsidRDefault="004527F6" w:rsidP="004527F6">
      <w:pPr>
        <w:pStyle w:val="FootnoteText"/>
        <w:ind w:left="720" w:hanging="720"/>
        <w:rPr>
          <w:sz w:val="22"/>
          <w:szCs w:val="22"/>
        </w:rPr>
      </w:pPr>
      <w:r>
        <w:rPr>
          <w:sz w:val="22"/>
          <w:szCs w:val="22"/>
        </w:rPr>
        <w:t>Encyclopedia Britannica,</w:t>
      </w:r>
      <w:r w:rsidRPr="00E61ABF">
        <w:rPr>
          <w:sz w:val="22"/>
          <w:szCs w:val="22"/>
        </w:rPr>
        <w:t xml:space="preserve"> </w:t>
      </w:r>
      <w:r w:rsidRPr="00E61ABF">
        <w:rPr>
          <w:i/>
          <w:iCs/>
          <w:sz w:val="22"/>
          <w:szCs w:val="22"/>
        </w:rPr>
        <w:t>Druid</w:t>
      </w:r>
      <w:r>
        <w:rPr>
          <w:i/>
          <w:iCs/>
          <w:sz w:val="22"/>
          <w:szCs w:val="22"/>
        </w:rPr>
        <w:t xml:space="preserve"> </w:t>
      </w:r>
      <w:r>
        <w:rPr>
          <w:sz w:val="22"/>
          <w:szCs w:val="22"/>
        </w:rPr>
        <w:t>(</w:t>
      </w:r>
      <w:r w:rsidRPr="00E61ABF">
        <w:rPr>
          <w:sz w:val="22"/>
          <w:szCs w:val="22"/>
        </w:rPr>
        <w:t>2024</w:t>
      </w:r>
      <w:r>
        <w:rPr>
          <w:sz w:val="22"/>
          <w:szCs w:val="22"/>
        </w:rPr>
        <w:t>)</w:t>
      </w:r>
      <w:r w:rsidRPr="00E61ABF">
        <w:rPr>
          <w:sz w:val="22"/>
          <w:szCs w:val="22"/>
        </w:rPr>
        <w:t xml:space="preserve"> &lt;https://www.britannica.com/topic/Druid.&gt; [Accessed 27 December 2024]</w:t>
      </w:r>
    </w:p>
    <w:p w14:paraId="31E48241" w14:textId="77777777" w:rsidR="004527F6" w:rsidRPr="00E61ABF" w:rsidRDefault="004527F6" w:rsidP="004527F6">
      <w:pPr>
        <w:pStyle w:val="FootnoteText"/>
        <w:ind w:left="720" w:hanging="720"/>
        <w:rPr>
          <w:sz w:val="22"/>
          <w:szCs w:val="22"/>
        </w:rPr>
      </w:pPr>
    </w:p>
    <w:p w14:paraId="2665C517" w14:textId="77777777" w:rsidR="004527F6" w:rsidRPr="00D82564" w:rsidRDefault="004527F6" w:rsidP="004527F6">
      <w:pPr>
        <w:pStyle w:val="FootnoteText"/>
        <w:spacing w:after="240"/>
        <w:ind w:left="720" w:hanging="720"/>
        <w:rPr>
          <w:sz w:val="22"/>
          <w:szCs w:val="22"/>
        </w:rPr>
      </w:pPr>
      <w:r>
        <w:rPr>
          <w:sz w:val="22"/>
          <w:szCs w:val="22"/>
        </w:rPr>
        <w:t>Encyclopedia Britannica,</w:t>
      </w:r>
      <w:r w:rsidRPr="00E61ABF">
        <w:rPr>
          <w:sz w:val="22"/>
          <w:szCs w:val="22"/>
        </w:rPr>
        <w:t xml:space="preserve"> </w:t>
      </w:r>
      <w:r w:rsidRPr="00E61ABF">
        <w:rPr>
          <w:i/>
          <w:iCs/>
          <w:sz w:val="22"/>
          <w:szCs w:val="22"/>
        </w:rPr>
        <w:t>Norman</w:t>
      </w:r>
      <w:r>
        <w:rPr>
          <w:i/>
          <w:iCs/>
          <w:sz w:val="22"/>
          <w:szCs w:val="22"/>
        </w:rPr>
        <w:t xml:space="preserve"> People</w:t>
      </w:r>
      <w:r w:rsidRPr="00E61ABF">
        <w:rPr>
          <w:sz w:val="22"/>
          <w:szCs w:val="22"/>
        </w:rPr>
        <w:t xml:space="preserve"> </w:t>
      </w:r>
      <w:r>
        <w:rPr>
          <w:sz w:val="22"/>
          <w:szCs w:val="22"/>
        </w:rPr>
        <w:t>(</w:t>
      </w:r>
      <w:r w:rsidRPr="00D82564">
        <w:rPr>
          <w:sz w:val="22"/>
          <w:szCs w:val="22"/>
        </w:rPr>
        <w:t>2024</w:t>
      </w:r>
      <w:r>
        <w:rPr>
          <w:sz w:val="22"/>
          <w:szCs w:val="22"/>
        </w:rPr>
        <w:t>)</w:t>
      </w:r>
      <w:r w:rsidRPr="00D82564">
        <w:rPr>
          <w:sz w:val="22"/>
          <w:szCs w:val="22"/>
        </w:rPr>
        <w:t xml:space="preserve"> &lt;https://www.britannica.com/topic/Norman-people&gt; [Accessed 27 December 2024]</w:t>
      </w:r>
    </w:p>
    <w:p w14:paraId="51E373D9" w14:textId="0FF3AB8F" w:rsidR="00FA1698" w:rsidRPr="00D82564" w:rsidRDefault="00FA1698" w:rsidP="00222AF7">
      <w:pPr>
        <w:pStyle w:val="FootnoteText"/>
        <w:ind w:left="720" w:hanging="720"/>
        <w:rPr>
          <w:sz w:val="22"/>
          <w:szCs w:val="22"/>
        </w:rPr>
      </w:pPr>
      <w:r w:rsidRPr="00D82564">
        <w:rPr>
          <w:sz w:val="22"/>
          <w:szCs w:val="22"/>
        </w:rPr>
        <w:t xml:space="preserve">Fiveable, </w:t>
      </w:r>
      <w:r w:rsidRPr="00E61ABF">
        <w:rPr>
          <w:i/>
          <w:iCs/>
          <w:sz w:val="22"/>
          <w:szCs w:val="22"/>
        </w:rPr>
        <w:t>12.1</w:t>
      </w:r>
      <w:r w:rsidRPr="00D82564">
        <w:rPr>
          <w:sz w:val="22"/>
          <w:szCs w:val="22"/>
        </w:rPr>
        <w:t xml:space="preserve"> </w:t>
      </w:r>
      <w:r w:rsidRPr="00E61ABF">
        <w:rPr>
          <w:i/>
          <w:iCs/>
          <w:sz w:val="22"/>
          <w:szCs w:val="22"/>
        </w:rPr>
        <w:t>Continuity and change in post-conquest</w:t>
      </w:r>
      <w:r w:rsidRPr="00D82564">
        <w:rPr>
          <w:sz w:val="22"/>
          <w:szCs w:val="22"/>
        </w:rPr>
        <w:t xml:space="preserve"> </w:t>
      </w:r>
      <w:r w:rsidRPr="00E61ABF">
        <w:rPr>
          <w:i/>
          <w:iCs/>
          <w:sz w:val="22"/>
          <w:szCs w:val="22"/>
        </w:rPr>
        <w:t>England</w:t>
      </w:r>
      <w:r w:rsidRPr="00D82564">
        <w:rPr>
          <w:sz w:val="22"/>
          <w:szCs w:val="22"/>
        </w:rPr>
        <w:t xml:space="preserve"> &lt;https://fiveable.me/anglo-saxon-england/unit-12/continuity-change-post-conquest-england/study-guide/hb090EaUIutTfZTs&gt;</w:t>
      </w:r>
      <w:r w:rsidR="00395A66">
        <w:rPr>
          <w:sz w:val="22"/>
          <w:szCs w:val="22"/>
        </w:rPr>
        <w:t xml:space="preserve"> </w:t>
      </w:r>
      <w:r w:rsidR="00395A66" w:rsidRPr="00D82564">
        <w:rPr>
          <w:sz w:val="22"/>
          <w:szCs w:val="22"/>
        </w:rPr>
        <w:t>[Accessed 27 December 2024]</w:t>
      </w:r>
    </w:p>
    <w:p w14:paraId="3D87F350" w14:textId="77777777" w:rsidR="00FA1698" w:rsidRPr="00D82564" w:rsidRDefault="00FA1698" w:rsidP="00222AF7">
      <w:pPr>
        <w:pStyle w:val="FootnoteText"/>
        <w:ind w:left="720" w:hanging="720"/>
        <w:rPr>
          <w:sz w:val="22"/>
          <w:szCs w:val="22"/>
        </w:rPr>
      </w:pPr>
    </w:p>
    <w:p w14:paraId="00A2E880" w14:textId="5A36D37B" w:rsidR="00FA1698" w:rsidRPr="00D82564" w:rsidRDefault="00FA1698" w:rsidP="00222AF7">
      <w:pPr>
        <w:pStyle w:val="FootnoteText"/>
        <w:ind w:left="720" w:hanging="720"/>
        <w:rPr>
          <w:sz w:val="22"/>
          <w:szCs w:val="22"/>
        </w:rPr>
      </w:pPr>
      <w:r w:rsidRPr="00D82564">
        <w:rPr>
          <w:sz w:val="22"/>
          <w:szCs w:val="22"/>
        </w:rPr>
        <w:t xml:space="preserve">Hills Catherine, </w:t>
      </w:r>
      <w:r w:rsidRPr="00E61ABF">
        <w:rPr>
          <w:i/>
          <w:iCs/>
          <w:sz w:val="22"/>
          <w:szCs w:val="22"/>
        </w:rPr>
        <w:t>The Anglo-Saxon invasion and the beginnings of the ‘English</w:t>
      </w:r>
      <w:r w:rsidRPr="00D82564">
        <w:rPr>
          <w:sz w:val="22"/>
          <w:szCs w:val="22"/>
        </w:rPr>
        <w:t>, Our Migration Story &lt;</w:t>
      </w:r>
      <w:r w:rsidRPr="00E61ABF">
        <w:rPr>
          <w:sz w:val="22"/>
          <w:szCs w:val="22"/>
        </w:rPr>
        <w:t>https://www.ourmigrationstory.org.uk/oms/anglo-saxon-migrations</w:t>
      </w:r>
      <w:r w:rsidRPr="00D82564">
        <w:rPr>
          <w:sz w:val="22"/>
          <w:szCs w:val="22"/>
        </w:rPr>
        <w:t>&gt;</w:t>
      </w:r>
      <w:r w:rsidR="00395A66">
        <w:rPr>
          <w:sz w:val="22"/>
          <w:szCs w:val="22"/>
        </w:rPr>
        <w:t xml:space="preserve"> </w:t>
      </w:r>
      <w:r w:rsidR="00395A66" w:rsidRPr="00D82564">
        <w:rPr>
          <w:sz w:val="22"/>
          <w:szCs w:val="22"/>
        </w:rPr>
        <w:t>[Accessed 27 December 2024]</w:t>
      </w:r>
    </w:p>
    <w:p w14:paraId="1BA123EC" w14:textId="0FEBE762" w:rsidR="00ED58A8" w:rsidRPr="00D82564" w:rsidRDefault="00ED58A8" w:rsidP="00222AF7">
      <w:pPr>
        <w:pStyle w:val="FootnoteText"/>
        <w:ind w:left="720" w:hanging="720"/>
        <w:rPr>
          <w:sz w:val="22"/>
          <w:szCs w:val="22"/>
        </w:rPr>
      </w:pPr>
    </w:p>
    <w:p w14:paraId="760FD50B" w14:textId="2BCD0A14" w:rsidR="00ED58A8" w:rsidRPr="00D82564" w:rsidRDefault="00ED58A8" w:rsidP="00222AF7">
      <w:pPr>
        <w:pStyle w:val="FootnoteText"/>
        <w:ind w:left="720" w:hanging="720"/>
        <w:rPr>
          <w:sz w:val="22"/>
          <w:szCs w:val="22"/>
        </w:rPr>
      </w:pPr>
      <w:r w:rsidRPr="00D82564">
        <w:rPr>
          <w:sz w:val="22"/>
          <w:szCs w:val="22"/>
        </w:rPr>
        <w:t>History.com</w:t>
      </w:r>
      <w:r w:rsidRPr="00E61ABF">
        <w:rPr>
          <w:i/>
          <w:iCs/>
          <w:sz w:val="22"/>
          <w:szCs w:val="22"/>
        </w:rPr>
        <w:t xml:space="preserve">, </w:t>
      </w:r>
      <w:r w:rsidR="004527F6">
        <w:rPr>
          <w:i/>
          <w:iCs/>
          <w:sz w:val="22"/>
          <w:szCs w:val="22"/>
        </w:rPr>
        <w:t>W</w:t>
      </w:r>
      <w:r w:rsidRPr="00E61ABF">
        <w:rPr>
          <w:i/>
          <w:iCs/>
          <w:sz w:val="22"/>
          <w:szCs w:val="22"/>
        </w:rPr>
        <w:t xml:space="preserve">ho </w:t>
      </w:r>
      <w:r w:rsidR="004527F6">
        <w:rPr>
          <w:i/>
          <w:iCs/>
          <w:sz w:val="22"/>
          <w:szCs w:val="22"/>
        </w:rPr>
        <w:t>W</w:t>
      </w:r>
      <w:r w:rsidRPr="00E61ABF">
        <w:rPr>
          <w:i/>
          <w:iCs/>
          <w:sz w:val="22"/>
          <w:szCs w:val="22"/>
        </w:rPr>
        <w:t xml:space="preserve">ere the </w:t>
      </w:r>
      <w:r w:rsidR="004527F6">
        <w:rPr>
          <w:i/>
          <w:iCs/>
          <w:sz w:val="22"/>
          <w:szCs w:val="22"/>
        </w:rPr>
        <w:t>C</w:t>
      </w:r>
      <w:r w:rsidRPr="00E61ABF">
        <w:rPr>
          <w:i/>
          <w:iCs/>
          <w:sz w:val="22"/>
          <w:szCs w:val="22"/>
        </w:rPr>
        <w:t>elts</w:t>
      </w:r>
      <w:r w:rsidR="004527F6">
        <w:rPr>
          <w:i/>
          <w:iCs/>
          <w:sz w:val="22"/>
          <w:szCs w:val="22"/>
        </w:rPr>
        <w:t xml:space="preserve"> </w:t>
      </w:r>
      <w:r w:rsidR="00D82564" w:rsidRPr="00D82564">
        <w:rPr>
          <w:sz w:val="22"/>
          <w:szCs w:val="22"/>
        </w:rPr>
        <w:t>&lt;</w:t>
      </w:r>
      <w:r w:rsidR="00D82564" w:rsidRPr="00E61ABF">
        <w:rPr>
          <w:sz w:val="22"/>
          <w:szCs w:val="22"/>
        </w:rPr>
        <w:t>https://www.history.com/topics/european-history/celts</w:t>
      </w:r>
      <w:r w:rsidR="00D82564" w:rsidRPr="00D82564">
        <w:rPr>
          <w:sz w:val="22"/>
          <w:szCs w:val="22"/>
        </w:rPr>
        <w:t>&gt;</w:t>
      </w:r>
      <w:r w:rsidR="00395A66">
        <w:rPr>
          <w:sz w:val="22"/>
          <w:szCs w:val="22"/>
        </w:rPr>
        <w:t xml:space="preserve"> </w:t>
      </w:r>
      <w:r w:rsidR="00395A66" w:rsidRPr="00D82564">
        <w:rPr>
          <w:sz w:val="22"/>
          <w:szCs w:val="22"/>
        </w:rPr>
        <w:t>[Accessed 27 December 2024]</w:t>
      </w:r>
    </w:p>
    <w:p w14:paraId="1530C97A" w14:textId="77777777" w:rsidR="00D82564" w:rsidRPr="00D82564" w:rsidRDefault="00D82564" w:rsidP="00222AF7">
      <w:pPr>
        <w:pStyle w:val="FootnoteText"/>
        <w:ind w:left="720" w:hanging="720"/>
        <w:rPr>
          <w:sz w:val="22"/>
          <w:szCs w:val="22"/>
        </w:rPr>
      </w:pPr>
    </w:p>
    <w:p w14:paraId="463739F9" w14:textId="04318D2E" w:rsidR="00D82564" w:rsidRPr="00D82564" w:rsidRDefault="00D82564" w:rsidP="00222AF7">
      <w:pPr>
        <w:pStyle w:val="FootnoteText"/>
        <w:ind w:left="720" w:hanging="720"/>
        <w:rPr>
          <w:sz w:val="22"/>
          <w:szCs w:val="22"/>
        </w:rPr>
      </w:pPr>
      <w:r w:rsidRPr="00D82564">
        <w:rPr>
          <w:sz w:val="22"/>
          <w:szCs w:val="22"/>
        </w:rPr>
        <w:t xml:space="preserve">History.org, </w:t>
      </w:r>
      <w:r w:rsidRPr="00D82564">
        <w:rPr>
          <w:i/>
          <w:iCs/>
          <w:sz w:val="22"/>
          <w:szCs w:val="22"/>
        </w:rPr>
        <w:t xml:space="preserve">Anglo-Saxons: a </w:t>
      </w:r>
      <w:r w:rsidR="004527F6">
        <w:rPr>
          <w:i/>
          <w:iCs/>
          <w:sz w:val="22"/>
          <w:szCs w:val="22"/>
        </w:rPr>
        <w:t>B</w:t>
      </w:r>
      <w:r w:rsidRPr="00D82564">
        <w:rPr>
          <w:i/>
          <w:iCs/>
          <w:sz w:val="22"/>
          <w:szCs w:val="22"/>
        </w:rPr>
        <w:t xml:space="preserve">rief </w:t>
      </w:r>
      <w:r w:rsidR="004527F6">
        <w:rPr>
          <w:i/>
          <w:iCs/>
          <w:sz w:val="22"/>
          <w:szCs w:val="22"/>
        </w:rPr>
        <w:t>H</w:t>
      </w:r>
      <w:r w:rsidRPr="00D82564">
        <w:rPr>
          <w:i/>
          <w:iCs/>
          <w:sz w:val="22"/>
          <w:szCs w:val="22"/>
        </w:rPr>
        <w:t>istory</w:t>
      </w:r>
      <w:r w:rsidR="004527F6">
        <w:rPr>
          <w:i/>
          <w:iCs/>
          <w:sz w:val="22"/>
          <w:szCs w:val="22"/>
        </w:rPr>
        <w:t xml:space="preserve"> </w:t>
      </w:r>
      <w:r w:rsidRPr="00D82564">
        <w:rPr>
          <w:i/>
          <w:iCs/>
          <w:sz w:val="22"/>
          <w:szCs w:val="22"/>
        </w:rPr>
        <w:t>&lt;</w:t>
      </w:r>
      <w:r w:rsidRPr="00D82564">
        <w:rPr>
          <w:sz w:val="22"/>
          <w:szCs w:val="22"/>
        </w:rPr>
        <w:t>https://www.history.org.uk/primary/resource/3865/anglo-saxons-a-brief-history&gt;</w:t>
      </w:r>
      <w:r w:rsidR="00395A66">
        <w:rPr>
          <w:sz w:val="22"/>
          <w:szCs w:val="22"/>
        </w:rPr>
        <w:t xml:space="preserve"> </w:t>
      </w:r>
      <w:r w:rsidRPr="00D82564">
        <w:rPr>
          <w:sz w:val="22"/>
          <w:szCs w:val="22"/>
        </w:rPr>
        <w:t>[accessed 27/12/2024]</w:t>
      </w:r>
    </w:p>
    <w:p w14:paraId="283EB11E" w14:textId="77777777" w:rsidR="00222AF7" w:rsidRPr="00D82564" w:rsidRDefault="00222AF7" w:rsidP="00222AF7">
      <w:pPr>
        <w:pStyle w:val="FootnoteText"/>
        <w:ind w:left="720" w:hanging="720"/>
        <w:rPr>
          <w:sz w:val="22"/>
          <w:szCs w:val="22"/>
        </w:rPr>
      </w:pPr>
    </w:p>
    <w:p w14:paraId="56EE3398" w14:textId="77777777" w:rsidR="004527F6" w:rsidRPr="00D82564" w:rsidRDefault="004527F6" w:rsidP="004527F6">
      <w:pPr>
        <w:pStyle w:val="FootnoteText"/>
        <w:ind w:left="720" w:hanging="720"/>
        <w:rPr>
          <w:sz w:val="22"/>
          <w:szCs w:val="22"/>
        </w:rPr>
      </w:pPr>
      <w:r w:rsidRPr="00D82564">
        <w:rPr>
          <w:sz w:val="22"/>
          <w:szCs w:val="22"/>
        </w:rPr>
        <w:lastRenderedPageBreak/>
        <w:t>McAteer</w:t>
      </w:r>
      <w:r>
        <w:rPr>
          <w:sz w:val="22"/>
          <w:szCs w:val="22"/>
        </w:rPr>
        <w:t>,</w:t>
      </w:r>
      <w:r w:rsidRPr="00D82564">
        <w:rPr>
          <w:sz w:val="22"/>
          <w:szCs w:val="22"/>
        </w:rPr>
        <w:t xml:space="preserve"> Michael, </w:t>
      </w:r>
      <w:r w:rsidRPr="00E61ABF">
        <w:rPr>
          <w:i/>
          <w:iCs/>
          <w:sz w:val="22"/>
          <w:szCs w:val="22"/>
        </w:rPr>
        <w:t>Celtic and Irish Revival</w:t>
      </w:r>
      <w:r w:rsidRPr="00D82564">
        <w:rPr>
          <w:sz w:val="22"/>
          <w:szCs w:val="22"/>
        </w:rPr>
        <w:t>, Oxford Bibliographies &lt;https://www.oxfordbibliographies.com/display/document/obo-9780199846719/obo-9780199846719-0025.xml#:~:text=The%20phrase%20Celtic%20Revival%20describes,Christian%20and%20early%20Christian%20Europe.&gt;</w:t>
      </w:r>
      <w:r>
        <w:rPr>
          <w:sz w:val="22"/>
          <w:szCs w:val="22"/>
        </w:rPr>
        <w:t xml:space="preserve"> </w:t>
      </w:r>
      <w:r w:rsidRPr="00D82564">
        <w:rPr>
          <w:sz w:val="22"/>
          <w:szCs w:val="22"/>
        </w:rPr>
        <w:t>[Accessed 27 December 2024]</w:t>
      </w:r>
    </w:p>
    <w:p w14:paraId="67F75C44" w14:textId="0FA4ED28" w:rsidR="00ED58A8" w:rsidRPr="00D82564" w:rsidRDefault="00ED58A8" w:rsidP="00222AF7">
      <w:pPr>
        <w:ind w:left="720" w:hanging="720"/>
        <w:rPr>
          <w:sz w:val="22"/>
          <w:szCs w:val="22"/>
        </w:rPr>
      </w:pPr>
      <w:r w:rsidRPr="00D82564">
        <w:rPr>
          <w:sz w:val="22"/>
          <w:szCs w:val="22"/>
        </w:rPr>
        <w:t xml:space="preserve">The Anglo Saxons, </w:t>
      </w:r>
      <w:r w:rsidRPr="00E61ABF">
        <w:rPr>
          <w:i/>
          <w:iCs/>
          <w:sz w:val="22"/>
          <w:szCs w:val="22"/>
        </w:rPr>
        <w:t>Gildas</w:t>
      </w:r>
      <w:r w:rsidR="004527F6">
        <w:rPr>
          <w:sz w:val="22"/>
          <w:szCs w:val="22"/>
        </w:rPr>
        <w:t xml:space="preserve"> </w:t>
      </w:r>
      <w:r w:rsidRPr="00D82564">
        <w:rPr>
          <w:sz w:val="22"/>
          <w:szCs w:val="22"/>
        </w:rPr>
        <w:t>&lt;</w:t>
      </w:r>
      <w:r w:rsidRPr="00E61ABF">
        <w:rPr>
          <w:sz w:val="22"/>
          <w:szCs w:val="22"/>
        </w:rPr>
        <w:t>https://www.theanglosaxons.com/clergy-saints/gildas/</w:t>
      </w:r>
      <w:r w:rsidRPr="00D82564">
        <w:rPr>
          <w:sz w:val="22"/>
          <w:szCs w:val="22"/>
        </w:rPr>
        <w:t>&gt;</w:t>
      </w:r>
      <w:r w:rsidR="00395A66">
        <w:rPr>
          <w:sz w:val="22"/>
          <w:szCs w:val="22"/>
        </w:rPr>
        <w:t xml:space="preserve"> </w:t>
      </w:r>
      <w:r w:rsidR="00395A66" w:rsidRPr="00D82564">
        <w:rPr>
          <w:sz w:val="22"/>
          <w:szCs w:val="22"/>
        </w:rPr>
        <w:t>[Accessed 27 December 2024]</w:t>
      </w:r>
    </w:p>
    <w:p w14:paraId="026C5825" w14:textId="461F50D1" w:rsidR="00FA1698" w:rsidRDefault="00FA1698" w:rsidP="00395A66">
      <w:pPr>
        <w:pStyle w:val="FootnoteText"/>
        <w:ind w:left="720" w:hanging="720"/>
        <w:rPr>
          <w:sz w:val="22"/>
          <w:szCs w:val="22"/>
        </w:rPr>
      </w:pPr>
      <w:r w:rsidRPr="00D82564">
        <w:rPr>
          <w:sz w:val="22"/>
          <w:szCs w:val="22"/>
        </w:rPr>
        <w:t xml:space="preserve">University of Chicago, </w:t>
      </w:r>
      <w:r w:rsidRPr="00E61ABF">
        <w:rPr>
          <w:i/>
          <w:iCs/>
          <w:sz w:val="22"/>
          <w:szCs w:val="22"/>
        </w:rPr>
        <w:t>Paschal Calendar</w:t>
      </w:r>
      <w:r w:rsidRPr="00D82564">
        <w:rPr>
          <w:sz w:val="22"/>
          <w:szCs w:val="22"/>
        </w:rPr>
        <w:t xml:space="preserve"> </w:t>
      </w:r>
      <w:r w:rsidR="00D82564" w:rsidRPr="00D82564">
        <w:rPr>
          <w:sz w:val="22"/>
          <w:szCs w:val="22"/>
        </w:rPr>
        <w:t>&lt;</w:t>
      </w:r>
      <w:r w:rsidRPr="00D82564">
        <w:rPr>
          <w:sz w:val="22"/>
          <w:szCs w:val="22"/>
        </w:rPr>
        <w:t xml:space="preserve">https://penelope.uchicago.edu/encyclopaedia_romana/britannia/anglo-saxon/earlychurch/paschal.html#:~:text=Bede%20regards%20the%20nonconformity%20of,reserves%20for%20the%20Pelagian%20heretics.&gt; </w:t>
      </w:r>
      <w:r w:rsidR="00395A66" w:rsidRPr="00D82564">
        <w:rPr>
          <w:sz w:val="22"/>
          <w:szCs w:val="22"/>
        </w:rPr>
        <w:t>[Accessed 27 December 2024]</w:t>
      </w:r>
    </w:p>
    <w:p w14:paraId="2A2FBD77" w14:textId="77777777" w:rsidR="00395A66" w:rsidRPr="00D82564" w:rsidRDefault="00395A66" w:rsidP="00395A66">
      <w:pPr>
        <w:pStyle w:val="FootnoteText"/>
        <w:ind w:left="720" w:hanging="720"/>
        <w:rPr>
          <w:sz w:val="22"/>
          <w:szCs w:val="22"/>
        </w:rPr>
      </w:pPr>
    </w:p>
    <w:p w14:paraId="7AEFE30D" w14:textId="452AC4A3" w:rsidR="00FA1698" w:rsidRPr="00D82564" w:rsidRDefault="00FA1698" w:rsidP="00222AF7">
      <w:pPr>
        <w:pStyle w:val="FootnoteText"/>
        <w:tabs>
          <w:tab w:val="left" w:pos="3435"/>
        </w:tabs>
        <w:ind w:left="720" w:hanging="720"/>
        <w:rPr>
          <w:sz w:val="22"/>
          <w:szCs w:val="22"/>
        </w:rPr>
      </w:pPr>
      <w:r w:rsidRPr="00D82564">
        <w:rPr>
          <w:sz w:val="22"/>
          <w:szCs w:val="22"/>
        </w:rPr>
        <w:t>Wong</w:t>
      </w:r>
      <w:r w:rsidR="004527F6">
        <w:rPr>
          <w:sz w:val="22"/>
          <w:szCs w:val="22"/>
        </w:rPr>
        <w:t>,</w:t>
      </w:r>
      <w:r w:rsidRPr="00D82564">
        <w:rPr>
          <w:sz w:val="22"/>
          <w:szCs w:val="22"/>
        </w:rPr>
        <w:t xml:space="preserve"> Carissa, </w:t>
      </w:r>
      <w:r w:rsidRPr="00E61ABF">
        <w:rPr>
          <w:i/>
          <w:iCs/>
          <w:sz w:val="22"/>
          <w:szCs w:val="22"/>
        </w:rPr>
        <w:t>Bronze Age migration may have brought Celtic languages to Britain</w:t>
      </w:r>
      <w:r w:rsidRPr="00D82564">
        <w:rPr>
          <w:sz w:val="22"/>
          <w:szCs w:val="22"/>
        </w:rPr>
        <w:t>, New Scientist &lt;https://www.newscientist.com/article/2302954-bronze-age-migration-may-have-brought-celtic-languages-to-britain/&gt;</w:t>
      </w:r>
      <w:r w:rsidR="00395A66">
        <w:rPr>
          <w:sz w:val="22"/>
          <w:szCs w:val="22"/>
        </w:rPr>
        <w:t xml:space="preserve"> </w:t>
      </w:r>
      <w:r w:rsidR="00395A66" w:rsidRPr="00D82564">
        <w:rPr>
          <w:sz w:val="22"/>
          <w:szCs w:val="22"/>
        </w:rPr>
        <w:t>[Accessed 27 December 2024]</w:t>
      </w:r>
    </w:p>
    <w:p w14:paraId="65D36C55" w14:textId="5BD3CF28" w:rsidR="00FA1698" w:rsidRPr="00D82564" w:rsidRDefault="00FA1698" w:rsidP="00222AF7">
      <w:pPr>
        <w:ind w:left="720" w:hanging="720"/>
        <w:rPr>
          <w:sz w:val="22"/>
          <w:szCs w:val="22"/>
        </w:rPr>
      </w:pPr>
    </w:p>
    <w:p w14:paraId="7D83E205" w14:textId="3A6C364C" w:rsidR="00CC5CEC" w:rsidRPr="00D82564" w:rsidRDefault="00CC5CEC" w:rsidP="00222AF7">
      <w:pPr>
        <w:ind w:left="720" w:hanging="720"/>
        <w:rPr>
          <w:sz w:val="22"/>
          <w:szCs w:val="22"/>
        </w:rPr>
      </w:pPr>
    </w:p>
    <w:sectPr w:rsidR="00CC5CEC" w:rsidRPr="00D8256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2645B" w14:textId="77777777" w:rsidR="00B16D34" w:rsidRDefault="00B16D34" w:rsidP="00DD7763">
      <w:pPr>
        <w:spacing w:after="0" w:line="240" w:lineRule="auto"/>
      </w:pPr>
      <w:r>
        <w:separator/>
      </w:r>
    </w:p>
  </w:endnote>
  <w:endnote w:type="continuationSeparator" w:id="0">
    <w:p w14:paraId="19471FE2" w14:textId="77777777" w:rsidR="00B16D34" w:rsidRDefault="00B16D34" w:rsidP="00DD7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2E066" w14:textId="77777777" w:rsidR="00B16D34" w:rsidRDefault="00B16D34" w:rsidP="00DD7763">
      <w:pPr>
        <w:spacing w:after="0" w:line="240" w:lineRule="auto"/>
      </w:pPr>
      <w:r>
        <w:separator/>
      </w:r>
    </w:p>
  </w:footnote>
  <w:footnote w:type="continuationSeparator" w:id="0">
    <w:p w14:paraId="051E3CCB" w14:textId="77777777" w:rsidR="00B16D34" w:rsidRDefault="00B16D34" w:rsidP="00DD7763">
      <w:pPr>
        <w:spacing w:after="0" w:line="240" w:lineRule="auto"/>
      </w:pPr>
      <w:r>
        <w:continuationSeparator/>
      </w:r>
    </w:p>
  </w:footnote>
  <w:footnote w:id="1">
    <w:p w14:paraId="4A70555B" w14:textId="77777777" w:rsidR="00F97848" w:rsidRPr="00F97848" w:rsidRDefault="00DD7763" w:rsidP="00F97848">
      <w:pPr>
        <w:pStyle w:val="FootnoteText"/>
      </w:pPr>
      <w:bookmarkStart w:id="0" w:name="_Hlk186226717"/>
      <w:r>
        <w:rPr>
          <w:rStyle w:val="FootnoteReference"/>
        </w:rPr>
        <w:footnoteRef/>
      </w:r>
      <w:r>
        <w:t xml:space="preserve"> </w:t>
      </w:r>
      <w:r w:rsidR="00F97848" w:rsidRPr="00F97848">
        <w:t xml:space="preserve">Barry Cunliffe, </w:t>
      </w:r>
      <w:r w:rsidR="00F97848" w:rsidRPr="00F97848">
        <w:rPr>
          <w:i/>
          <w:iCs/>
        </w:rPr>
        <w:t>The Ancient Celts</w:t>
      </w:r>
      <w:r w:rsidR="00F97848" w:rsidRPr="00F97848">
        <w:t>, 2nd edn. (Oxford: Oxford</w:t>
      </w:r>
    </w:p>
    <w:p w14:paraId="63676C9F" w14:textId="4D6504C9" w:rsidR="00DD7763" w:rsidRDefault="00F97848" w:rsidP="00F97848">
      <w:pPr>
        <w:pStyle w:val="FootnoteText"/>
      </w:pPr>
      <w:r w:rsidRPr="00F97848">
        <w:t xml:space="preserve">University Press, 2018), p. </w:t>
      </w:r>
      <w:r>
        <w:t>16</w:t>
      </w:r>
      <w:r w:rsidR="000B63F0">
        <w:t>.</w:t>
      </w:r>
    </w:p>
  </w:footnote>
  <w:footnote w:id="2">
    <w:p w14:paraId="2430EB18" w14:textId="1BBBE815" w:rsidR="00DD7763" w:rsidRDefault="00DD7763">
      <w:pPr>
        <w:pStyle w:val="FootnoteText"/>
      </w:pPr>
      <w:r>
        <w:rPr>
          <w:rStyle w:val="FootnoteReference"/>
        </w:rPr>
        <w:footnoteRef/>
      </w:r>
      <w:r>
        <w:t xml:space="preserve"> </w:t>
      </w:r>
      <w:r w:rsidR="004B7EE7">
        <w:t xml:space="preserve">Michael McAteer, </w:t>
      </w:r>
      <w:r w:rsidR="004B7EE7" w:rsidRPr="00F97848">
        <w:rPr>
          <w:i/>
          <w:iCs/>
        </w:rPr>
        <w:t>Celtic and Irish Revival</w:t>
      </w:r>
      <w:r w:rsidR="004B7EE7">
        <w:t xml:space="preserve">, Oxford Bibliographies </w:t>
      </w:r>
      <w:r w:rsidR="00F97848">
        <w:t>&lt;</w:t>
      </w:r>
      <w:r w:rsidR="00F97848" w:rsidRPr="00F97848">
        <w:t>https://www.oxfordbibliographies.com/display/document/obo-9780199846719/obo-9780199846719-0025.xml#:~:text=The%20phrase%20Celtic%20Revival%20describes,Christian%20and%20early%20Christian%20Europe.</w:t>
      </w:r>
      <w:r w:rsidR="00F97848">
        <w:t xml:space="preserve">&gt; </w:t>
      </w:r>
      <w:r w:rsidR="00F97848">
        <w:t>[accessed 27/12/2024]</w:t>
      </w:r>
      <w:r w:rsidR="00D82564">
        <w:t>.</w:t>
      </w:r>
    </w:p>
  </w:footnote>
  <w:footnote w:id="3">
    <w:p w14:paraId="1FB0A6E6" w14:textId="265C23A8" w:rsidR="00DD7763" w:rsidRDefault="00DD7763">
      <w:pPr>
        <w:pStyle w:val="FootnoteText"/>
      </w:pPr>
      <w:r>
        <w:rPr>
          <w:rStyle w:val="FootnoteReference"/>
        </w:rPr>
        <w:footnoteRef/>
      </w:r>
      <w:r>
        <w:t xml:space="preserve"> </w:t>
      </w:r>
      <w:r w:rsidR="000B63F0">
        <w:t>I</w:t>
      </w:r>
      <w:r w:rsidR="004B7EE7">
        <w:t>bid</w:t>
      </w:r>
      <w:r w:rsidR="000B63F0">
        <w:t>.</w:t>
      </w:r>
    </w:p>
  </w:footnote>
  <w:footnote w:id="4">
    <w:p w14:paraId="477ADFA2" w14:textId="12C331BE" w:rsidR="00D82564" w:rsidRDefault="00D82564">
      <w:pPr>
        <w:pStyle w:val="FootnoteText"/>
      </w:pPr>
      <w:r>
        <w:rPr>
          <w:rStyle w:val="FootnoteReference"/>
        </w:rPr>
        <w:footnoteRef/>
      </w:r>
      <w:r>
        <w:t xml:space="preserve"> Exploring Celtic Civilizations, </w:t>
      </w:r>
      <w:r>
        <w:rPr>
          <w:i/>
          <w:iCs/>
        </w:rPr>
        <w:t>Celtic Origins and Celticization &lt;</w:t>
      </w:r>
      <w:r w:rsidRPr="00D82564">
        <w:t>https://exploringcelticciv.web.unc.edu/celtic-origins-and-celticization/#discovering</w:t>
      </w:r>
      <w:r>
        <w:t>&gt; [accessed 27/12/2024].</w:t>
      </w:r>
    </w:p>
  </w:footnote>
  <w:footnote w:id="5">
    <w:p w14:paraId="1AC68EA9" w14:textId="71251251" w:rsidR="000B63F0" w:rsidRPr="000B63F0" w:rsidRDefault="00DD7763" w:rsidP="000B63F0">
      <w:pPr>
        <w:pStyle w:val="FootnoteText"/>
      </w:pPr>
      <w:bookmarkStart w:id="1" w:name="_Hlk186226722"/>
      <w:r>
        <w:rPr>
          <w:rStyle w:val="FootnoteReference"/>
        </w:rPr>
        <w:footnoteRef/>
      </w:r>
      <w:r>
        <w:t xml:space="preserve"> </w:t>
      </w:r>
      <w:r w:rsidR="000B63F0" w:rsidRPr="000B63F0">
        <w:t>John R</w:t>
      </w:r>
      <w:r w:rsidR="004527F6">
        <w:t>.</w:t>
      </w:r>
      <w:r w:rsidR="000B63F0" w:rsidRPr="000B63F0">
        <w:t xml:space="preserve"> Collis, ‘Celts Ancient and Modern: Recent Controversies in Celtic Studies</w:t>
      </w:r>
      <w:proofErr w:type="gramStart"/>
      <w:r w:rsidR="000B63F0" w:rsidRPr="000B63F0">
        <w:t>’,</w:t>
      </w:r>
      <w:proofErr w:type="gramEnd"/>
      <w:r w:rsidR="000B63F0" w:rsidRPr="000B63F0">
        <w:t xml:space="preserve"> </w:t>
      </w:r>
      <w:r w:rsidR="000B63F0" w:rsidRPr="000B63F0">
        <w:rPr>
          <w:i/>
          <w:iCs/>
        </w:rPr>
        <w:t>Studia Celtica Fennica</w:t>
      </w:r>
      <w:r w:rsidR="000B63F0" w:rsidRPr="000B63F0">
        <w:t>, 14 (2017), 58-70 (p. 62) &lt;https://journal.fi/scf/article/download/60981/38889/111523&gt; [accessed 27 December 2024].</w:t>
      </w:r>
    </w:p>
  </w:footnote>
  <w:footnote w:id="6">
    <w:p w14:paraId="14249CFD" w14:textId="6438A2B8" w:rsidR="00DD7763" w:rsidRDefault="00DD7763">
      <w:pPr>
        <w:pStyle w:val="FootnoteText"/>
      </w:pPr>
      <w:r>
        <w:rPr>
          <w:rStyle w:val="FootnoteReference"/>
        </w:rPr>
        <w:footnoteRef/>
      </w:r>
      <w:r>
        <w:t xml:space="preserve"> </w:t>
      </w:r>
      <w:r w:rsidR="004B7EE7">
        <w:t xml:space="preserve">Catherine Hills, </w:t>
      </w:r>
      <w:r w:rsidR="004B7EE7" w:rsidRPr="00F97848">
        <w:rPr>
          <w:i/>
          <w:iCs/>
        </w:rPr>
        <w:t>The Anglo-Saxon invasion and the beginnings of the ‘English</w:t>
      </w:r>
      <w:proofErr w:type="gramStart"/>
      <w:r w:rsidR="000B63F0">
        <w:t>’</w:t>
      </w:r>
      <w:r w:rsidR="004B7EE7">
        <w:t>,</w:t>
      </w:r>
      <w:proofErr w:type="gramEnd"/>
      <w:r w:rsidR="004B7EE7">
        <w:t xml:space="preserve"> Our Migration Story &lt;</w:t>
      </w:r>
      <w:r w:rsidR="004B7EE7" w:rsidRPr="00E61ABF">
        <w:t>https://www.ourmigrationstory.org.uk/oms/anglo-saxon-migrations</w:t>
      </w:r>
      <w:r w:rsidR="004B7EE7">
        <w:t>&gt;</w:t>
      </w:r>
      <w:r w:rsidR="00F97848">
        <w:t xml:space="preserve"> [accessed 27/12/2024]</w:t>
      </w:r>
      <w:r w:rsidR="00D82564">
        <w:t>.</w:t>
      </w:r>
    </w:p>
  </w:footnote>
  <w:footnote w:id="7">
    <w:p w14:paraId="778CFA75" w14:textId="1D7145F9" w:rsidR="00DD7763" w:rsidRDefault="00DD7763">
      <w:pPr>
        <w:pStyle w:val="FootnoteText"/>
      </w:pPr>
      <w:r>
        <w:rPr>
          <w:rStyle w:val="FootnoteReference"/>
        </w:rPr>
        <w:footnoteRef/>
      </w:r>
      <w:r>
        <w:t xml:space="preserve"> </w:t>
      </w:r>
      <w:r w:rsidR="000B63F0">
        <w:t>I</w:t>
      </w:r>
      <w:r w:rsidR="004B7EE7">
        <w:t>bid</w:t>
      </w:r>
      <w:r w:rsidR="000B63F0">
        <w:t xml:space="preserve">. </w:t>
      </w:r>
    </w:p>
  </w:footnote>
  <w:footnote w:id="8">
    <w:p w14:paraId="2C00CAA6" w14:textId="5CC3900D" w:rsidR="00D45F59" w:rsidRDefault="00D45F59">
      <w:pPr>
        <w:pStyle w:val="FootnoteText"/>
      </w:pPr>
      <w:bookmarkStart w:id="2" w:name="_Hlk186226729"/>
      <w:r>
        <w:rPr>
          <w:rStyle w:val="FootnoteReference"/>
        </w:rPr>
        <w:footnoteRef/>
      </w:r>
      <w:r>
        <w:t xml:space="preserve"> History.com, </w:t>
      </w:r>
      <w:r w:rsidR="00F97848" w:rsidRPr="00F97848">
        <w:rPr>
          <w:i/>
          <w:iCs/>
        </w:rPr>
        <w:t>W</w:t>
      </w:r>
      <w:r w:rsidRPr="00F97848">
        <w:rPr>
          <w:i/>
          <w:iCs/>
        </w:rPr>
        <w:t xml:space="preserve">ho </w:t>
      </w:r>
      <w:r w:rsidR="00F97848" w:rsidRPr="00F97848">
        <w:rPr>
          <w:i/>
          <w:iCs/>
        </w:rPr>
        <w:t>W</w:t>
      </w:r>
      <w:r w:rsidRPr="00F97848">
        <w:rPr>
          <w:i/>
          <w:iCs/>
        </w:rPr>
        <w:t xml:space="preserve">ere the </w:t>
      </w:r>
      <w:r w:rsidR="00F97848" w:rsidRPr="00F97848">
        <w:rPr>
          <w:i/>
          <w:iCs/>
        </w:rPr>
        <w:t>C</w:t>
      </w:r>
      <w:r w:rsidRPr="00F97848">
        <w:rPr>
          <w:i/>
          <w:iCs/>
        </w:rPr>
        <w:t>elts</w:t>
      </w:r>
      <w:r w:rsidR="00F71E82">
        <w:t xml:space="preserve"> </w:t>
      </w:r>
      <w:r w:rsidR="000B63F0">
        <w:t>&lt;</w:t>
      </w:r>
      <w:r w:rsidR="000B63F0" w:rsidRPr="000B63F0">
        <w:t>https://www.history.com/topics/european-history/celts</w:t>
      </w:r>
      <w:r w:rsidR="000B63F0">
        <w:t>&gt; [accessed 27/12/2024].</w:t>
      </w:r>
    </w:p>
  </w:footnote>
  <w:footnote w:id="9">
    <w:p w14:paraId="1251BE4B" w14:textId="4ABBB2FC" w:rsidR="00DD7763" w:rsidRDefault="00DD7763">
      <w:pPr>
        <w:pStyle w:val="FootnoteText"/>
      </w:pPr>
      <w:r>
        <w:rPr>
          <w:rStyle w:val="FootnoteReference"/>
        </w:rPr>
        <w:footnoteRef/>
      </w:r>
      <w:r>
        <w:t xml:space="preserve"> </w:t>
      </w:r>
      <w:r w:rsidR="00D82564">
        <w:t xml:space="preserve">History.org, </w:t>
      </w:r>
      <w:r w:rsidR="00D82564">
        <w:rPr>
          <w:i/>
          <w:iCs/>
        </w:rPr>
        <w:t>Anglo-Saxons: a brief history</w:t>
      </w:r>
      <w:r w:rsidR="00F71E82">
        <w:rPr>
          <w:i/>
          <w:iCs/>
        </w:rPr>
        <w:t xml:space="preserve"> </w:t>
      </w:r>
      <w:r w:rsidR="00D82564">
        <w:rPr>
          <w:i/>
          <w:iCs/>
        </w:rPr>
        <w:t>&lt;</w:t>
      </w:r>
      <w:r w:rsidR="00D82564" w:rsidRPr="00D82564">
        <w:t>https://www.history.org.uk/primary/resource/3865/anglo-saxons-a-brief-history</w:t>
      </w:r>
      <w:r w:rsidR="00D82564">
        <w:t>&gt;</w:t>
      </w:r>
      <w:r w:rsidR="000B63F0">
        <w:t xml:space="preserve"> </w:t>
      </w:r>
      <w:r w:rsidR="00D82564">
        <w:t>[accessed 27/12/2024].</w:t>
      </w:r>
    </w:p>
  </w:footnote>
  <w:footnote w:id="10">
    <w:p w14:paraId="45976DAD" w14:textId="69CA4118" w:rsidR="00DD7763" w:rsidRDefault="00DD7763">
      <w:pPr>
        <w:pStyle w:val="FootnoteText"/>
      </w:pPr>
      <w:r>
        <w:rPr>
          <w:rStyle w:val="FootnoteReference"/>
        </w:rPr>
        <w:footnoteRef/>
      </w:r>
      <w:r>
        <w:t xml:space="preserve"> </w:t>
      </w:r>
      <w:r w:rsidR="00F97848">
        <w:t xml:space="preserve">Catherine Hills, </w:t>
      </w:r>
      <w:r w:rsidR="00F97848" w:rsidRPr="00F97848">
        <w:rPr>
          <w:i/>
          <w:iCs/>
        </w:rPr>
        <w:t>The Anglo-Saxon invasion and the beginnings of the ‘English</w:t>
      </w:r>
      <w:proofErr w:type="gramStart"/>
      <w:r w:rsidR="000B63F0">
        <w:rPr>
          <w:i/>
          <w:iCs/>
        </w:rPr>
        <w:t>’</w:t>
      </w:r>
      <w:r w:rsidR="00F97848">
        <w:t>,</w:t>
      </w:r>
      <w:proofErr w:type="gramEnd"/>
      <w:r w:rsidR="00F97848">
        <w:t xml:space="preserve"> Our Migration Story &lt;</w:t>
      </w:r>
      <w:r w:rsidR="00F97848" w:rsidRPr="00E61ABF">
        <w:t>https://www.ourmigrationstory.org.uk/oms/anglo-saxon-migrations</w:t>
      </w:r>
      <w:r w:rsidR="00F97848">
        <w:t>&gt; [accessed 27/12/2024]</w:t>
      </w:r>
      <w:r w:rsidR="00D82564">
        <w:t>.</w:t>
      </w:r>
    </w:p>
  </w:footnote>
  <w:footnote w:id="11">
    <w:p w14:paraId="1880F792" w14:textId="2F930427" w:rsidR="008144E3" w:rsidRDefault="00DD7763">
      <w:pPr>
        <w:pStyle w:val="FootnoteText"/>
      </w:pPr>
      <w:r>
        <w:rPr>
          <w:rStyle w:val="FootnoteReference"/>
        </w:rPr>
        <w:footnoteRef/>
      </w:r>
      <w:r>
        <w:t xml:space="preserve"> </w:t>
      </w:r>
      <w:r w:rsidR="008144E3">
        <w:t xml:space="preserve">Fiveable, </w:t>
      </w:r>
      <w:r w:rsidR="008144E3" w:rsidRPr="00F97848">
        <w:rPr>
          <w:i/>
          <w:iCs/>
        </w:rPr>
        <w:t>12.1 Continuity and change in post-conquest England</w:t>
      </w:r>
      <w:r w:rsidR="008144E3">
        <w:t xml:space="preserve"> </w:t>
      </w:r>
      <w:r w:rsidR="00F71E82">
        <w:t xml:space="preserve">(2024) </w:t>
      </w:r>
      <w:r w:rsidR="008144E3">
        <w:t>&lt;</w:t>
      </w:r>
      <w:r w:rsidR="00973B84" w:rsidRPr="00E61ABF">
        <w:t>https://fiveable.me/anglo-saxon-england/unit-12/continuity-change-post-conquest-england/study-guide/hb090EaUIutTfZTs</w:t>
      </w:r>
      <w:r w:rsidR="008144E3">
        <w:t>&gt;</w:t>
      </w:r>
      <w:r w:rsidR="00973B84">
        <w:t xml:space="preserve"> </w:t>
      </w:r>
      <w:r w:rsidR="00973B84">
        <w:t>[accessed 27/12/2024]</w:t>
      </w:r>
      <w:r w:rsidR="00D82564">
        <w:t>.</w:t>
      </w:r>
    </w:p>
  </w:footnote>
  <w:footnote w:id="12">
    <w:p w14:paraId="369C3CFC" w14:textId="43FEFB50" w:rsidR="00DD7763" w:rsidRDefault="00DD7763">
      <w:pPr>
        <w:pStyle w:val="FootnoteText"/>
      </w:pPr>
      <w:r>
        <w:rPr>
          <w:rStyle w:val="FootnoteReference"/>
        </w:rPr>
        <w:footnoteRef/>
      </w:r>
      <w:r>
        <w:t xml:space="preserve"> </w:t>
      </w:r>
      <w:r w:rsidR="008144E3">
        <w:t>Isabella</w:t>
      </w:r>
      <w:r w:rsidR="00F71E82">
        <w:t xml:space="preserve"> Bennett</w:t>
      </w:r>
      <w:r w:rsidR="008144E3">
        <w:t xml:space="preserve">, </w:t>
      </w:r>
      <w:r w:rsidR="008144E3" w:rsidRPr="00F97848">
        <w:rPr>
          <w:i/>
          <w:iCs/>
        </w:rPr>
        <w:t>6 ways Anglo-Saxon Invasion Shaped British Culture,</w:t>
      </w:r>
      <w:r w:rsidR="008144E3">
        <w:t xml:space="preserve"> Ages of Albion &lt;</w:t>
      </w:r>
      <w:r w:rsidR="008144E3" w:rsidRPr="000B63F0">
        <w:t>https://agesofalbion.com/anglo-saxon/6-ways-anglo-saxon-invasion-shaped-british-culture/</w:t>
      </w:r>
      <w:r w:rsidR="008144E3">
        <w:t>&gt;</w:t>
      </w:r>
      <w:r w:rsidR="00973B84">
        <w:t xml:space="preserve"> </w:t>
      </w:r>
      <w:r w:rsidR="00973B84">
        <w:t>[accessed 27/12/2024]</w:t>
      </w:r>
      <w:r w:rsidR="00D82564">
        <w:t>.</w:t>
      </w:r>
    </w:p>
  </w:footnote>
  <w:footnote w:id="13">
    <w:p w14:paraId="4F200BEF" w14:textId="27FBFB6A" w:rsidR="00DD7763" w:rsidRDefault="00DD7763" w:rsidP="00F97848">
      <w:pPr>
        <w:pStyle w:val="FootnoteText"/>
      </w:pPr>
      <w:bookmarkStart w:id="3" w:name="_Hlk186226735"/>
      <w:r>
        <w:rPr>
          <w:rStyle w:val="FootnoteReference"/>
        </w:rPr>
        <w:footnoteRef/>
      </w:r>
      <w:r>
        <w:t xml:space="preserve"> </w:t>
      </w:r>
      <w:r w:rsidR="00F97848" w:rsidRPr="00F97848">
        <w:t xml:space="preserve">Barry Cunliffe, </w:t>
      </w:r>
      <w:r w:rsidR="00F97848" w:rsidRPr="00F97848">
        <w:rPr>
          <w:i/>
          <w:iCs/>
        </w:rPr>
        <w:t>The Ancient Celts</w:t>
      </w:r>
      <w:r w:rsidR="00F97848" w:rsidRPr="00F97848">
        <w:t>, 2nd edn. (Oxford: Oxford</w:t>
      </w:r>
      <w:r w:rsidR="004A7582">
        <w:t xml:space="preserve"> </w:t>
      </w:r>
      <w:r w:rsidR="00F97848" w:rsidRPr="00F97848">
        <w:t xml:space="preserve">University Press, 2018), p. </w:t>
      </w:r>
      <w:r w:rsidR="00F97848">
        <w:t>16</w:t>
      </w:r>
      <w:r w:rsidR="00F71E82">
        <w:t>.</w:t>
      </w:r>
    </w:p>
  </w:footnote>
  <w:footnote w:id="14">
    <w:p w14:paraId="20F6E8B1" w14:textId="66E7D18D" w:rsidR="002E227A" w:rsidRDefault="00DD7763">
      <w:pPr>
        <w:pStyle w:val="FootnoteText"/>
      </w:pPr>
      <w:r>
        <w:rPr>
          <w:rStyle w:val="FootnoteReference"/>
        </w:rPr>
        <w:footnoteRef/>
      </w:r>
      <w:r>
        <w:t xml:space="preserve"> </w:t>
      </w:r>
      <w:r w:rsidR="008144E3">
        <w:t>Centre of Excellence</w:t>
      </w:r>
      <w:r w:rsidR="00F97848">
        <w:t xml:space="preserve">, </w:t>
      </w:r>
      <w:r w:rsidR="008144E3" w:rsidRPr="00F97848">
        <w:rPr>
          <w:i/>
          <w:iCs/>
        </w:rPr>
        <w:t>History of the English Language</w:t>
      </w:r>
      <w:r w:rsidR="008144E3">
        <w:t xml:space="preserve"> </w:t>
      </w:r>
      <w:r w:rsidR="002E227A">
        <w:t>&lt;</w:t>
      </w:r>
      <w:r w:rsidR="00FA1698" w:rsidRPr="000B63F0">
        <w:t>https://www.centreofexcellence.com/history-of-the-english-language/</w:t>
      </w:r>
      <w:r w:rsidR="002E227A">
        <w:t>&gt;</w:t>
      </w:r>
      <w:r w:rsidR="00FA1698">
        <w:t xml:space="preserve"> </w:t>
      </w:r>
      <w:r w:rsidR="00FA1698">
        <w:t>[a</w:t>
      </w:r>
      <w:r w:rsidR="00FA1698" w:rsidRPr="002E227A">
        <w:t>ccessed 27 December 2024</w:t>
      </w:r>
      <w:r w:rsidR="00FA1698">
        <w:t>]</w:t>
      </w:r>
      <w:r w:rsidR="00D82564">
        <w:t>.</w:t>
      </w:r>
    </w:p>
  </w:footnote>
  <w:footnote w:id="15">
    <w:p w14:paraId="22E18A42" w14:textId="53C3284E" w:rsidR="00DD7763" w:rsidRDefault="00DD7763">
      <w:pPr>
        <w:pStyle w:val="FootnoteText"/>
      </w:pPr>
      <w:r>
        <w:rPr>
          <w:rStyle w:val="FootnoteReference"/>
        </w:rPr>
        <w:footnoteRef/>
      </w:r>
      <w:r>
        <w:t xml:space="preserve"> </w:t>
      </w:r>
      <w:r w:rsidR="00F71E82" w:rsidRPr="002E227A">
        <w:t>Encyclopedia Britannica</w:t>
      </w:r>
      <w:r w:rsidR="00F71E82">
        <w:t>,</w:t>
      </w:r>
      <w:r w:rsidR="002E227A" w:rsidRPr="002E227A">
        <w:t xml:space="preserve"> </w:t>
      </w:r>
      <w:r w:rsidR="002E227A" w:rsidRPr="00FA1698">
        <w:rPr>
          <w:i/>
          <w:iCs/>
        </w:rPr>
        <w:t>Norman</w:t>
      </w:r>
      <w:r w:rsidR="00F71E82">
        <w:rPr>
          <w:i/>
          <w:iCs/>
        </w:rPr>
        <w:t xml:space="preserve"> People</w:t>
      </w:r>
      <w:r w:rsidR="00FA1698">
        <w:t>,</w:t>
      </w:r>
      <w:r w:rsidR="002E227A" w:rsidRPr="002E227A">
        <w:t xml:space="preserve"> </w:t>
      </w:r>
      <w:r w:rsidR="00F71E82">
        <w:t>(</w:t>
      </w:r>
      <w:r w:rsidR="002E227A" w:rsidRPr="002E227A">
        <w:t>2024</w:t>
      </w:r>
      <w:r w:rsidR="00F71E82">
        <w:t>)</w:t>
      </w:r>
      <w:r w:rsidR="002E227A" w:rsidRPr="002E227A">
        <w:t xml:space="preserve"> </w:t>
      </w:r>
      <w:r w:rsidR="00FA1698">
        <w:t>&lt;</w:t>
      </w:r>
      <w:r w:rsidR="002E227A" w:rsidRPr="002E227A">
        <w:t>https://www.britannica.com/topic/Norman-people.</w:t>
      </w:r>
      <w:r w:rsidR="00FA1698">
        <w:t>&gt;</w:t>
      </w:r>
      <w:r w:rsidR="002E227A" w:rsidRPr="002E227A">
        <w:t xml:space="preserve"> </w:t>
      </w:r>
      <w:r w:rsidR="00FA1698">
        <w:t>[a</w:t>
      </w:r>
      <w:r w:rsidR="002E227A" w:rsidRPr="002E227A">
        <w:t>ccessed 27 December 2024</w:t>
      </w:r>
      <w:r w:rsidR="00FA1698">
        <w:t>]</w:t>
      </w:r>
      <w:r w:rsidR="00D82564">
        <w:t>.</w:t>
      </w:r>
    </w:p>
  </w:footnote>
  <w:footnote w:id="16">
    <w:p w14:paraId="452102FA" w14:textId="523E6635" w:rsidR="00DD7763" w:rsidRDefault="00DD7763">
      <w:pPr>
        <w:pStyle w:val="FootnoteText"/>
      </w:pPr>
      <w:r>
        <w:rPr>
          <w:rStyle w:val="FootnoteReference"/>
        </w:rPr>
        <w:footnoteRef/>
      </w:r>
      <w:r>
        <w:t xml:space="preserve"> </w:t>
      </w:r>
      <w:r w:rsidR="002E227A">
        <w:t xml:space="preserve">Keith Dobney, </w:t>
      </w:r>
      <w:r w:rsidR="00F71E82">
        <w:t>‘</w:t>
      </w:r>
      <w:r w:rsidR="002E227A" w:rsidRPr="00F71E82">
        <w:t>Being Anglo-Saxon a matter of language and culture, not genetics</w:t>
      </w:r>
      <w:proofErr w:type="gramStart"/>
      <w:r w:rsidR="00F71E82">
        <w:t>’</w:t>
      </w:r>
      <w:r w:rsidR="002E227A" w:rsidRPr="00FA1698">
        <w:rPr>
          <w:i/>
          <w:iCs/>
        </w:rPr>
        <w:t>,</w:t>
      </w:r>
      <w:proofErr w:type="gramEnd"/>
      <w:r w:rsidR="002E227A" w:rsidRPr="00FA1698">
        <w:rPr>
          <w:i/>
          <w:iCs/>
        </w:rPr>
        <w:t xml:space="preserve"> </w:t>
      </w:r>
      <w:r w:rsidR="002E227A" w:rsidRPr="00F71E82">
        <w:rPr>
          <w:i/>
          <w:iCs/>
        </w:rPr>
        <w:t>University of Sydney</w:t>
      </w:r>
      <w:r w:rsidR="00F71E82">
        <w:t>, 24 June 2021</w:t>
      </w:r>
      <w:r w:rsidR="002E227A">
        <w:t xml:space="preserve"> </w:t>
      </w:r>
      <w:r w:rsidR="00FA1698">
        <w:t>&lt;</w:t>
      </w:r>
      <w:r w:rsidR="00FA1698" w:rsidRPr="000B63F0">
        <w:t>https://www.sydney.edu.au/news-opinion/news/2021/06/24/being-anglo-saxon-a-matter-of-language-and-culture-not-genetics.html</w:t>
      </w:r>
      <w:r w:rsidR="00FA1698">
        <w:t xml:space="preserve">&gt; </w:t>
      </w:r>
      <w:r w:rsidR="00FA1698">
        <w:t>[a</w:t>
      </w:r>
      <w:r w:rsidR="00FA1698" w:rsidRPr="002E227A">
        <w:t>ccessed 27 December 2024</w:t>
      </w:r>
      <w:r w:rsidR="00FA1698">
        <w:t>]</w:t>
      </w:r>
      <w:r w:rsidR="00D82564">
        <w:t>.</w:t>
      </w:r>
    </w:p>
  </w:footnote>
  <w:footnote w:id="17">
    <w:p w14:paraId="2DE6B556" w14:textId="7FFF78B0" w:rsidR="00DD7763" w:rsidRDefault="00DD7763">
      <w:pPr>
        <w:pStyle w:val="FootnoteText"/>
      </w:pPr>
      <w:bookmarkStart w:id="4" w:name="_Hlk186226740"/>
      <w:r>
        <w:rPr>
          <w:rStyle w:val="FootnoteReference"/>
        </w:rPr>
        <w:footnoteRef/>
      </w:r>
      <w:r>
        <w:t xml:space="preserve"> </w:t>
      </w:r>
      <w:r w:rsidR="00F71E82">
        <w:t>Encyclopedia Britannica,</w:t>
      </w:r>
      <w:r w:rsidR="00CC5CEC" w:rsidRPr="00CC5CEC">
        <w:t xml:space="preserve"> </w:t>
      </w:r>
      <w:r w:rsidR="000B63F0">
        <w:rPr>
          <w:i/>
          <w:iCs/>
        </w:rPr>
        <w:t>Druid</w:t>
      </w:r>
      <w:r w:rsidR="00CC5CEC" w:rsidRPr="00CC5CEC">
        <w:t xml:space="preserve"> </w:t>
      </w:r>
      <w:r w:rsidR="00F71E82">
        <w:t>(</w:t>
      </w:r>
      <w:r w:rsidR="00CC5CEC" w:rsidRPr="00CC5CEC">
        <w:t>2024</w:t>
      </w:r>
      <w:r w:rsidR="00F71E82">
        <w:t>)</w:t>
      </w:r>
      <w:r w:rsidR="00CC5CEC" w:rsidRPr="00CC5CEC">
        <w:t xml:space="preserve"> </w:t>
      </w:r>
      <w:r w:rsidR="000B63F0">
        <w:t>&lt;</w:t>
      </w:r>
      <w:r w:rsidR="00CC5CEC" w:rsidRPr="00CC5CEC">
        <w:t>https://www.britannica.com/topic/Druid</w:t>
      </w:r>
      <w:r w:rsidR="000B63F0">
        <w:t>&gt;</w:t>
      </w:r>
      <w:r w:rsidR="00CC5CEC" w:rsidRPr="00CC5CEC">
        <w:t xml:space="preserve"> </w:t>
      </w:r>
      <w:r w:rsidR="000B63F0">
        <w:t>[</w:t>
      </w:r>
      <w:r w:rsidR="00CC5CEC" w:rsidRPr="00CC5CEC">
        <w:t>Accessed 27 December 2024</w:t>
      </w:r>
      <w:r w:rsidR="000B63F0">
        <w:t>]</w:t>
      </w:r>
      <w:r w:rsidR="00CC5CEC" w:rsidRPr="00CC5CEC">
        <w:t>.</w:t>
      </w:r>
    </w:p>
  </w:footnote>
  <w:footnote w:id="18">
    <w:p w14:paraId="7EDAE7AF" w14:textId="795039BA" w:rsidR="00DD7763" w:rsidRDefault="00DD7763">
      <w:pPr>
        <w:pStyle w:val="FootnoteText"/>
      </w:pPr>
      <w:r>
        <w:rPr>
          <w:rStyle w:val="FootnoteReference"/>
        </w:rPr>
        <w:footnoteRef/>
      </w:r>
      <w:r>
        <w:t xml:space="preserve"> </w:t>
      </w:r>
      <w:r w:rsidR="00F97848">
        <w:t xml:space="preserve">Catherine Hills, </w:t>
      </w:r>
      <w:r w:rsidR="00F97848" w:rsidRPr="00F97848">
        <w:rPr>
          <w:i/>
          <w:iCs/>
        </w:rPr>
        <w:t>The Anglo-Saxon invasion and the beginnings of the ‘English</w:t>
      </w:r>
      <w:proofErr w:type="gramStart"/>
      <w:r w:rsidR="00F71E82">
        <w:rPr>
          <w:i/>
          <w:iCs/>
        </w:rPr>
        <w:t>’</w:t>
      </w:r>
      <w:r w:rsidR="00F97848">
        <w:t>,</w:t>
      </w:r>
      <w:proofErr w:type="gramEnd"/>
      <w:r w:rsidR="00F97848">
        <w:t xml:space="preserve"> Our Migration Story &lt;</w:t>
      </w:r>
      <w:r w:rsidR="00F97848" w:rsidRPr="000B63F0">
        <w:t>https://www.ourmigrationstory.org.uk/oms/anglo-saxon-migrations</w:t>
      </w:r>
      <w:r w:rsidR="00F97848">
        <w:t>&gt; [accessed 27/12/2024]</w:t>
      </w:r>
      <w:r w:rsidR="00D82564">
        <w:t>.</w:t>
      </w:r>
    </w:p>
  </w:footnote>
  <w:footnote w:id="19">
    <w:p w14:paraId="43202B3D" w14:textId="21A6C227" w:rsidR="00DD7763" w:rsidRPr="002E227A" w:rsidRDefault="00DD7763">
      <w:pPr>
        <w:pStyle w:val="FootnoteText"/>
        <w:rPr>
          <w:b/>
          <w:bCs/>
        </w:rPr>
      </w:pPr>
      <w:r>
        <w:rPr>
          <w:rStyle w:val="FootnoteReference"/>
        </w:rPr>
        <w:footnoteRef/>
      </w:r>
      <w:r>
        <w:t xml:space="preserve"> </w:t>
      </w:r>
      <w:r w:rsidR="002E227A">
        <w:t xml:space="preserve">Classically Christian, </w:t>
      </w:r>
      <w:r w:rsidR="002E227A" w:rsidRPr="00FA1698">
        <w:rPr>
          <w:i/>
          <w:iCs/>
        </w:rPr>
        <w:t>An excursus on the Synod of Whitby (AD 664) and Celtic Christianity</w:t>
      </w:r>
      <w:r w:rsidR="00F71E82">
        <w:rPr>
          <w:i/>
          <w:iCs/>
        </w:rPr>
        <w:t xml:space="preserve"> </w:t>
      </w:r>
      <w:r w:rsidR="000B63F0">
        <w:t>&lt;</w:t>
      </w:r>
      <w:r w:rsidR="000B63F0" w:rsidRPr="000B63F0">
        <w:t>https://thepocketscroll.wordpress.com/2013/10/13/an-excursus-on-the-synod-of-whitby-ad-664-and-celtic-christianity/</w:t>
      </w:r>
      <w:r w:rsidR="000B63F0">
        <w:t>&gt;</w:t>
      </w:r>
      <w:r w:rsidR="00973B84">
        <w:t xml:space="preserve"> </w:t>
      </w:r>
      <w:r w:rsidR="00973B84">
        <w:t>[accessed 27/12/2024]</w:t>
      </w:r>
      <w:r w:rsidR="00D82564">
        <w:t>.</w:t>
      </w:r>
    </w:p>
  </w:footnote>
  <w:footnote w:id="20">
    <w:p w14:paraId="1E6D9871" w14:textId="4B7C4DB2" w:rsidR="002E227A" w:rsidRDefault="00DD7763">
      <w:pPr>
        <w:pStyle w:val="FootnoteText"/>
      </w:pPr>
      <w:r>
        <w:rPr>
          <w:rStyle w:val="FootnoteReference"/>
        </w:rPr>
        <w:footnoteRef/>
      </w:r>
      <w:r>
        <w:t xml:space="preserve"> </w:t>
      </w:r>
      <w:r w:rsidR="002E227A">
        <w:t xml:space="preserve">Julius Caesar, </w:t>
      </w:r>
      <w:r w:rsidR="002E227A" w:rsidRPr="00FA1698">
        <w:rPr>
          <w:i/>
          <w:iCs/>
        </w:rPr>
        <w:t>De Bello Gallico</w:t>
      </w:r>
      <w:r w:rsidR="004527F6">
        <w:rPr>
          <w:i/>
          <w:iCs/>
        </w:rPr>
        <w:t>, 53BCE</w:t>
      </w:r>
      <w:r w:rsidR="002E227A">
        <w:t xml:space="preserve">, </w:t>
      </w:r>
      <w:r w:rsidR="004527F6">
        <w:t>trans. by W. A. McDevitte (Project Gutenberg, 2020)</w:t>
      </w:r>
      <w:r w:rsidR="002E227A">
        <w:t xml:space="preserve"> &lt;</w:t>
      </w:r>
      <w:r w:rsidR="00FA1698" w:rsidRPr="000B63F0">
        <w:t>https://www.gutenberg.org/cache/epub/10657/pg10657-images.html</w:t>
      </w:r>
      <w:r w:rsidR="002E227A">
        <w:t>&gt;</w:t>
      </w:r>
      <w:r w:rsidR="00973B84">
        <w:t xml:space="preserve"> </w:t>
      </w:r>
      <w:r w:rsidR="00973B84">
        <w:t>[accessed 27/12/2024]</w:t>
      </w:r>
      <w:r w:rsidR="00D82564">
        <w:t>.</w:t>
      </w:r>
    </w:p>
  </w:footnote>
  <w:footnote w:id="21">
    <w:p w14:paraId="0F3FE337" w14:textId="7ABD8AD0" w:rsidR="00DD7763" w:rsidRDefault="00DD7763">
      <w:pPr>
        <w:pStyle w:val="FootnoteText"/>
      </w:pPr>
      <w:r>
        <w:rPr>
          <w:rStyle w:val="FootnoteReference"/>
        </w:rPr>
        <w:footnoteRef/>
      </w:r>
      <w:r>
        <w:t xml:space="preserve"> </w:t>
      </w:r>
      <w:r w:rsidR="00236874">
        <w:t xml:space="preserve">The Anglo Saxons, </w:t>
      </w:r>
      <w:r w:rsidR="00236874" w:rsidRPr="00FA1698">
        <w:rPr>
          <w:i/>
          <w:iCs/>
        </w:rPr>
        <w:t>Gildas</w:t>
      </w:r>
      <w:r w:rsidR="00236874">
        <w:t xml:space="preserve"> &lt;</w:t>
      </w:r>
      <w:r w:rsidR="00236874" w:rsidRPr="000B63F0">
        <w:t>https://www.theanglosaxons.com/clergy-saints/gildas/</w:t>
      </w:r>
      <w:r w:rsidR="00236874">
        <w:t>&gt;</w:t>
      </w:r>
      <w:r w:rsidR="00973B84">
        <w:t xml:space="preserve"> </w:t>
      </w:r>
      <w:r w:rsidR="00973B84">
        <w:t>[accessed 27/12/2024]</w:t>
      </w:r>
      <w:r w:rsidR="00D82564">
        <w:t>.</w:t>
      </w:r>
    </w:p>
  </w:footnote>
  <w:footnote w:id="22">
    <w:p w14:paraId="740A0967" w14:textId="54835602" w:rsidR="00DD7763" w:rsidRDefault="00DD7763">
      <w:pPr>
        <w:pStyle w:val="FootnoteText"/>
      </w:pPr>
      <w:bookmarkStart w:id="5" w:name="_Hlk186226745"/>
      <w:r>
        <w:rPr>
          <w:rStyle w:val="FootnoteReference"/>
        </w:rPr>
        <w:footnoteRef/>
      </w:r>
      <w:r>
        <w:t xml:space="preserve"> </w:t>
      </w:r>
      <w:r w:rsidR="00D932ED">
        <w:t xml:space="preserve">University of Chicago, </w:t>
      </w:r>
      <w:r w:rsidR="00D932ED" w:rsidRPr="00FA1698">
        <w:rPr>
          <w:i/>
          <w:iCs/>
        </w:rPr>
        <w:t>Paschal Calendar</w:t>
      </w:r>
      <w:r w:rsidR="00D932ED">
        <w:t xml:space="preserve"> &lt;</w:t>
      </w:r>
      <w:r w:rsidR="00D932ED" w:rsidRPr="00D932ED">
        <w:t>https://penelope.uchicago.edu/encyclopaedia_romana/britannia/anglo-saxon/earlychurch/paschal.html#:~:text=Bede%20regards%20the%20nonconformity%20of,reserves%20for%20the%20Pelagian%20heretics</w:t>
      </w:r>
      <w:r w:rsidR="00D932ED">
        <w:t xml:space="preserve">&gt; </w:t>
      </w:r>
      <w:r w:rsidR="00973B84">
        <w:t>[accessed 27/12/2024]</w:t>
      </w:r>
      <w:r w:rsidR="00D82564">
        <w:t>.</w:t>
      </w:r>
    </w:p>
  </w:footnote>
  <w:footnote w:id="23">
    <w:p w14:paraId="1060E4EF" w14:textId="43A41893" w:rsidR="00DD7763" w:rsidRPr="00ED58A8" w:rsidRDefault="00DD7763" w:rsidP="00ED58A8">
      <w:pPr>
        <w:pStyle w:val="FootnoteText"/>
        <w:tabs>
          <w:tab w:val="left" w:pos="3435"/>
        </w:tabs>
        <w:rPr>
          <w:b/>
          <w:bCs/>
        </w:rPr>
      </w:pPr>
      <w:r>
        <w:rPr>
          <w:rStyle w:val="FootnoteReference"/>
        </w:rPr>
        <w:footnoteRef/>
      </w:r>
      <w:r w:rsidR="00ED58A8">
        <w:t xml:space="preserve"> Carissa </w:t>
      </w:r>
      <w:r w:rsidR="00ED58A8" w:rsidRPr="00F97848">
        <w:t xml:space="preserve">Wong, </w:t>
      </w:r>
      <w:r w:rsidR="00ED58A8" w:rsidRPr="00FA1698">
        <w:rPr>
          <w:i/>
          <w:iCs/>
        </w:rPr>
        <w:t>Bronze Age migration may have brought Celtic languages to Britain</w:t>
      </w:r>
      <w:r w:rsidR="00ED58A8" w:rsidRPr="00F97848">
        <w:t>, New Scientist &lt;</w:t>
      </w:r>
      <w:r w:rsidR="00ED58A8" w:rsidRPr="00F97848">
        <w:t>https://www.newscientist.com/article/2302954-bronze-age-migration-may-have-brought-celtic-languages-to-britain/</w:t>
      </w:r>
      <w:r w:rsidR="00ED58A8" w:rsidRPr="00F97848">
        <w:t>&gt;</w:t>
      </w:r>
      <w:r w:rsidR="00973B84">
        <w:t xml:space="preserve"> </w:t>
      </w:r>
      <w:r w:rsidR="00973B84">
        <w:t>[accessed 27/12/2024]</w:t>
      </w:r>
      <w:r w:rsidR="00D82564">
        <w:t>.</w:t>
      </w:r>
    </w:p>
  </w:footnote>
  <w:footnote w:id="24">
    <w:p w14:paraId="5A01DCEB" w14:textId="6B772602" w:rsidR="00DD7763" w:rsidRDefault="00DD7763">
      <w:pPr>
        <w:pStyle w:val="FootnoteText"/>
      </w:pPr>
      <w:r>
        <w:rPr>
          <w:rStyle w:val="FootnoteReference"/>
        </w:rPr>
        <w:footnoteRef/>
      </w:r>
      <w:r>
        <w:t xml:space="preserve"> </w:t>
      </w:r>
      <w:r w:rsidR="00F97848">
        <w:t xml:space="preserve">Catherine Hills, </w:t>
      </w:r>
      <w:r w:rsidR="00F97848" w:rsidRPr="00F97848">
        <w:rPr>
          <w:i/>
          <w:iCs/>
        </w:rPr>
        <w:t>The Anglo-Saxon invasion and the beginnings of the ‘English</w:t>
      </w:r>
      <w:r w:rsidR="00F97848">
        <w:t>, Our Migration Story &lt;</w:t>
      </w:r>
      <w:r w:rsidR="00F97848" w:rsidRPr="000B63F0">
        <w:t>https://www.ourmigrationstory.org.uk/oms/anglo-saxon-migrations</w:t>
      </w:r>
      <w:r w:rsidR="00F97848">
        <w:t>&gt; [accessed 27/12/2024]</w:t>
      </w:r>
      <w:r w:rsidR="00D82564">
        <w:t>.</w:t>
      </w:r>
    </w:p>
  </w:footnote>
  <w:footnote w:id="25">
    <w:p w14:paraId="12B4283D" w14:textId="331BC0A0" w:rsidR="00DD7763" w:rsidRDefault="00DD7763" w:rsidP="00F97848">
      <w:pPr>
        <w:pStyle w:val="FootnoteText"/>
      </w:pPr>
      <w:r>
        <w:rPr>
          <w:rStyle w:val="FootnoteReference"/>
        </w:rPr>
        <w:footnoteRef/>
      </w:r>
      <w:r>
        <w:t xml:space="preserve"> </w:t>
      </w:r>
      <w:r w:rsidR="00F97848" w:rsidRPr="00F97848">
        <w:t xml:space="preserve">Barry Cunliffe, </w:t>
      </w:r>
      <w:r w:rsidR="00F97848" w:rsidRPr="00F97848">
        <w:rPr>
          <w:i/>
          <w:iCs/>
        </w:rPr>
        <w:t>The Ancient Celts</w:t>
      </w:r>
      <w:r w:rsidR="00F97848" w:rsidRPr="00F97848">
        <w:t>, 2nd edn. (Oxford: Oxford</w:t>
      </w:r>
      <w:r w:rsidR="004527F6">
        <w:t xml:space="preserve"> </w:t>
      </w:r>
      <w:r w:rsidR="00F97848" w:rsidRPr="00F97848">
        <w:t xml:space="preserve">University Press, 2018), p. </w:t>
      </w:r>
      <w:r w:rsidR="00F97848">
        <w:t>16</w:t>
      </w:r>
      <w:r w:rsidR="004527F6">
        <w:t>.</w:t>
      </w:r>
    </w:p>
  </w:footnote>
  <w:footnote w:id="26">
    <w:p w14:paraId="66D876AF" w14:textId="2D82254A" w:rsidR="00DD7763" w:rsidRDefault="00DD7763">
      <w:pPr>
        <w:pStyle w:val="FootnoteText"/>
      </w:pPr>
      <w:r>
        <w:rPr>
          <w:rStyle w:val="FootnoteReference"/>
        </w:rPr>
        <w:footnoteRef/>
      </w:r>
      <w:r>
        <w:t xml:space="preserve"> </w:t>
      </w:r>
      <w:r w:rsidR="00E61ABF">
        <w:t>I</w:t>
      </w:r>
      <w:r w:rsidR="00ED58A8">
        <w:t>bid</w:t>
      </w:r>
      <w:r w:rsidR="00E61AB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63C91" w14:textId="77777777" w:rsidR="00110F1A" w:rsidRPr="003D3692" w:rsidRDefault="00110F1A" w:rsidP="00110F1A">
    <w:pPr>
      <w:pStyle w:val="Header"/>
      <w:rPr>
        <w:b/>
        <w:bCs/>
      </w:rPr>
    </w:pPr>
    <w:r>
      <w:t>Chris Guy</w:t>
    </w:r>
    <w:r>
      <w:tab/>
    </w:r>
    <w:r w:rsidRPr="003D3692">
      <w:t>The Early Celts (HPCS4003)</w:t>
    </w:r>
    <w:r w:rsidRPr="003D3692">
      <w:tab/>
      <w:t>27/12/2024</w:t>
    </w:r>
  </w:p>
  <w:p w14:paraId="4877D5AE" w14:textId="77777777" w:rsidR="00110F1A" w:rsidRDefault="00110F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3ED"/>
    <w:rsid w:val="00001818"/>
    <w:rsid w:val="00057B6B"/>
    <w:rsid w:val="000608C8"/>
    <w:rsid w:val="000714CE"/>
    <w:rsid w:val="00077A0B"/>
    <w:rsid w:val="000A637F"/>
    <w:rsid w:val="000B63F0"/>
    <w:rsid w:val="00110F1A"/>
    <w:rsid w:val="00112C35"/>
    <w:rsid w:val="00160D23"/>
    <w:rsid w:val="00162020"/>
    <w:rsid w:val="0018100E"/>
    <w:rsid w:val="001926D4"/>
    <w:rsid w:val="001D3065"/>
    <w:rsid w:val="00216E64"/>
    <w:rsid w:val="00222AF7"/>
    <w:rsid w:val="00236874"/>
    <w:rsid w:val="002516AA"/>
    <w:rsid w:val="002E227A"/>
    <w:rsid w:val="002F48B4"/>
    <w:rsid w:val="0033030C"/>
    <w:rsid w:val="003660B5"/>
    <w:rsid w:val="003662DE"/>
    <w:rsid w:val="00381583"/>
    <w:rsid w:val="00395A66"/>
    <w:rsid w:val="003D5E33"/>
    <w:rsid w:val="004527F6"/>
    <w:rsid w:val="004840E5"/>
    <w:rsid w:val="004A7582"/>
    <w:rsid w:val="004B7EE7"/>
    <w:rsid w:val="004D30F1"/>
    <w:rsid w:val="00537158"/>
    <w:rsid w:val="00557268"/>
    <w:rsid w:val="005A4672"/>
    <w:rsid w:val="005A7413"/>
    <w:rsid w:val="005F39F3"/>
    <w:rsid w:val="00647F37"/>
    <w:rsid w:val="00670314"/>
    <w:rsid w:val="00673059"/>
    <w:rsid w:val="006A60DB"/>
    <w:rsid w:val="006B0E9A"/>
    <w:rsid w:val="006B3FE3"/>
    <w:rsid w:val="006D1438"/>
    <w:rsid w:val="006E64BB"/>
    <w:rsid w:val="006F4011"/>
    <w:rsid w:val="00745831"/>
    <w:rsid w:val="00761B6B"/>
    <w:rsid w:val="00784A13"/>
    <w:rsid w:val="007A4455"/>
    <w:rsid w:val="007D6556"/>
    <w:rsid w:val="007F7686"/>
    <w:rsid w:val="008102C9"/>
    <w:rsid w:val="008144E3"/>
    <w:rsid w:val="00821D25"/>
    <w:rsid w:val="00892FA8"/>
    <w:rsid w:val="008C33ED"/>
    <w:rsid w:val="0093331A"/>
    <w:rsid w:val="00941F04"/>
    <w:rsid w:val="00973B84"/>
    <w:rsid w:val="00974103"/>
    <w:rsid w:val="009D6957"/>
    <w:rsid w:val="00A0258D"/>
    <w:rsid w:val="00A42218"/>
    <w:rsid w:val="00AD62F1"/>
    <w:rsid w:val="00B021B5"/>
    <w:rsid w:val="00B12CCF"/>
    <w:rsid w:val="00B16D34"/>
    <w:rsid w:val="00C03278"/>
    <w:rsid w:val="00C62DF0"/>
    <w:rsid w:val="00C8123A"/>
    <w:rsid w:val="00C8748D"/>
    <w:rsid w:val="00CA0AE8"/>
    <w:rsid w:val="00CC5CEC"/>
    <w:rsid w:val="00CD0D44"/>
    <w:rsid w:val="00CE566B"/>
    <w:rsid w:val="00D45F59"/>
    <w:rsid w:val="00D82564"/>
    <w:rsid w:val="00D84962"/>
    <w:rsid w:val="00D91997"/>
    <w:rsid w:val="00D932ED"/>
    <w:rsid w:val="00DA5D03"/>
    <w:rsid w:val="00DD35CC"/>
    <w:rsid w:val="00DD7763"/>
    <w:rsid w:val="00E068D7"/>
    <w:rsid w:val="00E421FE"/>
    <w:rsid w:val="00E4695D"/>
    <w:rsid w:val="00E56FD8"/>
    <w:rsid w:val="00E61ABF"/>
    <w:rsid w:val="00E62304"/>
    <w:rsid w:val="00ED58A8"/>
    <w:rsid w:val="00F663CD"/>
    <w:rsid w:val="00F71E82"/>
    <w:rsid w:val="00F97848"/>
    <w:rsid w:val="00FA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FB399"/>
  <w15:chartTrackingRefBased/>
  <w15:docId w15:val="{C6E97C12-426A-4016-BB9D-DD722500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3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3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3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3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3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3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3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3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3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3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3ED"/>
    <w:rPr>
      <w:rFonts w:eastAsiaTheme="majorEastAsia" w:cstheme="majorBidi"/>
      <w:color w:val="272727" w:themeColor="text1" w:themeTint="D8"/>
    </w:rPr>
  </w:style>
  <w:style w:type="paragraph" w:styleId="Title">
    <w:name w:val="Title"/>
    <w:basedOn w:val="Normal"/>
    <w:next w:val="Normal"/>
    <w:link w:val="TitleChar"/>
    <w:uiPriority w:val="10"/>
    <w:qFormat/>
    <w:rsid w:val="008C3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3ED"/>
    <w:pPr>
      <w:spacing w:before="160"/>
      <w:jc w:val="center"/>
    </w:pPr>
    <w:rPr>
      <w:i/>
      <w:iCs/>
      <w:color w:val="404040" w:themeColor="text1" w:themeTint="BF"/>
    </w:rPr>
  </w:style>
  <w:style w:type="character" w:customStyle="1" w:styleId="QuoteChar">
    <w:name w:val="Quote Char"/>
    <w:basedOn w:val="DefaultParagraphFont"/>
    <w:link w:val="Quote"/>
    <w:uiPriority w:val="29"/>
    <w:rsid w:val="008C33ED"/>
    <w:rPr>
      <w:i/>
      <w:iCs/>
      <w:color w:val="404040" w:themeColor="text1" w:themeTint="BF"/>
    </w:rPr>
  </w:style>
  <w:style w:type="paragraph" w:styleId="ListParagraph">
    <w:name w:val="List Paragraph"/>
    <w:basedOn w:val="Normal"/>
    <w:uiPriority w:val="34"/>
    <w:qFormat/>
    <w:rsid w:val="008C33ED"/>
    <w:pPr>
      <w:ind w:left="720"/>
      <w:contextualSpacing/>
    </w:pPr>
  </w:style>
  <w:style w:type="character" w:styleId="IntenseEmphasis">
    <w:name w:val="Intense Emphasis"/>
    <w:basedOn w:val="DefaultParagraphFont"/>
    <w:uiPriority w:val="21"/>
    <w:qFormat/>
    <w:rsid w:val="008C33ED"/>
    <w:rPr>
      <w:i/>
      <w:iCs/>
      <w:color w:val="0F4761" w:themeColor="accent1" w:themeShade="BF"/>
    </w:rPr>
  </w:style>
  <w:style w:type="paragraph" w:styleId="IntenseQuote">
    <w:name w:val="Intense Quote"/>
    <w:basedOn w:val="Normal"/>
    <w:next w:val="Normal"/>
    <w:link w:val="IntenseQuoteChar"/>
    <w:uiPriority w:val="30"/>
    <w:qFormat/>
    <w:rsid w:val="008C3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3ED"/>
    <w:rPr>
      <w:i/>
      <w:iCs/>
      <w:color w:val="0F4761" w:themeColor="accent1" w:themeShade="BF"/>
    </w:rPr>
  </w:style>
  <w:style w:type="character" w:styleId="IntenseReference">
    <w:name w:val="Intense Reference"/>
    <w:basedOn w:val="DefaultParagraphFont"/>
    <w:uiPriority w:val="32"/>
    <w:qFormat/>
    <w:rsid w:val="008C33ED"/>
    <w:rPr>
      <w:b/>
      <w:bCs/>
      <w:smallCaps/>
      <w:color w:val="0F4761" w:themeColor="accent1" w:themeShade="BF"/>
      <w:spacing w:val="5"/>
    </w:rPr>
  </w:style>
  <w:style w:type="character" w:styleId="CommentReference">
    <w:name w:val="annotation reference"/>
    <w:basedOn w:val="DefaultParagraphFont"/>
    <w:uiPriority w:val="99"/>
    <w:semiHidden/>
    <w:unhideWhenUsed/>
    <w:rsid w:val="00537158"/>
    <w:rPr>
      <w:sz w:val="16"/>
      <w:szCs w:val="16"/>
    </w:rPr>
  </w:style>
  <w:style w:type="paragraph" w:styleId="CommentText">
    <w:name w:val="annotation text"/>
    <w:basedOn w:val="Normal"/>
    <w:link w:val="CommentTextChar"/>
    <w:uiPriority w:val="99"/>
    <w:unhideWhenUsed/>
    <w:rsid w:val="00537158"/>
    <w:pPr>
      <w:spacing w:line="240" w:lineRule="auto"/>
    </w:pPr>
    <w:rPr>
      <w:sz w:val="20"/>
      <w:szCs w:val="20"/>
    </w:rPr>
  </w:style>
  <w:style w:type="character" w:customStyle="1" w:styleId="CommentTextChar">
    <w:name w:val="Comment Text Char"/>
    <w:basedOn w:val="DefaultParagraphFont"/>
    <w:link w:val="CommentText"/>
    <w:uiPriority w:val="99"/>
    <w:rsid w:val="00537158"/>
    <w:rPr>
      <w:sz w:val="20"/>
      <w:szCs w:val="20"/>
    </w:rPr>
  </w:style>
  <w:style w:type="paragraph" w:styleId="CommentSubject">
    <w:name w:val="annotation subject"/>
    <w:basedOn w:val="CommentText"/>
    <w:next w:val="CommentText"/>
    <w:link w:val="CommentSubjectChar"/>
    <w:uiPriority w:val="99"/>
    <w:semiHidden/>
    <w:unhideWhenUsed/>
    <w:rsid w:val="00537158"/>
    <w:rPr>
      <w:b/>
      <w:bCs/>
    </w:rPr>
  </w:style>
  <w:style w:type="character" w:customStyle="1" w:styleId="CommentSubjectChar">
    <w:name w:val="Comment Subject Char"/>
    <w:basedOn w:val="CommentTextChar"/>
    <w:link w:val="CommentSubject"/>
    <w:uiPriority w:val="99"/>
    <w:semiHidden/>
    <w:rsid w:val="00537158"/>
    <w:rPr>
      <w:b/>
      <w:bCs/>
      <w:sz w:val="20"/>
      <w:szCs w:val="20"/>
    </w:rPr>
  </w:style>
  <w:style w:type="paragraph" w:styleId="Revision">
    <w:name w:val="Revision"/>
    <w:hidden/>
    <w:uiPriority w:val="99"/>
    <w:semiHidden/>
    <w:rsid w:val="00761B6B"/>
    <w:pPr>
      <w:spacing w:after="0" w:line="240" w:lineRule="auto"/>
    </w:pPr>
  </w:style>
  <w:style w:type="character" w:styleId="Hyperlink">
    <w:name w:val="Hyperlink"/>
    <w:basedOn w:val="DefaultParagraphFont"/>
    <w:uiPriority w:val="99"/>
    <w:unhideWhenUsed/>
    <w:rsid w:val="00557268"/>
    <w:rPr>
      <w:color w:val="467886" w:themeColor="hyperlink"/>
      <w:u w:val="single"/>
    </w:rPr>
  </w:style>
  <w:style w:type="character" w:styleId="UnresolvedMention">
    <w:name w:val="Unresolved Mention"/>
    <w:basedOn w:val="DefaultParagraphFont"/>
    <w:uiPriority w:val="99"/>
    <w:semiHidden/>
    <w:unhideWhenUsed/>
    <w:rsid w:val="00557268"/>
    <w:rPr>
      <w:color w:val="605E5C"/>
      <w:shd w:val="clear" w:color="auto" w:fill="E1DFDD"/>
    </w:rPr>
  </w:style>
  <w:style w:type="paragraph" w:styleId="FootnoteText">
    <w:name w:val="footnote text"/>
    <w:basedOn w:val="Normal"/>
    <w:link w:val="FootnoteTextChar"/>
    <w:uiPriority w:val="99"/>
    <w:unhideWhenUsed/>
    <w:rsid w:val="00DD7763"/>
    <w:pPr>
      <w:spacing w:after="0" w:line="240" w:lineRule="auto"/>
    </w:pPr>
    <w:rPr>
      <w:sz w:val="20"/>
      <w:szCs w:val="20"/>
    </w:rPr>
  </w:style>
  <w:style w:type="character" w:customStyle="1" w:styleId="FootnoteTextChar">
    <w:name w:val="Footnote Text Char"/>
    <w:basedOn w:val="DefaultParagraphFont"/>
    <w:link w:val="FootnoteText"/>
    <w:uiPriority w:val="99"/>
    <w:rsid w:val="00DD7763"/>
    <w:rPr>
      <w:sz w:val="20"/>
      <w:szCs w:val="20"/>
    </w:rPr>
  </w:style>
  <w:style w:type="character" w:styleId="FootnoteReference">
    <w:name w:val="footnote reference"/>
    <w:basedOn w:val="DefaultParagraphFont"/>
    <w:uiPriority w:val="99"/>
    <w:semiHidden/>
    <w:unhideWhenUsed/>
    <w:rsid w:val="00DD7763"/>
    <w:rPr>
      <w:vertAlign w:val="superscript"/>
    </w:rPr>
  </w:style>
  <w:style w:type="paragraph" w:styleId="NormalWeb">
    <w:name w:val="Normal (Web)"/>
    <w:basedOn w:val="Normal"/>
    <w:uiPriority w:val="99"/>
    <w:semiHidden/>
    <w:unhideWhenUsed/>
    <w:rsid w:val="00F97848"/>
    <w:rPr>
      <w:rFonts w:ascii="Times New Roman" w:hAnsi="Times New Roman" w:cs="Times New Roman"/>
    </w:rPr>
  </w:style>
  <w:style w:type="character" w:styleId="FollowedHyperlink">
    <w:name w:val="FollowedHyperlink"/>
    <w:basedOn w:val="DefaultParagraphFont"/>
    <w:uiPriority w:val="99"/>
    <w:semiHidden/>
    <w:unhideWhenUsed/>
    <w:rsid w:val="000B63F0"/>
    <w:rPr>
      <w:color w:val="96607D" w:themeColor="followedHyperlink"/>
      <w:u w:val="single"/>
    </w:rPr>
  </w:style>
  <w:style w:type="paragraph" w:styleId="Header">
    <w:name w:val="header"/>
    <w:basedOn w:val="Normal"/>
    <w:link w:val="HeaderChar"/>
    <w:uiPriority w:val="99"/>
    <w:unhideWhenUsed/>
    <w:rsid w:val="0011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F1A"/>
  </w:style>
  <w:style w:type="paragraph" w:styleId="Footer">
    <w:name w:val="footer"/>
    <w:basedOn w:val="Normal"/>
    <w:link w:val="FooterChar"/>
    <w:uiPriority w:val="99"/>
    <w:unhideWhenUsed/>
    <w:rsid w:val="0011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25463">
      <w:bodyDiv w:val="1"/>
      <w:marLeft w:val="0"/>
      <w:marRight w:val="0"/>
      <w:marTop w:val="0"/>
      <w:marBottom w:val="0"/>
      <w:divBdr>
        <w:top w:val="none" w:sz="0" w:space="0" w:color="auto"/>
        <w:left w:val="none" w:sz="0" w:space="0" w:color="auto"/>
        <w:bottom w:val="none" w:sz="0" w:space="0" w:color="auto"/>
        <w:right w:val="none" w:sz="0" w:space="0" w:color="auto"/>
      </w:divBdr>
    </w:div>
    <w:div w:id="213198519">
      <w:bodyDiv w:val="1"/>
      <w:marLeft w:val="0"/>
      <w:marRight w:val="0"/>
      <w:marTop w:val="0"/>
      <w:marBottom w:val="0"/>
      <w:divBdr>
        <w:top w:val="none" w:sz="0" w:space="0" w:color="auto"/>
        <w:left w:val="none" w:sz="0" w:space="0" w:color="auto"/>
        <w:bottom w:val="none" w:sz="0" w:space="0" w:color="auto"/>
        <w:right w:val="none" w:sz="0" w:space="0" w:color="auto"/>
      </w:divBdr>
    </w:div>
    <w:div w:id="707461502">
      <w:bodyDiv w:val="1"/>
      <w:marLeft w:val="0"/>
      <w:marRight w:val="0"/>
      <w:marTop w:val="0"/>
      <w:marBottom w:val="0"/>
      <w:divBdr>
        <w:top w:val="none" w:sz="0" w:space="0" w:color="auto"/>
        <w:left w:val="none" w:sz="0" w:space="0" w:color="auto"/>
        <w:bottom w:val="none" w:sz="0" w:space="0" w:color="auto"/>
        <w:right w:val="none" w:sz="0" w:space="0" w:color="auto"/>
      </w:divBdr>
    </w:div>
    <w:div w:id="923957068">
      <w:bodyDiv w:val="1"/>
      <w:marLeft w:val="0"/>
      <w:marRight w:val="0"/>
      <w:marTop w:val="0"/>
      <w:marBottom w:val="0"/>
      <w:divBdr>
        <w:top w:val="none" w:sz="0" w:space="0" w:color="auto"/>
        <w:left w:val="none" w:sz="0" w:space="0" w:color="auto"/>
        <w:bottom w:val="none" w:sz="0" w:space="0" w:color="auto"/>
        <w:right w:val="none" w:sz="0" w:space="0" w:color="auto"/>
      </w:divBdr>
    </w:div>
    <w:div w:id="1143737971">
      <w:bodyDiv w:val="1"/>
      <w:marLeft w:val="0"/>
      <w:marRight w:val="0"/>
      <w:marTop w:val="0"/>
      <w:marBottom w:val="0"/>
      <w:divBdr>
        <w:top w:val="none" w:sz="0" w:space="0" w:color="auto"/>
        <w:left w:val="none" w:sz="0" w:space="0" w:color="auto"/>
        <w:bottom w:val="none" w:sz="0" w:space="0" w:color="auto"/>
        <w:right w:val="none" w:sz="0" w:space="0" w:color="auto"/>
      </w:divBdr>
    </w:div>
    <w:div w:id="1599292793">
      <w:bodyDiv w:val="1"/>
      <w:marLeft w:val="0"/>
      <w:marRight w:val="0"/>
      <w:marTop w:val="0"/>
      <w:marBottom w:val="0"/>
      <w:divBdr>
        <w:top w:val="none" w:sz="0" w:space="0" w:color="auto"/>
        <w:left w:val="none" w:sz="0" w:space="0" w:color="auto"/>
        <w:bottom w:val="none" w:sz="0" w:space="0" w:color="auto"/>
        <w:right w:val="none" w:sz="0" w:space="0" w:color="auto"/>
      </w:divBdr>
    </w:div>
    <w:div w:id="2040810105">
      <w:bodyDiv w:val="1"/>
      <w:marLeft w:val="0"/>
      <w:marRight w:val="0"/>
      <w:marTop w:val="0"/>
      <w:marBottom w:val="0"/>
      <w:divBdr>
        <w:top w:val="none" w:sz="0" w:space="0" w:color="auto"/>
        <w:left w:val="none" w:sz="0" w:space="0" w:color="auto"/>
        <w:bottom w:val="none" w:sz="0" w:space="0" w:color="auto"/>
        <w:right w:val="none" w:sz="0" w:space="0" w:color="auto"/>
      </w:divBdr>
    </w:div>
    <w:div w:id="212483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B1E04-1F40-4D60-A908-B7C91B5B0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2024-12-27T21:28:00Z</dcterms:created>
  <dcterms:modified xsi:type="dcterms:W3CDTF">2024-12-27T21:28:00Z</dcterms:modified>
</cp:coreProperties>
</file>