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A3FC5D" w14:textId="397C5600" w:rsidR="007E0A3A" w:rsidRDefault="007E0A3A" w:rsidP="007E0A3A">
      <w:pPr>
        <w:pStyle w:val="Heading1"/>
      </w:pPr>
      <w:r w:rsidRPr="007E0A3A">
        <w:t>GO Engineering</w:t>
      </w:r>
      <w:r>
        <w:t xml:space="preserve"> text only transcript</w:t>
      </w:r>
    </w:p>
    <w:p w14:paraId="6D53F9FC" w14:textId="77777777" w:rsidR="007E0A3A" w:rsidRDefault="007E0A3A" w:rsidP="007E0A3A"/>
    <w:p w14:paraId="465269DF" w14:textId="1F9B15E7" w:rsidR="007E0A3A" w:rsidRPr="007E0A3A" w:rsidRDefault="007E0A3A" w:rsidP="007E0A3A">
      <w:r w:rsidRPr="007E0A3A">
        <w:t>Hello. Welcome to this quick presentation of the highlights of the Graduate Outcomes Survey results for engineering. Before we start, some of the graphs and statistics will be a bit busy, so feel free to stop the video and look at the data more closely. In all slides where you see a red line, that is the university average. It will always have that information attached. Again, if you see a green line, that is the sector average for engineering. Again, that information will be attached to avoid confusion. Please remember that for the sector average, we are using two common education hierarchy subjects. The first one is production manufacturing engineering and the second is mechanical engineering. The vast majority of students, about 90%, come under production manufacturing engineering. So most of the sector data identified will be for production manufacturing engineering.</w:t>
      </w:r>
    </w:p>
    <w:p w14:paraId="62B4608F" w14:textId="77777777" w:rsidR="007E0A3A" w:rsidRPr="007E0A3A" w:rsidRDefault="007E0A3A" w:rsidP="007E0A3A">
      <w:r w:rsidRPr="007E0A3A">
        <w:t>What you will see in the next few slides are highlights from the data. You can delve more into the data through the Graduate Outcomes dashboard on Teams. Overall, the response rate for engineering was similar to the university average, so around half the graduates responded. It is important to increase the number of respondents, so please do mention it to your graduating class. Interestingly, the response rate for postgraduates was rather high at 70%, particularly in view of the UGC response of 50%.</w:t>
      </w:r>
    </w:p>
    <w:p w14:paraId="3CE931E7" w14:textId="77777777" w:rsidR="007E0A3A" w:rsidRPr="007E0A3A" w:rsidRDefault="007E0A3A" w:rsidP="007E0A3A">
      <w:r w:rsidRPr="007E0A3A">
        <w:t>Moving on to the data itself. Just a quick explanation about the difference between employment and highly skilled employment statistics. The employment metric effectively identifies those graduates in further study in any type of employment. The highly skilled employment metric, on the other hand, specifically measures those whose job comes under senior officials in organizations, professionals, and associated professionals.</w:t>
      </w:r>
    </w:p>
    <w:p w14:paraId="592C5098" w14:textId="77777777" w:rsidR="007E0A3A" w:rsidRPr="007E0A3A" w:rsidRDefault="007E0A3A" w:rsidP="007E0A3A">
      <w:r w:rsidRPr="007E0A3A">
        <w:t>The overall picture when it comes to employment is very good, with engineering outpacing both the university average and the sector average when it comes to high skilled employment. While engineering shows much higher percentages than the university average, it is some 10% below the sector average. If we focus on the employment statistics for graduates that disclose disability, the data only represents those with specific learning difficulties, as they were the only cohort with enough respondents. Here we see that while their general employment percentage is lower than graduates who had not disclosed a specific learning difficulty or indeed any disability, this situation is reversed when considering highly skilled employment.</w:t>
      </w:r>
    </w:p>
    <w:p w14:paraId="141CC3B8" w14:textId="77777777" w:rsidR="007E0A3A" w:rsidRPr="007E0A3A" w:rsidRDefault="007E0A3A" w:rsidP="007E0A3A">
      <w:r w:rsidRPr="007E0A3A">
        <w:t xml:space="preserve">For highly skilled jobs, the majority of engineering graduates chose their current jobs because it fitted into their career plans. The second most popular reason was that it </w:t>
      </w:r>
      <w:r w:rsidRPr="007E0A3A">
        <w:lastRenderedPageBreak/>
        <w:t>was an opportunity to progress within their organization. Highly skilled engineering graduates work primarily in South Wales, but also further afield, both in the north and the south of England. The main industries where graduates in highly skilled jobs work are first and foremost manufacturing, secondly professional, scientific and technical activities, and finally mining and quarrying. Part of the question set asked graduates to reflect upon their career to date. For our purposes, a significant metric is the one looking at the utilization of skills learned in studies as this directly speaks to employability skills and graduates' perception of them.</w:t>
      </w:r>
    </w:p>
    <w:p w14:paraId="2E8D1DEC" w14:textId="77777777" w:rsidR="007E0A3A" w:rsidRPr="007E0A3A" w:rsidRDefault="007E0A3A" w:rsidP="007E0A3A">
      <w:r w:rsidRPr="007E0A3A">
        <w:t>When it comes to utilizing skills learned during their studies, engineering graduates place both the university average and the sector average. Looking at further study, the percentage of engineering graduates who pursue further study, while lower than the university average, is slightly higher than the sector average. The same is true of self-employment, with about 10% of engineering graduates in self-employment, higher than the sector, even if lower than the university average. The main takeaways are generally positive. The rate of highly skilled employment for engineering graduates is very good, even if lower than the sector average. The skills gained during the degree are clearly recognized by graduates. About 10% of our graduates are self-employed. It might be worth considering including some elements of entrepreneurship, education, and skills, whether in the curriculum or co-curricular. Finally, while the response rate to the Graduate Outcomes Survey was on par with the university average, more responses are needed, so please do remind your graduating cohort, both undergraduate and postgraduate.</w:t>
      </w:r>
    </w:p>
    <w:p w14:paraId="67190AE5"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A3A"/>
    <w:rsid w:val="00735053"/>
    <w:rsid w:val="007E0A3A"/>
    <w:rsid w:val="008579FB"/>
    <w:rsid w:val="008A12FC"/>
    <w:rsid w:val="00AE00D1"/>
    <w:rsid w:val="00E70F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D0754"/>
  <w15:chartTrackingRefBased/>
  <w15:docId w15:val="{73C90682-E786-4E9C-8E7B-C2AB4DD64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A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0A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0A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0A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0A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0A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0A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0A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0A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A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0A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0A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0A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0A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0A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0A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0A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0A3A"/>
    <w:rPr>
      <w:rFonts w:eastAsiaTheme="majorEastAsia" w:cstheme="majorBidi"/>
      <w:color w:val="272727" w:themeColor="text1" w:themeTint="D8"/>
    </w:rPr>
  </w:style>
  <w:style w:type="paragraph" w:styleId="Title">
    <w:name w:val="Title"/>
    <w:basedOn w:val="Normal"/>
    <w:next w:val="Normal"/>
    <w:link w:val="TitleChar"/>
    <w:uiPriority w:val="10"/>
    <w:qFormat/>
    <w:rsid w:val="007E0A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0A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0A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0A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0A3A"/>
    <w:pPr>
      <w:spacing w:before="160"/>
      <w:jc w:val="center"/>
    </w:pPr>
    <w:rPr>
      <w:i/>
      <w:iCs/>
      <w:color w:val="404040" w:themeColor="text1" w:themeTint="BF"/>
    </w:rPr>
  </w:style>
  <w:style w:type="character" w:customStyle="1" w:styleId="QuoteChar">
    <w:name w:val="Quote Char"/>
    <w:basedOn w:val="DefaultParagraphFont"/>
    <w:link w:val="Quote"/>
    <w:uiPriority w:val="29"/>
    <w:rsid w:val="007E0A3A"/>
    <w:rPr>
      <w:i/>
      <w:iCs/>
      <w:color w:val="404040" w:themeColor="text1" w:themeTint="BF"/>
    </w:rPr>
  </w:style>
  <w:style w:type="paragraph" w:styleId="ListParagraph">
    <w:name w:val="List Paragraph"/>
    <w:basedOn w:val="Normal"/>
    <w:uiPriority w:val="34"/>
    <w:qFormat/>
    <w:rsid w:val="007E0A3A"/>
    <w:pPr>
      <w:ind w:left="720"/>
      <w:contextualSpacing/>
    </w:pPr>
  </w:style>
  <w:style w:type="character" w:styleId="IntenseEmphasis">
    <w:name w:val="Intense Emphasis"/>
    <w:basedOn w:val="DefaultParagraphFont"/>
    <w:uiPriority w:val="21"/>
    <w:qFormat/>
    <w:rsid w:val="007E0A3A"/>
    <w:rPr>
      <w:i/>
      <w:iCs/>
      <w:color w:val="0F4761" w:themeColor="accent1" w:themeShade="BF"/>
    </w:rPr>
  </w:style>
  <w:style w:type="paragraph" w:styleId="IntenseQuote">
    <w:name w:val="Intense Quote"/>
    <w:basedOn w:val="Normal"/>
    <w:next w:val="Normal"/>
    <w:link w:val="IntenseQuoteChar"/>
    <w:uiPriority w:val="30"/>
    <w:qFormat/>
    <w:rsid w:val="007E0A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0A3A"/>
    <w:rPr>
      <w:i/>
      <w:iCs/>
      <w:color w:val="0F4761" w:themeColor="accent1" w:themeShade="BF"/>
    </w:rPr>
  </w:style>
  <w:style w:type="character" w:styleId="IntenseReference">
    <w:name w:val="Intense Reference"/>
    <w:basedOn w:val="DefaultParagraphFont"/>
    <w:uiPriority w:val="32"/>
    <w:qFormat/>
    <w:rsid w:val="007E0A3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9605247">
      <w:bodyDiv w:val="1"/>
      <w:marLeft w:val="0"/>
      <w:marRight w:val="0"/>
      <w:marTop w:val="0"/>
      <w:marBottom w:val="0"/>
      <w:divBdr>
        <w:top w:val="none" w:sz="0" w:space="0" w:color="auto"/>
        <w:left w:val="none" w:sz="0" w:space="0" w:color="auto"/>
        <w:bottom w:val="none" w:sz="0" w:space="0" w:color="auto"/>
        <w:right w:val="none" w:sz="0" w:space="0" w:color="auto"/>
      </w:divBdr>
      <w:divsChild>
        <w:div w:id="392194237">
          <w:marLeft w:val="0"/>
          <w:marRight w:val="0"/>
          <w:marTop w:val="0"/>
          <w:marBottom w:val="0"/>
          <w:divBdr>
            <w:top w:val="none" w:sz="0" w:space="0" w:color="auto"/>
            <w:left w:val="none" w:sz="0" w:space="0" w:color="auto"/>
            <w:bottom w:val="none" w:sz="0" w:space="0" w:color="auto"/>
            <w:right w:val="none" w:sz="0" w:space="0" w:color="auto"/>
          </w:divBdr>
        </w:div>
      </w:divsChild>
    </w:div>
    <w:div w:id="1817069616">
      <w:bodyDiv w:val="1"/>
      <w:marLeft w:val="0"/>
      <w:marRight w:val="0"/>
      <w:marTop w:val="0"/>
      <w:marBottom w:val="0"/>
      <w:divBdr>
        <w:top w:val="none" w:sz="0" w:space="0" w:color="auto"/>
        <w:left w:val="none" w:sz="0" w:space="0" w:color="auto"/>
        <w:bottom w:val="none" w:sz="0" w:space="0" w:color="auto"/>
        <w:right w:val="none" w:sz="0" w:space="0" w:color="auto"/>
      </w:divBdr>
      <w:divsChild>
        <w:div w:id="7450789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678</Words>
  <Characters>3866</Characters>
  <Application>Microsoft Office Word</Application>
  <DocSecurity>0</DocSecurity>
  <Lines>32</Lines>
  <Paragraphs>9</Paragraphs>
  <ScaleCrop>false</ScaleCrop>
  <Company>University of Wales Trinity Saint David</Company>
  <LinksUpToDate>false</LinksUpToDate>
  <CharactersWithSpaces>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2024-12-13T11:24:00Z</dcterms:created>
  <dcterms:modified xsi:type="dcterms:W3CDTF">2024-12-13T11:24:00Z</dcterms:modified>
</cp:coreProperties>
</file>