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A96C6A" w14:textId="085A7B5D" w:rsidR="0027344E" w:rsidRPr="0027344E" w:rsidRDefault="0027344E" w:rsidP="0027344E">
      <w:pPr>
        <w:pStyle w:val="NormalWeb"/>
        <w:shd w:val="clear" w:color="auto" w:fill="FFFFFF"/>
        <w:spacing w:before="0" w:beforeAutospacing="0"/>
        <w:jc w:val="center"/>
        <w:rPr>
          <w:rFonts w:ascii="Arial" w:hAnsi="Arial" w:cs="Arial"/>
          <w:color w:val="212529"/>
          <w:sz w:val="48"/>
          <w:szCs w:val="48"/>
          <w:u w:val="single"/>
          <w:shd w:val="clear" w:color="auto" w:fill="FFFFFF"/>
        </w:rPr>
      </w:pPr>
      <w:r w:rsidRPr="0027344E">
        <w:rPr>
          <w:rFonts w:ascii="Arial" w:hAnsi="Arial" w:cs="Arial"/>
          <w:color w:val="212529"/>
          <w:sz w:val="48"/>
          <w:szCs w:val="48"/>
          <w:u w:val="single"/>
          <w:shd w:val="clear" w:color="auto" w:fill="FFFFFF"/>
        </w:rPr>
        <w:t>Task 1</w:t>
      </w:r>
    </w:p>
    <w:p w14:paraId="6732B74A" w14:textId="2D77F34A" w:rsidR="004C2909" w:rsidRPr="0088455B" w:rsidRDefault="00582BB8" w:rsidP="00234FEF">
      <w:pPr>
        <w:pStyle w:val="NormalWeb"/>
        <w:shd w:val="clear" w:color="auto" w:fill="FFFFFF"/>
        <w:spacing w:before="0" w:beforeAutospacing="0"/>
        <w:rPr>
          <w:rFonts w:ascii="Arial" w:hAnsi="Arial" w:cs="Arial"/>
          <w:color w:val="212529"/>
          <w:shd w:val="clear" w:color="auto" w:fill="FFFFFF"/>
        </w:rPr>
      </w:pPr>
      <w:r w:rsidRPr="0088455B">
        <w:rPr>
          <w:rFonts w:ascii="Arial" w:hAnsi="Arial" w:cs="Arial"/>
          <w:color w:val="212529"/>
          <w:shd w:val="clear" w:color="auto" w:fill="FFFFFF"/>
        </w:rPr>
        <w:t xml:space="preserve">The purpose of this essay is to </w:t>
      </w:r>
      <w:r w:rsidR="003E0AD2" w:rsidRPr="0088455B">
        <w:rPr>
          <w:rFonts w:ascii="Arial" w:hAnsi="Arial" w:cs="Arial"/>
          <w:color w:val="212529"/>
          <w:shd w:val="clear" w:color="auto" w:fill="FFFFFF"/>
        </w:rPr>
        <w:t>analyse</w:t>
      </w:r>
      <w:r w:rsidRPr="0088455B">
        <w:rPr>
          <w:rFonts w:ascii="Arial" w:hAnsi="Arial" w:cs="Arial"/>
          <w:color w:val="212529"/>
          <w:shd w:val="clear" w:color="auto" w:fill="FFFFFF"/>
        </w:rPr>
        <w:t xml:space="preserve"> the fine line</w:t>
      </w:r>
      <w:r w:rsidR="003E0AD2" w:rsidRPr="0088455B">
        <w:rPr>
          <w:rFonts w:ascii="Arial" w:hAnsi="Arial" w:cs="Arial"/>
          <w:color w:val="212529"/>
          <w:shd w:val="clear" w:color="auto" w:fill="FFFFFF"/>
        </w:rPr>
        <w:t xml:space="preserve"> between freedom of expression in the press and protecting an individual’s reputation.</w:t>
      </w:r>
      <w:r w:rsidRPr="0088455B">
        <w:rPr>
          <w:rFonts w:ascii="Arial" w:hAnsi="Arial" w:cs="Arial"/>
          <w:color w:val="212529"/>
          <w:shd w:val="clear" w:color="auto" w:fill="FFFFFF"/>
        </w:rPr>
        <w:t xml:space="preserve"> </w:t>
      </w:r>
      <w:r w:rsidR="004C2909" w:rsidRPr="0088455B">
        <w:rPr>
          <w:rFonts w:ascii="Arial" w:hAnsi="Arial" w:cs="Arial"/>
          <w:color w:val="212529"/>
          <w:shd w:val="clear" w:color="auto" w:fill="FFFFFF"/>
        </w:rPr>
        <w:t xml:space="preserve">Through this essay the discussion topic will be as above stated, with references used throughout. </w:t>
      </w:r>
    </w:p>
    <w:p w14:paraId="065064EC" w14:textId="5DAB89D6" w:rsidR="0088455B" w:rsidRDefault="003E0AD2" w:rsidP="0088455B">
      <w:pPr>
        <w:rPr>
          <w:rFonts w:ascii="Arial" w:hAnsi="Arial" w:cs="Arial"/>
          <w:color w:val="000000"/>
          <w:sz w:val="20"/>
          <w:szCs w:val="20"/>
          <w:shd w:val="clear" w:color="auto" w:fill="FFFFFF"/>
        </w:rPr>
      </w:pPr>
      <w:r w:rsidRPr="0088455B">
        <w:rPr>
          <w:rFonts w:ascii="Arial" w:hAnsi="Arial" w:cs="Arial"/>
          <w:color w:val="212529"/>
          <w:shd w:val="clear" w:color="auto" w:fill="FFFFFF"/>
        </w:rPr>
        <w:t>I</w:t>
      </w:r>
      <w:r w:rsidR="000F040A" w:rsidRPr="0088455B">
        <w:rPr>
          <w:rFonts w:ascii="Arial" w:hAnsi="Arial" w:cs="Arial"/>
          <w:color w:val="212529"/>
          <w:shd w:val="clear" w:color="auto" w:fill="FFFFFF"/>
        </w:rPr>
        <w:t xml:space="preserve">n the United Kingdom </w:t>
      </w:r>
      <w:r w:rsidR="00582BB8" w:rsidRPr="0088455B">
        <w:rPr>
          <w:rFonts w:ascii="Arial" w:hAnsi="Arial" w:cs="Arial"/>
          <w:color w:val="212529"/>
          <w:shd w:val="clear" w:color="auto" w:fill="FFFFFF"/>
        </w:rPr>
        <w:t>it is so important to safeguard someone’s reputation</w:t>
      </w:r>
      <w:r w:rsidR="0088455B">
        <w:rPr>
          <w:rFonts w:ascii="Arial" w:hAnsi="Arial" w:cs="Arial"/>
          <w:color w:val="212529"/>
          <w:shd w:val="clear" w:color="auto" w:fill="FFFFFF"/>
        </w:rPr>
        <w:t xml:space="preserve"> and</w:t>
      </w:r>
      <w:r w:rsidR="00582BB8" w:rsidRPr="0088455B">
        <w:rPr>
          <w:rFonts w:ascii="Arial" w:hAnsi="Arial" w:cs="Arial"/>
          <w:color w:val="212529"/>
          <w:shd w:val="clear" w:color="auto" w:fill="FFFFFF"/>
        </w:rPr>
        <w:t xml:space="preserve"> that the English legal system upholds a law of defamation. The law of defamation was introduced in order to protect a group or an individual’s reputation from being tarnished in the eyes of the wider population. </w:t>
      </w:r>
      <w:r w:rsidR="00C0794A" w:rsidRPr="0088455B">
        <w:rPr>
          <w:rFonts w:ascii="Arial" w:hAnsi="Arial" w:cs="Arial"/>
          <w:color w:val="212529"/>
          <w:shd w:val="clear" w:color="auto" w:fill="FFFFFF"/>
        </w:rPr>
        <w:t>There is a fine line between protecting an individual’s reputation and freedom of expression by the press</w:t>
      </w:r>
      <w:r w:rsidR="0088455B">
        <w:rPr>
          <w:rFonts w:ascii="Arial" w:hAnsi="Arial" w:cs="Arial"/>
          <w:color w:val="212529"/>
          <w:shd w:val="clear" w:color="auto" w:fill="FFFFFF"/>
        </w:rPr>
        <w:t xml:space="preserve">, </w:t>
      </w:r>
      <w:r w:rsidR="00C0794A" w:rsidRPr="0088455B">
        <w:rPr>
          <w:rFonts w:ascii="Arial" w:hAnsi="Arial" w:cs="Arial"/>
          <w:color w:val="212529"/>
          <w:shd w:val="clear" w:color="auto" w:fill="FFFFFF"/>
        </w:rPr>
        <w:t>for example The Reynolds Privilege is concerned to implement an appropriate</w:t>
      </w:r>
      <w:r w:rsidR="00E869C3" w:rsidRPr="0088455B">
        <w:rPr>
          <w:rFonts w:ascii="Arial" w:hAnsi="Arial" w:cs="Arial"/>
          <w:color w:val="212529"/>
          <w:shd w:val="clear" w:color="auto" w:fill="FFFFFF"/>
        </w:rPr>
        <w:t xml:space="preserve"> amount of protection for responsible journalism when reporting issues of public interest. Responsible journalism is where a fair balance of freedom of expression</w:t>
      </w:r>
      <w:r w:rsidR="0088455B">
        <w:rPr>
          <w:rFonts w:ascii="Arial" w:hAnsi="Arial" w:cs="Arial"/>
          <w:color w:val="212529"/>
          <w:shd w:val="clear" w:color="auto" w:fill="FFFFFF"/>
        </w:rPr>
        <w:t>,</w:t>
      </w:r>
      <w:r w:rsidR="00E869C3" w:rsidRPr="0088455B">
        <w:rPr>
          <w:rFonts w:ascii="Arial" w:hAnsi="Arial" w:cs="Arial"/>
          <w:color w:val="212529"/>
          <w:shd w:val="clear" w:color="auto" w:fill="FFFFFF"/>
        </w:rPr>
        <w:t xml:space="preserve"> which are matters of public interest</w:t>
      </w:r>
      <w:r w:rsidR="0088455B">
        <w:rPr>
          <w:rFonts w:ascii="Arial" w:hAnsi="Arial" w:cs="Arial"/>
          <w:color w:val="212529"/>
          <w:shd w:val="clear" w:color="auto" w:fill="FFFFFF"/>
        </w:rPr>
        <w:t>,</w:t>
      </w:r>
      <w:r w:rsidR="00E869C3" w:rsidRPr="0088455B">
        <w:rPr>
          <w:rFonts w:ascii="Arial" w:hAnsi="Arial" w:cs="Arial"/>
          <w:color w:val="212529"/>
          <w:shd w:val="clear" w:color="auto" w:fill="FFFFFF"/>
        </w:rPr>
        <w:t xml:space="preserve"> and an individual’s or a groups reputation</w:t>
      </w:r>
      <w:r w:rsidR="0088455B" w:rsidRPr="0088455B">
        <w:rPr>
          <w:rFonts w:ascii="Arial" w:hAnsi="Arial" w:cs="Arial"/>
          <w:color w:val="212529"/>
          <w:shd w:val="clear" w:color="auto" w:fill="FFFFFF"/>
        </w:rPr>
        <w:t xml:space="preserve"> starts.</w:t>
      </w:r>
      <w:r w:rsidR="0088455B" w:rsidRPr="0088455B">
        <w:rPr>
          <w:rFonts w:ascii="Arial" w:hAnsi="Arial" w:cs="Arial"/>
          <w:color w:val="000000"/>
          <w:sz w:val="21"/>
          <w:szCs w:val="21"/>
        </w:rPr>
        <w:t xml:space="preserve"> </w:t>
      </w:r>
      <w:r w:rsidR="004D22C4">
        <w:rPr>
          <w:rFonts w:ascii="Arial" w:hAnsi="Arial" w:cs="Arial"/>
          <w:color w:val="000000"/>
          <w:sz w:val="20"/>
          <w:szCs w:val="20"/>
          <w:shd w:val="clear" w:color="auto" w:fill="FFFFFF"/>
        </w:rPr>
        <w:t xml:space="preserve"> “Reynolds Public Interest Defence” and s.4 of the UK Defamation Act 2013 | </w:t>
      </w:r>
      <w:proofErr w:type="spellStart"/>
      <w:r w:rsidR="004D22C4">
        <w:rPr>
          <w:rFonts w:ascii="Arial" w:hAnsi="Arial" w:cs="Arial"/>
          <w:color w:val="000000"/>
          <w:sz w:val="20"/>
          <w:szCs w:val="20"/>
          <w:shd w:val="clear" w:color="auto" w:fill="FFFFFF"/>
        </w:rPr>
        <w:t>Skrine</w:t>
      </w:r>
      <w:proofErr w:type="spellEnd"/>
      <w:r w:rsidR="004D22C4">
        <w:rPr>
          <w:rFonts w:ascii="Arial" w:hAnsi="Arial" w:cs="Arial"/>
          <w:color w:val="000000"/>
          <w:sz w:val="20"/>
          <w:szCs w:val="20"/>
          <w:shd w:val="clear" w:color="auto" w:fill="FFFFFF"/>
        </w:rPr>
        <w:t xml:space="preserve"> - Advocates &amp; Solicitors, 2021)</w:t>
      </w:r>
      <w:r w:rsidR="004D22C4">
        <w:rPr>
          <w:rFonts w:ascii="Arial" w:eastAsia="Times New Roman" w:hAnsi="Arial" w:cs="Arial"/>
          <w:color w:val="000000"/>
          <w:sz w:val="21"/>
          <w:szCs w:val="21"/>
          <w:lang w:eastAsia="en-GB"/>
        </w:rPr>
        <w:t xml:space="preserve"> </w:t>
      </w:r>
      <w:r w:rsidR="00091B64">
        <w:rPr>
          <w:rFonts w:ascii="Arial" w:eastAsia="Times New Roman" w:hAnsi="Arial" w:cs="Arial"/>
          <w:color w:val="000000"/>
          <w:sz w:val="21"/>
          <w:szCs w:val="21"/>
          <w:lang w:eastAsia="en-GB"/>
        </w:rPr>
        <w:t>The UK supreme court has stated that the principles relating to ‘responsible journalism’ which has been entrenched under the common law across wales and England can not implement a specific inde</w:t>
      </w:r>
      <w:r w:rsidR="00044986">
        <w:rPr>
          <w:rFonts w:ascii="Arial" w:eastAsia="Times New Roman" w:hAnsi="Arial" w:cs="Arial"/>
          <w:color w:val="000000"/>
          <w:sz w:val="21"/>
          <w:szCs w:val="21"/>
          <w:lang w:eastAsia="en-GB"/>
        </w:rPr>
        <w:t>x for determining whether or not publishers have a statutory public interest defence to defamation claims.</w:t>
      </w:r>
      <w:r w:rsidR="00091B64">
        <w:rPr>
          <w:rFonts w:ascii="Arial" w:eastAsia="Times New Roman" w:hAnsi="Arial" w:cs="Arial"/>
          <w:color w:val="000000"/>
          <w:sz w:val="21"/>
          <w:szCs w:val="21"/>
          <w:lang w:eastAsia="en-GB"/>
        </w:rPr>
        <w:t xml:space="preserve"> </w:t>
      </w:r>
      <w:r w:rsidR="00044986">
        <w:rPr>
          <w:rFonts w:ascii="Arial" w:eastAsia="Times New Roman" w:hAnsi="Arial" w:cs="Arial"/>
          <w:color w:val="000000"/>
          <w:sz w:val="21"/>
          <w:szCs w:val="21"/>
          <w:lang w:eastAsia="en-GB"/>
        </w:rPr>
        <w:t xml:space="preserve">Although the court has said that factors relating to ‘Reynolds defence’ in defamation claims, which has formerly sheltered journalists from claims which  were brought against them </w:t>
      </w:r>
      <w:r w:rsidR="007D7048">
        <w:rPr>
          <w:rFonts w:ascii="Arial" w:eastAsia="Times New Roman" w:hAnsi="Arial" w:cs="Arial"/>
          <w:color w:val="000000"/>
          <w:sz w:val="21"/>
          <w:szCs w:val="21"/>
          <w:lang w:eastAsia="en-GB"/>
        </w:rPr>
        <w:t>if they were able to provide  evidence that they had engaged in responsible journalism by way of protecting the public interest, may continue to be relevant to the assessment of whether the statutory defence that replaced it applies. Under the Defamation ac</w:t>
      </w:r>
      <w:r w:rsidR="003E7304">
        <w:rPr>
          <w:rFonts w:ascii="Arial" w:eastAsia="Times New Roman" w:hAnsi="Arial" w:cs="Arial"/>
          <w:color w:val="000000"/>
          <w:sz w:val="21"/>
          <w:szCs w:val="21"/>
          <w:lang w:eastAsia="en-GB"/>
        </w:rPr>
        <w:t>t 2013 people who try to claim on defamation must provide evidence that</w:t>
      </w:r>
      <w:r w:rsidR="00E93AF8">
        <w:rPr>
          <w:rFonts w:ascii="Arial" w:eastAsia="Times New Roman" w:hAnsi="Arial" w:cs="Arial"/>
          <w:color w:val="000000"/>
          <w:sz w:val="21"/>
          <w:szCs w:val="21"/>
          <w:lang w:eastAsia="en-GB"/>
        </w:rPr>
        <w:t xml:space="preserve"> the publication of a specific statement is likely to cause or has already cause severe damage to an individual’s reputation for them to be able to bring a claim of defamation against the individual who published the statement.</w:t>
      </w:r>
      <w:r w:rsidR="00E93AF8" w:rsidRPr="00E93AF8">
        <w:rPr>
          <w:rFonts w:ascii="Arial" w:hAnsi="Arial" w:cs="Arial"/>
          <w:color w:val="000000"/>
          <w:sz w:val="21"/>
          <w:szCs w:val="21"/>
          <w:shd w:val="clear" w:color="auto" w:fill="FFFFFF"/>
        </w:rPr>
        <w:t xml:space="preserve"> </w:t>
      </w:r>
      <w:r w:rsidR="00E93AF8">
        <w:rPr>
          <w:rFonts w:ascii="Arial" w:hAnsi="Arial" w:cs="Arial"/>
          <w:color w:val="000000"/>
          <w:sz w:val="21"/>
          <w:szCs w:val="21"/>
          <w:shd w:val="clear" w:color="auto" w:fill="FFFFFF"/>
        </w:rPr>
        <w:t>(</w:t>
      </w:r>
      <w:r w:rsidR="004D22C4">
        <w:rPr>
          <w:rFonts w:ascii="Arial" w:hAnsi="Arial" w:cs="Arial"/>
          <w:color w:val="000000"/>
          <w:sz w:val="20"/>
          <w:szCs w:val="20"/>
          <w:shd w:val="clear" w:color="auto" w:fill="FFFFFF"/>
        </w:rPr>
        <w:t>2021)</w:t>
      </w:r>
      <w:r w:rsidR="004D22C4">
        <w:rPr>
          <w:rFonts w:ascii="Arial" w:hAnsi="Arial" w:cs="Arial"/>
          <w:color w:val="000000"/>
          <w:sz w:val="21"/>
          <w:szCs w:val="21"/>
          <w:shd w:val="clear" w:color="auto" w:fill="FFFFFF"/>
        </w:rPr>
        <w:t xml:space="preserve"> </w:t>
      </w:r>
      <w:r w:rsidR="005A0AD3">
        <w:rPr>
          <w:rFonts w:ascii="Arial" w:hAnsi="Arial" w:cs="Arial"/>
          <w:color w:val="000000"/>
          <w:sz w:val="21"/>
          <w:szCs w:val="21"/>
          <w:shd w:val="clear" w:color="auto" w:fill="FFFFFF"/>
        </w:rPr>
        <w:t>However section 4 of the defamation act 2013</w:t>
      </w:r>
      <w:r w:rsidR="00697C54">
        <w:rPr>
          <w:rFonts w:ascii="Arial" w:hAnsi="Arial" w:cs="Arial"/>
          <w:color w:val="000000"/>
          <w:sz w:val="21"/>
          <w:szCs w:val="21"/>
          <w:shd w:val="clear" w:color="auto" w:fill="FFFFFF"/>
        </w:rPr>
        <w:t xml:space="preserve"> enables publishers with a defence against any claims where an individual has complained of a statement or part of a statement which is a matter of public interest, and that the individual arraigned of defamation honestly and instinctively believed that publishing the statement that has been complained about was in the public’s interest.</w:t>
      </w:r>
      <w:r w:rsidR="00697C54" w:rsidRPr="00697C54">
        <w:rPr>
          <w:rFonts w:ascii="Arial" w:hAnsi="Arial" w:cs="Arial"/>
          <w:color w:val="000000"/>
          <w:sz w:val="21"/>
          <w:szCs w:val="21"/>
          <w:shd w:val="clear" w:color="auto" w:fill="FFFFFF"/>
        </w:rPr>
        <w:t xml:space="preserve"> </w:t>
      </w:r>
      <w:r w:rsidR="00697C54">
        <w:rPr>
          <w:rFonts w:ascii="Arial" w:hAnsi="Arial" w:cs="Arial"/>
          <w:color w:val="000000"/>
          <w:sz w:val="21"/>
          <w:szCs w:val="21"/>
          <w:shd w:val="clear" w:color="auto" w:fill="FFFFFF"/>
        </w:rPr>
        <w:t>(</w:t>
      </w:r>
      <w:r w:rsidR="004D22C4">
        <w:rPr>
          <w:rFonts w:ascii="Arial" w:hAnsi="Arial" w:cs="Arial"/>
          <w:color w:val="000000"/>
          <w:sz w:val="20"/>
          <w:szCs w:val="20"/>
          <w:shd w:val="clear" w:color="auto" w:fill="FFFFFF"/>
        </w:rPr>
        <w:t>2021).</w:t>
      </w:r>
      <w:r w:rsidR="004D22C4">
        <w:rPr>
          <w:rFonts w:ascii="Arial" w:hAnsi="Arial" w:cs="Arial"/>
          <w:color w:val="000000"/>
          <w:sz w:val="21"/>
          <w:szCs w:val="21"/>
          <w:shd w:val="clear" w:color="auto" w:fill="FFFFFF"/>
        </w:rPr>
        <w:t xml:space="preserve"> </w:t>
      </w:r>
      <w:r w:rsidR="00697C54">
        <w:rPr>
          <w:rFonts w:ascii="Arial" w:hAnsi="Arial" w:cs="Arial"/>
          <w:color w:val="000000"/>
          <w:sz w:val="21"/>
          <w:szCs w:val="21"/>
          <w:shd w:val="clear" w:color="auto" w:fill="FFFFFF"/>
        </w:rPr>
        <w:t xml:space="preserve">section 4 seeks to recreate the existing law, although it </w:t>
      </w:r>
      <w:r w:rsidR="009B546E">
        <w:rPr>
          <w:rFonts w:ascii="Arial" w:hAnsi="Arial" w:cs="Arial"/>
          <w:color w:val="000000"/>
          <w:sz w:val="21"/>
          <w:szCs w:val="21"/>
          <w:shd w:val="clear" w:color="auto" w:fill="FFFFFF"/>
        </w:rPr>
        <w:t>does not</w:t>
      </w:r>
      <w:r w:rsidR="00697C54">
        <w:rPr>
          <w:rFonts w:ascii="Arial" w:hAnsi="Arial" w:cs="Arial"/>
          <w:color w:val="000000"/>
          <w:sz w:val="21"/>
          <w:szCs w:val="21"/>
          <w:shd w:val="clear" w:color="auto" w:fill="FFFFFF"/>
        </w:rPr>
        <w:t xml:space="preserve"> do it as clearly as it should.  </w:t>
      </w:r>
      <w:r w:rsidR="009B546E">
        <w:rPr>
          <w:rFonts w:ascii="Arial" w:hAnsi="Arial" w:cs="Arial"/>
          <w:color w:val="000000"/>
          <w:sz w:val="21"/>
          <w:szCs w:val="21"/>
          <w:shd w:val="clear" w:color="auto" w:fill="FFFFFF"/>
        </w:rPr>
        <w:t xml:space="preserve">The case law that has been developed throughout the common law and in </w:t>
      </w:r>
      <w:r w:rsidR="004D22C4">
        <w:rPr>
          <w:rFonts w:ascii="Arial" w:hAnsi="Arial" w:cs="Arial"/>
          <w:color w:val="000000"/>
          <w:sz w:val="21"/>
          <w:szCs w:val="21"/>
          <w:shd w:val="clear" w:color="auto" w:fill="FFFFFF"/>
        </w:rPr>
        <w:t>Strasbourg</w:t>
      </w:r>
      <w:r w:rsidR="009B546E">
        <w:rPr>
          <w:rFonts w:ascii="Arial" w:hAnsi="Arial" w:cs="Arial"/>
          <w:color w:val="000000"/>
          <w:sz w:val="21"/>
          <w:szCs w:val="21"/>
          <w:shd w:val="clear" w:color="auto" w:fill="FFFFFF"/>
        </w:rPr>
        <w:t xml:space="preserve"> since the decision in Reynolds v times newspaper has mainly focused on the ethics of journalism. This portrays a reasonable and applicable policy, journalists who write about matters which are in the public interest should not be made vulnerable to legal action if they have acted responsibly. But this section does however avoid any reference to the accountability of the defendant being able to complete a legitimate and </w:t>
      </w:r>
      <w:r w:rsidR="004D22C4">
        <w:rPr>
          <w:rFonts w:ascii="Arial" w:hAnsi="Arial" w:cs="Arial"/>
          <w:color w:val="000000"/>
          <w:sz w:val="21"/>
          <w:szCs w:val="21"/>
          <w:shd w:val="clear" w:color="auto" w:fill="FFFFFF"/>
        </w:rPr>
        <w:t>liable investigation, focusing on the concept of reasonable belief instead. During the Reynolds case the key element was that responsibility was no doubt on the part of the defendant. At bear minimum at least five of Lord Nicholls ‘ten commandments’ were in relation to the way the journalist had conducted themselves.</w:t>
      </w:r>
      <w:r w:rsidR="002874B9">
        <w:rPr>
          <w:rFonts w:ascii="Arial" w:hAnsi="Arial" w:cs="Arial"/>
          <w:color w:val="000000"/>
          <w:sz w:val="21"/>
          <w:szCs w:val="21"/>
          <w:shd w:val="clear" w:color="auto" w:fill="FFFFFF"/>
        </w:rPr>
        <w:t xml:space="preserve"> Responsibility remained vital to all the ensuing proceedings, including when all of the justices within the supreme court came to </w:t>
      </w:r>
      <w:proofErr w:type="gramStart"/>
      <w:r w:rsidR="002874B9">
        <w:rPr>
          <w:rFonts w:ascii="Arial" w:hAnsi="Arial" w:cs="Arial"/>
          <w:color w:val="000000"/>
          <w:sz w:val="21"/>
          <w:szCs w:val="21"/>
          <w:shd w:val="clear" w:color="auto" w:fill="FFFFFF"/>
        </w:rPr>
        <w:t>reasoning</w:t>
      </w:r>
      <w:proofErr w:type="gramEnd"/>
      <w:r w:rsidR="002874B9">
        <w:rPr>
          <w:rFonts w:ascii="Arial" w:hAnsi="Arial" w:cs="Arial"/>
          <w:color w:val="000000"/>
          <w:sz w:val="21"/>
          <w:szCs w:val="21"/>
          <w:shd w:val="clear" w:color="auto" w:fill="FFFFFF"/>
        </w:rPr>
        <w:t xml:space="preserve"> in Flood v Times Newspapers limited. The way section 4 is worded appears to be obtained from copying the opening sentence of paragraph 113 of the judgment of Lord Brown, but when read completely there</w:t>
      </w:r>
      <w:r w:rsidR="0085574F">
        <w:rPr>
          <w:rFonts w:ascii="Arial" w:hAnsi="Arial" w:cs="Arial"/>
          <w:color w:val="000000"/>
          <w:sz w:val="21"/>
          <w:szCs w:val="21"/>
          <w:shd w:val="clear" w:color="auto" w:fill="FFFFFF"/>
        </w:rPr>
        <w:t xml:space="preserve"> is no denying that lord brown complied with the other justices that the responsibility on part of the defendant was an essential element.</w:t>
      </w:r>
      <w:r w:rsidR="0085574F" w:rsidRPr="0085574F">
        <w:rPr>
          <w:rFonts w:ascii="Arial" w:hAnsi="Arial" w:cs="Arial"/>
          <w:color w:val="000000"/>
          <w:sz w:val="20"/>
          <w:szCs w:val="20"/>
          <w:shd w:val="clear" w:color="auto" w:fill="FFFFFF"/>
        </w:rPr>
        <w:t xml:space="preserve"> </w:t>
      </w:r>
      <w:r w:rsidR="0085574F">
        <w:rPr>
          <w:rFonts w:ascii="Arial" w:hAnsi="Arial" w:cs="Arial"/>
          <w:color w:val="000000"/>
          <w:sz w:val="20"/>
          <w:szCs w:val="20"/>
          <w:shd w:val="clear" w:color="auto" w:fill="FFFFFF"/>
        </w:rPr>
        <w:t xml:space="preserve">(Defamation Act 2013, A Critical Evaluation, Part 4, “Public Interest” defence – Dan </w:t>
      </w:r>
      <w:proofErr w:type="spellStart"/>
      <w:r w:rsidR="0085574F">
        <w:rPr>
          <w:rFonts w:ascii="Arial" w:hAnsi="Arial" w:cs="Arial"/>
          <w:color w:val="000000"/>
          <w:sz w:val="20"/>
          <w:szCs w:val="20"/>
          <w:shd w:val="clear" w:color="auto" w:fill="FFFFFF"/>
        </w:rPr>
        <w:t>Tench</w:t>
      </w:r>
      <w:proofErr w:type="spellEnd"/>
      <w:r w:rsidR="0085574F">
        <w:rPr>
          <w:rFonts w:ascii="Arial" w:hAnsi="Arial" w:cs="Arial"/>
          <w:color w:val="000000"/>
          <w:sz w:val="20"/>
          <w:szCs w:val="20"/>
          <w:shd w:val="clear" w:color="auto" w:fill="FFFFFF"/>
        </w:rPr>
        <w:t>, 2021)</w:t>
      </w:r>
      <w:r w:rsidR="001F4391">
        <w:rPr>
          <w:rFonts w:ascii="Arial" w:hAnsi="Arial" w:cs="Arial"/>
          <w:color w:val="000000"/>
          <w:sz w:val="20"/>
          <w:szCs w:val="20"/>
          <w:shd w:val="clear" w:color="auto" w:fill="FFFFFF"/>
        </w:rPr>
        <w:t>. In order to protect a secret source is an article of faith for journalists. News stories will often begin and some usually end up relying on an individual confidential source, usually a person who would not relay information without the guarantee of anonymity and strangely enough the law understands the importance of this unique relationship in order to make sure the open discussion relating to important matters of public interest.</w:t>
      </w:r>
      <w:r w:rsidR="001678E4" w:rsidRPr="001678E4">
        <w:rPr>
          <w:rFonts w:ascii="Arial" w:hAnsi="Arial" w:cs="Arial"/>
          <w:color w:val="000000"/>
          <w:sz w:val="20"/>
          <w:szCs w:val="20"/>
          <w:shd w:val="clear" w:color="auto" w:fill="FFFFFF"/>
        </w:rPr>
        <w:t xml:space="preserve"> </w:t>
      </w:r>
      <w:r w:rsidR="001678E4">
        <w:rPr>
          <w:rFonts w:ascii="Arial" w:hAnsi="Arial" w:cs="Arial"/>
          <w:color w:val="000000"/>
          <w:sz w:val="20"/>
          <w:szCs w:val="20"/>
          <w:shd w:val="clear" w:color="auto" w:fill="FFFFFF"/>
        </w:rPr>
        <w:t>(The Source of the Problem - Section 10 Contempt of Court Act 1981 - Intellectual Property - UK, 2021)</w:t>
      </w:r>
      <w:r w:rsidR="001F4391">
        <w:rPr>
          <w:rFonts w:ascii="Arial" w:hAnsi="Arial" w:cs="Arial"/>
          <w:color w:val="000000"/>
          <w:sz w:val="20"/>
          <w:szCs w:val="20"/>
          <w:shd w:val="clear" w:color="auto" w:fill="FFFFFF"/>
        </w:rPr>
        <w:t xml:space="preserve"> Due to the </w:t>
      </w:r>
      <w:r w:rsidR="001F4391">
        <w:rPr>
          <w:rFonts w:ascii="Arial" w:hAnsi="Arial" w:cs="Arial"/>
          <w:color w:val="000000"/>
          <w:sz w:val="20"/>
          <w:szCs w:val="20"/>
          <w:shd w:val="clear" w:color="auto" w:fill="FFFFFF"/>
        </w:rPr>
        <w:lastRenderedPageBreak/>
        <w:t>arrangement relating to freedom of expression in article 10 of the Huma Rights Act 1998 has solidified</w:t>
      </w:r>
      <w:r w:rsidR="001678E4">
        <w:rPr>
          <w:rFonts w:ascii="Arial" w:hAnsi="Arial" w:cs="Arial"/>
          <w:color w:val="000000"/>
          <w:sz w:val="20"/>
          <w:szCs w:val="20"/>
          <w:shd w:val="clear" w:color="auto" w:fill="FFFFFF"/>
        </w:rPr>
        <w:t xml:space="preserve"> the way its portrayed, but the law itself refers back to the Contempt of Court Act of 1981. It clearly states within this act that the courts do not require a person to divulge, neither  is anyone is guilty of contempt of court if they refuse to divulge, the origin of where the information has come from in a publication in which the individual is responsible, unless the court established its satisfaction that it is necessary to disclose the source in the interest of national security or justice as well as the prevention of disorder or crime.</w:t>
      </w:r>
      <w:r w:rsidR="001678E4" w:rsidRPr="001678E4">
        <w:rPr>
          <w:rFonts w:ascii="Arial" w:hAnsi="Arial" w:cs="Arial"/>
          <w:color w:val="000000"/>
          <w:sz w:val="20"/>
          <w:szCs w:val="20"/>
          <w:shd w:val="clear" w:color="auto" w:fill="FFFFFF"/>
        </w:rPr>
        <w:t xml:space="preserve"> </w:t>
      </w:r>
      <w:r w:rsidR="001678E4">
        <w:rPr>
          <w:rFonts w:ascii="Arial" w:hAnsi="Arial" w:cs="Arial"/>
          <w:color w:val="000000"/>
          <w:sz w:val="20"/>
          <w:szCs w:val="20"/>
          <w:shd w:val="clear" w:color="auto" w:fill="FFFFFF"/>
        </w:rPr>
        <w:t>(The Source of the Problem - Section 10 Contempt of Court Act 1981 - Intellectual Property - UK, 2021)</w:t>
      </w:r>
      <w:r w:rsidR="003E1743">
        <w:rPr>
          <w:rFonts w:ascii="Arial" w:hAnsi="Arial" w:cs="Arial"/>
          <w:color w:val="000000"/>
          <w:sz w:val="20"/>
          <w:szCs w:val="20"/>
          <w:shd w:val="clear" w:color="auto" w:fill="FFFFFF"/>
        </w:rPr>
        <w:t xml:space="preserve"> for article 10 an administrable high level of public interest is needed in order to make section 10 work</w:t>
      </w:r>
      <w:r w:rsidR="00973702">
        <w:rPr>
          <w:rFonts w:ascii="Arial" w:hAnsi="Arial" w:cs="Arial"/>
          <w:color w:val="000000"/>
          <w:sz w:val="20"/>
          <w:szCs w:val="20"/>
          <w:shd w:val="clear" w:color="auto" w:fill="FFFFFF"/>
        </w:rPr>
        <w:t xml:space="preserve"> out in an individuals favour and to avoid a custodial sentence even though the attorney general is usually sympathetic when looking at precautions for contempt of court.</w:t>
      </w:r>
      <w:r w:rsidR="00973702" w:rsidRPr="00973702">
        <w:rPr>
          <w:rFonts w:ascii="Arial" w:hAnsi="Arial" w:cs="Arial"/>
          <w:color w:val="000000"/>
          <w:sz w:val="20"/>
          <w:szCs w:val="20"/>
          <w:shd w:val="clear" w:color="auto" w:fill="FFFFFF"/>
        </w:rPr>
        <w:t xml:space="preserve"> </w:t>
      </w:r>
      <w:r w:rsidR="00973702">
        <w:rPr>
          <w:rFonts w:ascii="Arial" w:hAnsi="Arial" w:cs="Arial"/>
          <w:color w:val="000000"/>
          <w:sz w:val="20"/>
          <w:szCs w:val="20"/>
          <w:shd w:val="clear" w:color="auto" w:fill="FFFFFF"/>
        </w:rPr>
        <w:t>(The Source of the Problem - Section 10 Contempt of Court Act 1981 - Intellectual Property - UK, 2021)</w:t>
      </w:r>
    </w:p>
    <w:p w14:paraId="4C815E64" w14:textId="77777777" w:rsidR="007273C5" w:rsidRDefault="007273C5" w:rsidP="007273C5">
      <w:pPr>
        <w:rPr>
          <w:sz w:val="32"/>
          <w:szCs w:val="32"/>
          <w:u w:val="single"/>
        </w:rPr>
      </w:pPr>
      <w:r w:rsidRPr="004C2909">
        <w:rPr>
          <w:sz w:val="32"/>
          <w:szCs w:val="32"/>
          <w:u w:val="single"/>
        </w:rPr>
        <w:t>Reference List</w:t>
      </w:r>
    </w:p>
    <w:p w14:paraId="1A0EF92C" w14:textId="77777777" w:rsidR="007273C5" w:rsidRPr="0088455B" w:rsidRDefault="007273C5" w:rsidP="007273C5">
      <w:pPr>
        <w:rPr>
          <w:rFonts w:ascii="Arial" w:eastAsia="Times New Roman" w:hAnsi="Arial" w:cs="Arial"/>
          <w:color w:val="000000"/>
          <w:sz w:val="21"/>
          <w:szCs w:val="21"/>
          <w:lang w:eastAsia="en-GB"/>
        </w:rPr>
      </w:pPr>
      <w:r w:rsidRPr="00C0794A">
        <w:rPr>
          <w:rFonts w:ascii="Arial" w:eastAsia="Times New Roman" w:hAnsi="Arial" w:cs="Arial"/>
          <w:color w:val="000000"/>
          <w:sz w:val="21"/>
          <w:szCs w:val="21"/>
          <w:lang w:eastAsia="en-GB"/>
        </w:rPr>
        <w:br/>
      </w:r>
      <w:r w:rsidRPr="0088455B">
        <w:rPr>
          <w:rFonts w:ascii="Arial" w:eastAsia="Times New Roman" w:hAnsi="Arial" w:cs="Arial"/>
          <w:color w:val="000000"/>
          <w:sz w:val="21"/>
          <w:szCs w:val="21"/>
          <w:lang w:eastAsia="en-GB"/>
        </w:rPr>
        <w:br/>
      </w:r>
      <w:proofErr w:type="spellStart"/>
      <w:r>
        <w:rPr>
          <w:rFonts w:ascii="Arial" w:hAnsi="Arial" w:cs="Arial"/>
          <w:color w:val="000000"/>
          <w:sz w:val="20"/>
          <w:szCs w:val="20"/>
          <w:shd w:val="clear" w:color="auto" w:fill="FFFFFF"/>
        </w:rPr>
        <w:t>Skrine</w:t>
      </w:r>
      <w:proofErr w:type="spellEnd"/>
      <w:r>
        <w:rPr>
          <w:rFonts w:ascii="Arial" w:hAnsi="Arial" w:cs="Arial"/>
          <w:color w:val="000000"/>
          <w:sz w:val="20"/>
          <w:szCs w:val="20"/>
          <w:shd w:val="clear" w:color="auto" w:fill="FFFFFF"/>
        </w:rPr>
        <w:t xml:space="preserve"> - Advocates &amp; Solicitors. 2021. </w:t>
      </w:r>
      <w:r>
        <w:rPr>
          <w:rFonts w:ascii="Arial" w:hAnsi="Arial" w:cs="Arial"/>
          <w:i/>
          <w:iCs/>
          <w:color w:val="000000"/>
          <w:sz w:val="20"/>
          <w:szCs w:val="20"/>
          <w:shd w:val="clear" w:color="auto" w:fill="FFFFFF"/>
        </w:rPr>
        <w:t xml:space="preserve">The “Reynolds Public Interest Defence” And S.4 Of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UK Defamation Act 2013 | </w:t>
      </w:r>
      <w:proofErr w:type="spellStart"/>
      <w:r>
        <w:rPr>
          <w:rFonts w:ascii="Arial" w:hAnsi="Arial" w:cs="Arial"/>
          <w:i/>
          <w:iCs/>
          <w:color w:val="000000"/>
          <w:sz w:val="20"/>
          <w:szCs w:val="20"/>
          <w:shd w:val="clear" w:color="auto" w:fill="FFFFFF"/>
        </w:rPr>
        <w:t>Skrine</w:t>
      </w:r>
      <w:proofErr w:type="spellEnd"/>
      <w:r>
        <w:rPr>
          <w:rFonts w:ascii="Arial" w:hAnsi="Arial" w:cs="Arial"/>
          <w:i/>
          <w:iCs/>
          <w:color w:val="000000"/>
          <w:sz w:val="20"/>
          <w:szCs w:val="20"/>
          <w:shd w:val="clear" w:color="auto" w:fill="FFFFFF"/>
        </w:rPr>
        <w:t xml:space="preserve"> - Advocates &amp; Solicitors</w:t>
      </w:r>
      <w:r>
        <w:rPr>
          <w:rFonts w:ascii="Arial" w:hAnsi="Arial" w:cs="Arial"/>
          <w:color w:val="000000"/>
          <w:sz w:val="20"/>
          <w:szCs w:val="20"/>
          <w:shd w:val="clear" w:color="auto" w:fill="FFFFFF"/>
        </w:rPr>
        <w:t>. [online] Available at: &lt;https://www.skrine.com/insights/alerts/november-2020/the-reynolds-public-interest-defence%E2%80%9D-and-s-4-of-t?utm_source=Mondaq&amp;utm_medium=syndication&amp;utm_campaign=LinkedIn-integration&gt; [Accessed 7 January 2021].</w:t>
      </w:r>
    </w:p>
    <w:p w14:paraId="4B79D477" w14:textId="77777777" w:rsidR="007273C5" w:rsidRDefault="007273C5" w:rsidP="007273C5">
      <w:pPr>
        <w:spacing w:after="0" w:line="240" w:lineRule="auto"/>
        <w:rPr>
          <w:sz w:val="24"/>
          <w:szCs w:val="24"/>
          <w:u w:val="single"/>
        </w:rPr>
      </w:pPr>
      <w:r w:rsidRPr="00E93AF8">
        <w:rPr>
          <w:rFonts w:ascii="Arial" w:eastAsia="Times New Roman" w:hAnsi="Arial" w:cs="Arial"/>
          <w:color w:val="000000"/>
          <w:sz w:val="21"/>
          <w:szCs w:val="21"/>
          <w:lang w:eastAsia="en-GB"/>
        </w:rPr>
        <w:br/>
      </w:r>
      <w:r>
        <w:rPr>
          <w:rFonts w:ascii="Arial" w:hAnsi="Arial" w:cs="Arial"/>
          <w:color w:val="000000"/>
          <w:sz w:val="20"/>
          <w:szCs w:val="20"/>
          <w:shd w:val="clear" w:color="auto" w:fill="FFFFFF"/>
        </w:rPr>
        <w:t>Pinsentmasons.com. 2021. [online] Available at: &lt;https://www.pinsentmasons.com/out-law/news/public-interest-defence-defamation&gt; [Accessed 7 January 2021].</w:t>
      </w:r>
    </w:p>
    <w:p w14:paraId="1BD8BE03" w14:textId="77777777" w:rsidR="007273C5" w:rsidRDefault="007273C5" w:rsidP="007273C5">
      <w:pPr>
        <w:spacing w:after="0" w:line="240" w:lineRule="auto"/>
        <w:rPr>
          <w:rFonts w:ascii="Arial" w:hAnsi="Arial" w:cs="Arial"/>
          <w:color w:val="000000"/>
          <w:sz w:val="20"/>
          <w:szCs w:val="20"/>
          <w:shd w:val="clear" w:color="auto" w:fill="FFFFFF"/>
        </w:rPr>
      </w:pPr>
      <w:r w:rsidRPr="00697C54">
        <w:rPr>
          <w:rFonts w:ascii="Arial" w:eastAsia="Times New Roman" w:hAnsi="Arial" w:cs="Arial"/>
          <w:color w:val="000000"/>
          <w:sz w:val="21"/>
          <w:szCs w:val="21"/>
          <w:lang w:eastAsia="en-GB"/>
        </w:rPr>
        <w:br/>
      </w:r>
      <w:r>
        <w:rPr>
          <w:rFonts w:ascii="Arial" w:hAnsi="Arial" w:cs="Arial"/>
          <w:color w:val="000000"/>
          <w:sz w:val="20"/>
          <w:szCs w:val="20"/>
          <w:shd w:val="clear" w:color="auto" w:fill="FFFFFF"/>
        </w:rPr>
        <w:t>Pinsentmasons.com. 2021. [online] Available at: &lt;https://www.pinsentmasons.com/out-law/news/public-interest-defence-defamation&gt; [Accessed 7 January 2021].</w:t>
      </w:r>
    </w:p>
    <w:p w14:paraId="64FE3854" w14:textId="77777777" w:rsidR="007273C5" w:rsidRDefault="007273C5" w:rsidP="007273C5">
      <w:pPr>
        <w:spacing w:after="0" w:line="240" w:lineRule="auto"/>
        <w:rPr>
          <w:rFonts w:ascii="Arial" w:hAnsi="Arial" w:cs="Arial"/>
          <w:color w:val="000000"/>
          <w:sz w:val="20"/>
          <w:szCs w:val="20"/>
          <w:shd w:val="clear" w:color="auto" w:fill="FFFFFF"/>
        </w:rPr>
      </w:pPr>
    </w:p>
    <w:p w14:paraId="07C3D40C" w14:textId="77777777" w:rsidR="007273C5" w:rsidRDefault="007273C5" w:rsidP="007273C5">
      <w:pPr>
        <w:spacing w:after="0" w:line="24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Inforrm's</w:t>
      </w:r>
      <w:proofErr w:type="spellEnd"/>
      <w:r>
        <w:rPr>
          <w:rFonts w:ascii="Arial" w:hAnsi="Arial" w:cs="Arial"/>
          <w:color w:val="000000"/>
          <w:sz w:val="20"/>
          <w:szCs w:val="20"/>
          <w:shd w:val="clear" w:color="auto" w:fill="FFFFFF"/>
        </w:rPr>
        <w:t xml:space="preserve"> Blog. 2021. </w:t>
      </w:r>
      <w:r>
        <w:rPr>
          <w:rFonts w:ascii="Arial" w:hAnsi="Arial" w:cs="Arial"/>
          <w:i/>
          <w:iCs/>
          <w:color w:val="000000"/>
          <w:sz w:val="20"/>
          <w:szCs w:val="20"/>
          <w:shd w:val="clear" w:color="auto" w:fill="FFFFFF"/>
        </w:rPr>
        <w:t xml:space="preserve">Defamation Act 2013, A Critical Evaluation, Part 4, “Public Interest” Defence – Dan </w:t>
      </w:r>
      <w:proofErr w:type="spellStart"/>
      <w:r>
        <w:rPr>
          <w:rFonts w:ascii="Arial" w:hAnsi="Arial" w:cs="Arial"/>
          <w:i/>
          <w:iCs/>
          <w:color w:val="000000"/>
          <w:sz w:val="20"/>
          <w:szCs w:val="20"/>
          <w:shd w:val="clear" w:color="auto" w:fill="FFFFFF"/>
        </w:rPr>
        <w:t>Tench</w:t>
      </w:r>
      <w:proofErr w:type="spellEnd"/>
      <w:r>
        <w:rPr>
          <w:rFonts w:ascii="Arial" w:hAnsi="Arial" w:cs="Arial"/>
          <w:color w:val="000000"/>
          <w:sz w:val="20"/>
          <w:szCs w:val="20"/>
          <w:shd w:val="clear" w:color="auto" w:fill="FFFFFF"/>
        </w:rPr>
        <w:t>. [online] Available at: &lt;https://inforrm.org/2014/07/29/defamation-act-2013-a-critical-evaluation-part-3-public-interest-defence-dan-tench/&gt; [Accessed 7 January 2021].</w:t>
      </w:r>
    </w:p>
    <w:p w14:paraId="7EAA888D" w14:textId="77777777" w:rsidR="007273C5" w:rsidRDefault="007273C5" w:rsidP="007273C5">
      <w:pPr>
        <w:spacing w:after="0" w:line="240" w:lineRule="auto"/>
        <w:rPr>
          <w:rFonts w:ascii="Arial" w:hAnsi="Arial" w:cs="Arial"/>
          <w:color w:val="000000"/>
          <w:sz w:val="20"/>
          <w:szCs w:val="20"/>
          <w:shd w:val="clear" w:color="auto" w:fill="FFFFFF"/>
        </w:rPr>
      </w:pPr>
    </w:p>
    <w:p w14:paraId="6F459244" w14:textId="77777777" w:rsidR="007273C5" w:rsidRDefault="007273C5" w:rsidP="007273C5">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Mondaq.com. 2021. </w:t>
      </w:r>
      <w:r>
        <w:rPr>
          <w:rFonts w:ascii="Arial" w:hAnsi="Arial" w:cs="Arial"/>
          <w:i/>
          <w:iCs/>
          <w:color w:val="000000"/>
          <w:sz w:val="20"/>
          <w:szCs w:val="20"/>
          <w:shd w:val="clear" w:color="auto" w:fill="FFFFFF"/>
        </w:rPr>
        <w:t xml:space="preserve">The Source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The Problem - Section 10 Contempt Of Court Act 1981 - Intellectual Property - UK</w:t>
      </w:r>
      <w:r>
        <w:rPr>
          <w:rFonts w:ascii="Arial" w:hAnsi="Arial" w:cs="Arial"/>
          <w:color w:val="000000"/>
          <w:sz w:val="20"/>
          <w:szCs w:val="20"/>
          <w:shd w:val="clear" w:color="auto" w:fill="FFFFFF"/>
        </w:rPr>
        <w:t>. [online] Available at: &lt;https://www.mondaq.com/uk/intellectual-property/25633/the-source-of-the-problem--section-10-contempt-of-court-act-1981&gt; [Accessed 7 January 2021].</w:t>
      </w:r>
    </w:p>
    <w:p w14:paraId="5B091D15" w14:textId="77777777" w:rsidR="007273C5" w:rsidRDefault="007273C5" w:rsidP="007273C5">
      <w:pPr>
        <w:spacing w:after="0" w:line="240" w:lineRule="auto"/>
        <w:rPr>
          <w:rFonts w:ascii="Arial" w:hAnsi="Arial" w:cs="Arial"/>
          <w:color w:val="000000"/>
          <w:sz w:val="20"/>
          <w:szCs w:val="20"/>
          <w:shd w:val="clear" w:color="auto" w:fill="FFFFFF"/>
        </w:rPr>
      </w:pPr>
    </w:p>
    <w:p w14:paraId="07AD9B81" w14:textId="77777777" w:rsidR="007273C5" w:rsidRDefault="007273C5" w:rsidP="007273C5">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Mondaq.com. 2021. </w:t>
      </w:r>
      <w:r>
        <w:rPr>
          <w:rFonts w:ascii="Arial" w:hAnsi="Arial" w:cs="Arial"/>
          <w:i/>
          <w:iCs/>
          <w:color w:val="000000"/>
          <w:sz w:val="20"/>
          <w:szCs w:val="20"/>
          <w:shd w:val="clear" w:color="auto" w:fill="FFFFFF"/>
        </w:rPr>
        <w:t xml:space="preserve">The Source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The Problem - Section 10 Contempt Of Court Act 1981 - Intellectual Property - UK</w:t>
      </w:r>
      <w:r>
        <w:rPr>
          <w:rFonts w:ascii="Arial" w:hAnsi="Arial" w:cs="Arial"/>
          <w:color w:val="000000"/>
          <w:sz w:val="20"/>
          <w:szCs w:val="20"/>
          <w:shd w:val="clear" w:color="auto" w:fill="FFFFFF"/>
        </w:rPr>
        <w:t>. [online] Available at: &lt;https://www.mondaq.com/uk/intellectual-property/25633/the-source-of-the-problem--section-10-contempt-of-court-act-1981&gt; [Accessed 7 January 2021].</w:t>
      </w:r>
    </w:p>
    <w:p w14:paraId="2A33546B" w14:textId="77777777" w:rsidR="007273C5" w:rsidRDefault="007273C5" w:rsidP="007273C5">
      <w:pPr>
        <w:spacing w:after="0" w:line="240" w:lineRule="auto"/>
        <w:rPr>
          <w:rFonts w:ascii="Arial" w:hAnsi="Arial" w:cs="Arial"/>
          <w:color w:val="000000"/>
          <w:sz w:val="20"/>
          <w:szCs w:val="20"/>
          <w:shd w:val="clear" w:color="auto" w:fill="FFFFFF"/>
        </w:rPr>
      </w:pPr>
    </w:p>
    <w:p w14:paraId="0E3A5B53" w14:textId="77777777" w:rsidR="007273C5" w:rsidRDefault="007273C5" w:rsidP="007273C5">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Mondaq.com. 2021. </w:t>
      </w:r>
      <w:r>
        <w:rPr>
          <w:rFonts w:ascii="Arial" w:hAnsi="Arial" w:cs="Arial"/>
          <w:i/>
          <w:iCs/>
          <w:color w:val="000000"/>
          <w:sz w:val="20"/>
          <w:szCs w:val="20"/>
          <w:shd w:val="clear" w:color="auto" w:fill="FFFFFF"/>
        </w:rPr>
        <w:t xml:space="preserve">The Source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The Problem - Section 10 Contempt Of Court Act 1981 - Intellectual Property - UK</w:t>
      </w:r>
      <w:r>
        <w:rPr>
          <w:rFonts w:ascii="Arial" w:hAnsi="Arial" w:cs="Arial"/>
          <w:color w:val="000000"/>
          <w:sz w:val="20"/>
          <w:szCs w:val="20"/>
          <w:shd w:val="clear" w:color="auto" w:fill="FFFFFF"/>
        </w:rPr>
        <w:t>. [online] Available at: &lt;https://www.mondaq.com/uk/intellectual-property/25633/the-source-of-the-problem--section-10-contempt-of-court-act-1981&gt; [Accessed 8 January 2021].</w:t>
      </w:r>
    </w:p>
    <w:p w14:paraId="6FCE3972" w14:textId="77777777" w:rsidR="007273C5" w:rsidRDefault="007273C5" w:rsidP="007273C5">
      <w:pPr>
        <w:spacing w:after="0" w:line="240" w:lineRule="auto"/>
        <w:rPr>
          <w:rFonts w:ascii="Arial" w:hAnsi="Arial" w:cs="Arial"/>
          <w:color w:val="000000"/>
          <w:sz w:val="20"/>
          <w:szCs w:val="20"/>
          <w:shd w:val="clear" w:color="auto" w:fill="FFFFFF"/>
        </w:rPr>
      </w:pPr>
    </w:p>
    <w:p w14:paraId="75E177F3" w14:textId="1A20104F" w:rsidR="00A41F04" w:rsidRDefault="00A41F04" w:rsidP="0088455B">
      <w:pPr>
        <w:rPr>
          <w:rFonts w:ascii="Arial" w:hAnsi="Arial" w:cs="Arial"/>
          <w:color w:val="000000"/>
          <w:sz w:val="20"/>
          <w:szCs w:val="20"/>
          <w:shd w:val="clear" w:color="auto" w:fill="FFFFFF"/>
        </w:rPr>
      </w:pPr>
    </w:p>
    <w:p w14:paraId="33BB618B" w14:textId="77777777" w:rsidR="00697C54" w:rsidRDefault="00697C54" w:rsidP="005A0AD3">
      <w:pPr>
        <w:pStyle w:val="NormalWeb"/>
        <w:shd w:val="clear" w:color="auto" w:fill="FFFFFF"/>
        <w:spacing w:before="0" w:beforeAutospacing="0" w:after="0" w:afterAutospacing="0"/>
        <w:rPr>
          <w:rFonts w:ascii="Arial" w:hAnsi="Arial" w:cs="Arial"/>
          <w:color w:val="444444"/>
          <w:sz w:val="29"/>
          <w:szCs w:val="29"/>
        </w:rPr>
      </w:pPr>
    </w:p>
    <w:p w14:paraId="0B22A8E3" w14:textId="77777777" w:rsidR="005A0AD3" w:rsidRDefault="005A0AD3" w:rsidP="0088455B">
      <w:pPr>
        <w:rPr>
          <w:rFonts w:ascii="Arial" w:eastAsia="Times New Roman" w:hAnsi="Arial" w:cs="Arial"/>
          <w:color w:val="000000"/>
          <w:sz w:val="21"/>
          <w:szCs w:val="21"/>
          <w:lang w:eastAsia="en-GB"/>
        </w:rPr>
      </w:pPr>
    </w:p>
    <w:p w14:paraId="393FFDC9" w14:textId="557EB064" w:rsidR="007273C5" w:rsidRPr="007273C5" w:rsidRDefault="00044986" w:rsidP="007273C5">
      <w:pPr>
        <w:pStyle w:val="NormalWeb"/>
        <w:spacing w:before="0" w:after="0"/>
        <w:rPr>
          <w:rFonts w:ascii="Arial" w:hAnsi="Arial" w:cs="Arial"/>
          <w:color w:val="424F55"/>
        </w:rPr>
      </w:pPr>
      <w:r>
        <w:rPr>
          <w:rFonts w:ascii="Arial" w:hAnsi="Arial" w:cs="Arial"/>
          <w:color w:val="424F55"/>
        </w:rPr>
        <w:t>.</w:t>
      </w:r>
    </w:p>
    <w:p w14:paraId="14C08FBE" w14:textId="77777777" w:rsidR="007273C5" w:rsidRPr="004679B5" w:rsidRDefault="007273C5" w:rsidP="007273C5">
      <w:pPr>
        <w:jc w:val="center"/>
        <w:rPr>
          <w:sz w:val="48"/>
          <w:szCs w:val="48"/>
          <w:u w:val="single"/>
        </w:rPr>
      </w:pPr>
      <w:r w:rsidRPr="004679B5">
        <w:rPr>
          <w:sz w:val="48"/>
          <w:szCs w:val="48"/>
          <w:u w:val="single"/>
        </w:rPr>
        <w:lastRenderedPageBreak/>
        <w:t>Task 2</w:t>
      </w:r>
    </w:p>
    <w:p w14:paraId="3A572079" w14:textId="77777777" w:rsidR="007273C5" w:rsidRDefault="007273C5" w:rsidP="007273C5"/>
    <w:p w14:paraId="3B85A17E" w14:textId="77777777" w:rsidR="007273C5" w:rsidRDefault="007273C5" w:rsidP="007273C5">
      <w:r>
        <w:t xml:space="preserve">In relation to the decision taken by the Plastic Regulatory Authority to refuse Norton solutions ltd on the grounds of their policy to only grant a license to one recycling plant per area. The Plastic Regulatory Authority have already breached their own terms by previously granting a licence to </w:t>
      </w:r>
      <w:proofErr w:type="spellStart"/>
      <w:r>
        <w:t>Westcross</w:t>
      </w:r>
      <w:proofErr w:type="spellEnd"/>
      <w:r>
        <w:t xml:space="preserve"> Plc </w:t>
      </w:r>
      <w:proofErr w:type="spellStart"/>
      <w:r>
        <w:t>aswell</w:t>
      </w:r>
      <w:proofErr w:type="spellEnd"/>
      <w:r>
        <w:t xml:space="preserve"> as </w:t>
      </w:r>
      <w:proofErr w:type="spellStart"/>
      <w:r>
        <w:t>Lakerec</w:t>
      </w:r>
      <w:proofErr w:type="spellEnd"/>
      <w:r>
        <w:t xml:space="preserve"> Ltd which are both situated within the Swansea area. This alone is grounds to allow Norton solution plc to make a claim for judicial review under the grounds of breaching their own regulatory policies. In response to being rejected for the license Norton Solutions plc have stated that </w:t>
      </w:r>
      <w:proofErr w:type="spellStart"/>
      <w:r>
        <w:t>Westcross</w:t>
      </w:r>
      <w:proofErr w:type="spellEnd"/>
      <w:r>
        <w:t xml:space="preserve"> plc does not have the adequate facilities to meet the local demand for recycling plastics so what Norton Solutions now needs to do is gather all evidence they can in order to strengthen the claim that </w:t>
      </w:r>
      <w:proofErr w:type="spellStart"/>
      <w:r>
        <w:t>Westcross</w:t>
      </w:r>
      <w:proofErr w:type="spellEnd"/>
      <w:r>
        <w:t xml:space="preserve"> plc can’t meet the targets of local demands. Even though Norton Solutions Plc has evidence to support their claims the company still faces an uphill battle due to the fact that a license was granted to </w:t>
      </w:r>
      <w:proofErr w:type="spellStart"/>
      <w:r>
        <w:t>Lakerec</w:t>
      </w:r>
      <w:proofErr w:type="spellEnd"/>
      <w:r>
        <w:t xml:space="preserve"> Ltd situated opposite the Nature Reserve in Swansea three months prior on the basis of </w:t>
      </w:r>
      <w:proofErr w:type="spellStart"/>
      <w:r>
        <w:t>Lakerec</w:t>
      </w:r>
      <w:proofErr w:type="spellEnd"/>
      <w:r>
        <w:t xml:space="preserve"> Ltd has been able to amply demonstrate their capabilities to meet the local demand for recycling plastics </w:t>
      </w:r>
      <w:proofErr w:type="spellStart"/>
      <w:r>
        <w:t>aswell</w:t>
      </w:r>
      <w:proofErr w:type="spellEnd"/>
      <w:r>
        <w:t xml:space="preserve"> as showing that by the Plastic Regulatory Authority granting them a license, not only is the company capable of operating to a high standard but also by approving </w:t>
      </w:r>
      <w:proofErr w:type="spellStart"/>
      <w:r>
        <w:t>Lakerec</w:t>
      </w:r>
      <w:proofErr w:type="spellEnd"/>
      <w:r>
        <w:t xml:space="preserve"> Ltd the license it would help to stimulate economic growth in the deprived area. The Environmental Protection Act 2019 clearly states that any and all applications put forward to the Plastic Regulatory Authority in order to obtain a license must be displayed at the proposed site itself </w:t>
      </w:r>
      <w:proofErr w:type="spellStart"/>
      <w:r>
        <w:t>aswell</w:t>
      </w:r>
      <w:proofErr w:type="spellEnd"/>
      <w:r>
        <w:t xml:space="preserve"> as online and in the local newspaper, but when </w:t>
      </w:r>
      <w:proofErr w:type="spellStart"/>
      <w:r>
        <w:t>Lakerec</w:t>
      </w:r>
      <w:proofErr w:type="spellEnd"/>
      <w:r>
        <w:t xml:space="preserve"> Ltd was granted a license to open the facility opposite the Nature reserve the notice about the license application was only displayed within the local newspaper and was not posted online and was not displayed at the proposed site, because of this the Nature Reserve Trust which is a group that campaigns nationwide on various environmental issues has raised concern that due to regulations not being followed and that majority of the individuals that use the nature reserve were unaware of the proposed plans which meant that they could not voice their concerns regarding the environmental impact that the proposed site would bring due to the limited publicity surrounding the license. Due to the limited publicity surrounding the proposed recycling site The Nature Reserve Trust now has reasonable grounds to apply for a judicial review based upon the fact that the information regarding the proposed plans was not adequately publicised correctly in accordance with The Environmental Protection Act 2019. Norton Solutions Plc is now able to file for a judicial review based on the factor that the Plastic Regulatory Authority’s policy to only grant one license per area because </w:t>
      </w:r>
      <w:proofErr w:type="spellStart"/>
      <w:r>
        <w:t>Westcross</w:t>
      </w:r>
      <w:proofErr w:type="spellEnd"/>
      <w:r>
        <w:t xml:space="preserve"> plc have already been granted a license as well as </w:t>
      </w:r>
      <w:proofErr w:type="spellStart"/>
      <w:r>
        <w:t>Lakerec</w:t>
      </w:r>
      <w:proofErr w:type="spellEnd"/>
      <w:r>
        <w:t xml:space="preserve"> Ltd 3 months prior which is a clear contradiction of the Plastic Regulatory Authority’s company policy to only grant one license per area where as two applications have been approved with the Norton Solutions Plc being declined, also Norton Solutions Plc made a statement that </w:t>
      </w:r>
      <w:proofErr w:type="spellStart"/>
      <w:r>
        <w:t>Westcross</w:t>
      </w:r>
      <w:proofErr w:type="spellEnd"/>
      <w:r>
        <w:t xml:space="preserve"> Plc do not possess the capability to meet the local demand, so Norton Solutions Plc now needs to gather all the evidence the company claims to have to validate the statements that they’ve made </w:t>
      </w:r>
      <w:proofErr w:type="spellStart"/>
      <w:r>
        <w:t>aswell</w:t>
      </w:r>
      <w:proofErr w:type="spellEnd"/>
      <w:r>
        <w:t xml:space="preserve"> as following the correct channels to file for a judicial review based on mitigating factors. The Nature Reserve Trust stands in a much more confident stand point of being able to apply for judicial review due to a number of different factors for example due to the very poor publicity surrounding </w:t>
      </w:r>
      <w:proofErr w:type="spellStart"/>
      <w:r>
        <w:t>LakeRec</w:t>
      </w:r>
      <w:proofErr w:type="spellEnd"/>
      <w:r>
        <w:t xml:space="preserve"> </w:t>
      </w:r>
      <w:proofErr w:type="spellStart"/>
      <w:r>
        <w:t>Ltd’s</w:t>
      </w:r>
      <w:proofErr w:type="spellEnd"/>
      <w:r>
        <w:t xml:space="preserve"> license application to the Plastic Regulatory Authority the Nature Reserve Trust as well as the people who manage operations at the nature reserve were not aware of </w:t>
      </w:r>
      <w:proofErr w:type="spellStart"/>
      <w:r>
        <w:t>LakeRec</w:t>
      </w:r>
      <w:proofErr w:type="spellEnd"/>
      <w:r>
        <w:t xml:space="preserve"> </w:t>
      </w:r>
      <w:proofErr w:type="spellStart"/>
      <w:r>
        <w:t>Ltd’s</w:t>
      </w:r>
      <w:proofErr w:type="spellEnd"/>
      <w:r>
        <w:t xml:space="preserve"> successful application for a license to open a plastic recycling plant therefore had no opportunity to voice their concerns regarding how the proposed site would affect the nature reserve </w:t>
      </w:r>
      <w:proofErr w:type="spellStart"/>
      <w:r>
        <w:t>aswell</w:t>
      </w:r>
      <w:proofErr w:type="spellEnd"/>
      <w:r>
        <w:t xml:space="preserve"> as highlighting the </w:t>
      </w:r>
      <w:r>
        <w:lastRenderedPageBreak/>
        <w:t xml:space="preserve">environmental impact that the proposed site would do, not only that the nature reserve has been vulnerable to stop the commencement of the proposed site because they only seen it in the local paper a few days ago when the license was granted 3 months prior when work could of already been started to erect the site. I believe that the Nature Reserve Trust stands with a very high chance of succeeding in a judicial review as the case has not presented all concerned parties with reasonable opportunity to oppose to the project in question. Norton Solutions Plc also stands a very good chance in succeeding with a judicial review based on the grounds they were treated unfairly by having their application declined but also if the company can support their claims that </w:t>
      </w:r>
      <w:proofErr w:type="spellStart"/>
      <w:r>
        <w:t>Westcross</w:t>
      </w:r>
      <w:proofErr w:type="spellEnd"/>
      <w:r>
        <w:t xml:space="preserve"> plc does not </w:t>
      </w:r>
      <w:proofErr w:type="spellStart"/>
      <w:r>
        <w:t>posses</w:t>
      </w:r>
      <w:proofErr w:type="spellEnd"/>
      <w:r>
        <w:t xml:space="preserve"> the capability to complete the task they aim to achieve effectively then there should be no other choice but to revoke the current license and grant Norton Solutions Plc the license instead providing they can demonstrate that they are more than capable of meeting the local demand regarding recycling plastics. If Norton Solutions plc and the Nature Reserve Authority apply for a judicial review at the same time there are two different paths that lead to the same road which is protecting the nature reserve in Swansea </w:t>
      </w:r>
      <w:proofErr w:type="spellStart"/>
      <w:r>
        <w:t>aswell</w:t>
      </w:r>
      <w:proofErr w:type="spellEnd"/>
      <w:r>
        <w:t xml:space="preserve"> as Norton Solutions Plc being approved for the license.</w:t>
      </w:r>
    </w:p>
    <w:p w14:paraId="50277501" w14:textId="77777777" w:rsidR="007273C5" w:rsidRPr="00C0794A" w:rsidRDefault="007273C5" w:rsidP="0088455B">
      <w:pPr>
        <w:spacing w:after="0" w:line="240" w:lineRule="auto"/>
        <w:rPr>
          <w:sz w:val="24"/>
          <w:szCs w:val="24"/>
          <w:u w:val="single"/>
        </w:rPr>
      </w:pPr>
    </w:p>
    <w:sectPr w:rsidR="007273C5" w:rsidRPr="00C079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FEF"/>
    <w:rsid w:val="00044986"/>
    <w:rsid w:val="00091B64"/>
    <w:rsid w:val="000F040A"/>
    <w:rsid w:val="001678E4"/>
    <w:rsid w:val="001F4391"/>
    <w:rsid w:val="00234FEF"/>
    <w:rsid w:val="0027344E"/>
    <w:rsid w:val="002874B9"/>
    <w:rsid w:val="003E0AD2"/>
    <w:rsid w:val="003E1743"/>
    <w:rsid w:val="003E7304"/>
    <w:rsid w:val="004C2909"/>
    <w:rsid w:val="004D22C4"/>
    <w:rsid w:val="00582BB8"/>
    <w:rsid w:val="005A0AD3"/>
    <w:rsid w:val="00697C54"/>
    <w:rsid w:val="007273C5"/>
    <w:rsid w:val="007D7048"/>
    <w:rsid w:val="0085574F"/>
    <w:rsid w:val="0088455B"/>
    <w:rsid w:val="00973702"/>
    <w:rsid w:val="009B546E"/>
    <w:rsid w:val="00A41F04"/>
    <w:rsid w:val="00BA04E5"/>
    <w:rsid w:val="00C0794A"/>
    <w:rsid w:val="00CA62A1"/>
    <w:rsid w:val="00DF48DB"/>
    <w:rsid w:val="00E869C3"/>
    <w:rsid w:val="00E93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FD78F"/>
  <w15:chartTrackingRefBased/>
  <w15:docId w15:val="{4A8536EF-444F-451A-A4D0-6234827B9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4F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ssayfootnotecitation">
    <w:name w:val="essay_footnotecitation"/>
    <w:basedOn w:val="DefaultParagraphFont"/>
    <w:rsid w:val="00234FEF"/>
  </w:style>
  <w:style w:type="character" w:styleId="Hyperlink">
    <w:name w:val="Hyperlink"/>
    <w:basedOn w:val="DefaultParagraphFont"/>
    <w:uiPriority w:val="99"/>
    <w:semiHidden/>
    <w:unhideWhenUsed/>
    <w:rsid w:val="00234FEF"/>
    <w:rPr>
      <w:color w:val="0000FF"/>
      <w:u w:val="single"/>
    </w:rPr>
  </w:style>
  <w:style w:type="character" w:styleId="Emphasis">
    <w:name w:val="Emphasis"/>
    <w:basedOn w:val="DefaultParagraphFont"/>
    <w:uiPriority w:val="20"/>
    <w:qFormat/>
    <w:rsid w:val="00C079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510470">
      <w:bodyDiv w:val="1"/>
      <w:marLeft w:val="0"/>
      <w:marRight w:val="0"/>
      <w:marTop w:val="0"/>
      <w:marBottom w:val="0"/>
      <w:divBdr>
        <w:top w:val="none" w:sz="0" w:space="0" w:color="auto"/>
        <w:left w:val="none" w:sz="0" w:space="0" w:color="auto"/>
        <w:bottom w:val="none" w:sz="0" w:space="0" w:color="auto"/>
        <w:right w:val="none" w:sz="0" w:space="0" w:color="auto"/>
      </w:divBdr>
    </w:div>
    <w:div w:id="541096364">
      <w:bodyDiv w:val="1"/>
      <w:marLeft w:val="0"/>
      <w:marRight w:val="0"/>
      <w:marTop w:val="0"/>
      <w:marBottom w:val="0"/>
      <w:divBdr>
        <w:top w:val="none" w:sz="0" w:space="0" w:color="auto"/>
        <w:left w:val="none" w:sz="0" w:space="0" w:color="auto"/>
        <w:bottom w:val="none" w:sz="0" w:space="0" w:color="auto"/>
        <w:right w:val="none" w:sz="0" w:space="0" w:color="auto"/>
      </w:divBdr>
    </w:div>
    <w:div w:id="687564696">
      <w:bodyDiv w:val="1"/>
      <w:marLeft w:val="0"/>
      <w:marRight w:val="0"/>
      <w:marTop w:val="0"/>
      <w:marBottom w:val="0"/>
      <w:divBdr>
        <w:top w:val="none" w:sz="0" w:space="0" w:color="auto"/>
        <w:left w:val="none" w:sz="0" w:space="0" w:color="auto"/>
        <w:bottom w:val="none" w:sz="0" w:space="0" w:color="auto"/>
        <w:right w:val="none" w:sz="0" w:space="0" w:color="auto"/>
      </w:divBdr>
    </w:div>
    <w:div w:id="745300858">
      <w:bodyDiv w:val="1"/>
      <w:marLeft w:val="0"/>
      <w:marRight w:val="0"/>
      <w:marTop w:val="0"/>
      <w:marBottom w:val="0"/>
      <w:divBdr>
        <w:top w:val="none" w:sz="0" w:space="0" w:color="auto"/>
        <w:left w:val="none" w:sz="0" w:space="0" w:color="auto"/>
        <w:bottom w:val="none" w:sz="0" w:space="0" w:color="auto"/>
        <w:right w:val="none" w:sz="0" w:space="0" w:color="auto"/>
      </w:divBdr>
    </w:div>
    <w:div w:id="799155141">
      <w:bodyDiv w:val="1"/>
      <w:marLeft w:val="0"/>
      <w:marRight w:val="0"/>
      <w:marTop w:val="0"/>
      <w:marBottom w:val="0"/>
      <w:divBdr>
        <w:top w:val="none" w:sz="0" w:space="0" w:color="auto"/>
        <w:left w:val="none" w:sz="0" w:space="0" w:color="auto"/>
        <w:bottom w:val="none" w:sz="0" w:space="0" w:color="auto"/>
        <w:right w:val="none" w:sz="0" w:space="0" w:color="auto"/>
      </w:divBdr>
    </w:div>
    <w:div w:id="1078401217">
      <w:bodyDiv w:val="1"/>
      <w:marLeft w:val="0"/>
      <w:marRight w:val="0"/>
      <w:marTop w:val="0"/>
      <w:marBottom w:val="0"/>
      <w:divBdr>
        <w:top w:val="none" w:sz="0" w:space="0" w:color="auto"/>
        <w:left w:val="none" w:sz="0" w:space="0" w:color="auto"/>
        <w:bottom w:val="none" w:sz="0" w:space="0" w:color="auto"/>
        <w:right w:val="none" w:sz="0" w:space="0" w:color="auto"/>
      </w:divBdr>
    </w:div>
    <w:div w:id="1267998419">
      <w:bodyDiv w:val="1"/>
      <w:marLeft w:val="0"/>
      <w:marRight w:val="0"/>
      <w:marTop w:val="0"/>
      <w:marBottom w:val="0"/>
      <w:divBdr>
        <w:top w:val="none" w:sz="0" w:space="0" w:color="auto"/>
        <w:left w:val="none" w:sz="0" w:space="0" w:color="auto"/>
        <w:bottom w:val="none" w:sz="0" w:space="0" w:color="auto"/>
        <w:right w:val="none" w:sz="0" w:space="0" w:color="auto"/>
      </w:divBdr>
    </w:div>
    <w:div w:id="1350401963">
      <w:bodyDiv w:val="1"/>
      <w:marLeft w:val="0"/>
      <w:marRight w:val="0"/>
      <w:marTop w:val="0"/>
      <w:marBottom w:val="0"/>
      <w:divBdr>
        <w:top w:val="none" w:sz="0" w:space="0" w:color="auto"/>
        <w:left w:val="none" w:sz="0" w:space="0" w:color="auto"/>
        <w:bottom w:val="none" w:sz="0" w:space="0" w:color="auto"/>
        <w:right w:val="none" w:sz="0" w:space="0" w:color="auto"/>
      </w:divBdr>
    </w:div>
    <w:div w:id="1448501573">
      <w:bodyDiv w:val="1"/>
      <w:marLeft w:val="0"/>
      <w:marRight w:val="0"/>
      <w:marTop w:val="0"/>
      <w:marBottom w:val="0"/>
      <w:divBdr>
        <w:top w:val="none" w:sz="0" w:space="0" w:color="auto"/>
        <w:left w:val="none" w:sz="0" w:space="0" w:color="auto"/>
        <w:bottom w:val="none" w:sz="0" w:space="0" w:color="auto"/>
        <w:right w:val="none" w:sz="0" w:space="0" w:color="auto"/>
      </w:divBdr>
    </w:div>
    <w:div w:id="1848667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1966</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Thomas</dc:creator>
  <cp:keywords/>
  <dc:description/>
  <cp:lastModifiedBy>Connor Thomas</cp:lastModifiedBy>
  <cp:revision>2</cp:revision>
  <dcterms:created xsi:type="dcterms:W3CDTF">2021-01-08T19:53:00Z</dcterms:created>
  <dcterms:modified xsi:type="dcterms:W3CDTF">2021-01-08T19:53:00Z</dcterms:modified>
</cp:coreProperties>
</file>