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AF487A" w14:textId="77777777" w:rsidR="00D5098B" w:rsidRPr="00DD098A" w:rsidRDefault="00D5098B" w:rsidP="00D5098B">
      <w:pPr>
        <w:spacing w:after="160" w:line="256" w:lineRule="auto"/>
        <w:jc w:val="center"/>
        <w:rPr>
          <w:rFonts w:eastAsia="Calibri"/>
        </w:rPr>
      </w:pPr>
      <w:r w:rsidRPr="00DD098A">
        <w:rPr>
          <w:rFonts w:eastAsia="Calibri"/>
        </w:rPr>
        <w:t xml:space="preserve">Milena </w:t>
      </w:r>
      <w:proofErr w:type="spellStart"/>
      <w:r w:rsidRPr="00DD098A">
        <w:rPr>
          <w:rFonts w:eastAsia="Calibri"/>
        </w:rPr>
        <w:t>Petrova</w:t>
      </w:r>
      <w:proofErr w:type="spellEnd"/>
      <w:r w:rsidRPr="00DD098A">
        <w:rPr>
          <w:rFonts w:eastAsia="Calibri"/>
        </w:rPr>
        <w:t xml:space="preserve"> Valeva</w:t>
      </w:r>
    </w:p>
    <w:p w14:paraId="3A7C31E2" w14:textId="77777777" w:rsidR="00D5098B" w:rsidRPr="00DD098A" w:rsidRDefault="00D5098B" w:rsidP="00D5098B">
      <w:pPr>
        <w:spacing w:after="160" w:line="256" w:lineRule="auto"/>
        <w:jc w:val="center"/>
        <w:rPr>
          <w:rFonts w:eastAsia="Calibri"/>
        </w:rPr>
      </w:pPr>
      <w:r w:rsidRPr="00DD098A">
        <w:rPr>
          <w:rFonts w:eastAsia="Calibri"/>
        </w:rPr>
        <w:t>Student Number: 1817469</w:t>
      </w:r>
    </w:p>
    <w:p w14:paraId="49928278" w14:textId="4EBCA174" w:rsidR="00D5098B" w:rsidRPr="00DD098A" w:rsidRDefault="00D5098B" w:rsidP="00D5098B">
      <w:pPr>
        <w:spacing w:after="160" w:line="256" w:lineRule="auto"/>
        <w:jc w:val="center"/>
        <w:rPr>
          <w:rFonts w:eastAsia="Calibri"/>
        </w:rPr>
      </w:pPr>
      <w:r>
        <w:rPr>
          <w:rFonts w:eastAsia="Calibri"/>
        </w:rPr>
        <w:t>Managing People</w:t>
      </w:r>
    </w:p>
    <w:p w14:paraId="14A4077E" w14:textId="77777777" w:rsidR="00D5098B" w:rsidRPr="00DD098A" w:rsidRDefault="00D5098B" w:rsidP="00D5098B">
      <w:pPr>
        <w:spacing w:after="160" w:line="256" w:lineRule="auto"/>
        <w:jc w:val="center"/>
        <w:rPr>
          <w:rFonts w:eastAsia="Calibri"/>
        </w:rPr>
      </w:pPr>
      <w:r w:rsidRPr="00DD098A">
        <w:rPr>
          <w:rFonts w:eastAsia="Calibri"/>
        </w:rPr>
        <w:t>MODULE CODE/ LCBB500</w:t>
      </w:r>
      <w:r>
        <w:rPr>
          <w:rFonts w:eastAsia="Calibri"/>
        </w:rPr>
        <w:t>4</w:t>
      </w:r>
    </w:p>
    <w:p w14:paraId="73C034B4" w14:textId="358AAC9E" w:rsidR="00D5098B" w:rsidRPr="00DD098A" w:rsidRDefault="00D5098B" w:rsidP="00D5098B">
      <w:pPr>
        <w:spacing w:after="160" w:line="256" w:lineRule="auto"/>
        <w:jc w:val="center"/>
        <w:rPr>
          <w:rFonts w:eastAsia="Calibri"/>
        </w:rPr>
      </w:pPr>
      <w:r w:rsidRPr="00DD098A">
        <w:rPr>
          <w:rFonts w:eastAsia="Calibri"/>
        </w:rPr>
        <w:t xml:space="preserve">Assignment </w:t>
      </w:r>
      <w:r>
        <w:rPr>
          <w:rFonts w:eastAsia="Calibri"/>
        </w:rPr>
        <w:t>2</w:t>
      </w:r>
      <w:r w:rsidRPr="00DD098A">
        <w:rPr>
          <w:rFonts w:eastAsia="Calibri"/>
        </w:rPr>
        <w:t xml:space="preserve">- </w:t>
      </w:r>
      <w:r>
        <w:rPr>
          <w:rFonts w:eastAsia="Calibri"/>
        </w:rPr>
        <w:t>Report</w:t>
      </w:r>
    </w:p>
    <w:p w14:paraId="2FB2C59E" w14:textId="77777777" w:rsidR="00D5098B" w:rsidRDefault="00D5098B" w:rsidP="00D5098B">
      <w:pPr>
        <w:spacing w:after="160" w:line="256" w:lineRule="auto"/>
        <w:jc w:val="center"/>
        <w:rPr>
          <w:rFonts w:eastAsia="Calibri"/>
        </w:rPr>
      </w:pPr>
      <w:r w:rsidRPr="00DD098A">
        <w:rPr>
          <w:rFonts w:eastAsia="Calibri"/>
        </w:rPr>
        <w:t xml:space="preserve">Module </w:t>
      </w:r>
      <w:proofErr w:type="gramStart"/>
      <w:r w:rsidRPr="00DD098A">
        <w:rPr>
          <w:rFonts w:eastAsia="Calibri"/>
        </w:rPr>
        <w:t>Lecturer :</w:t>
      </w:r>
      <w:proofErr w:type="gramEnd"/>
      <w:r w:rsidRPr="00DD098A">
        <w:rPr>
          <w:rFonts w:eastAsia="Calibri"/>
        </w:rPr>
        <w:t xml:space="preserve"> </w:t>
      </w:r>
      <w:proofErr w:type="spellStart"/>
      <w:r>
        <w:rPr>
          <w:rFonts w:eastAsia="Calibri"/>
        </w:rPr>
        <w:t>Mr</w:t>
      </w:r>
      <w:proofErr w:type="spellEnd"/>
      <w:r>
        <w:rPr>
          <w:rFonts w:eastAsia="Calibri"/>
        </w:rPr>
        <w:t xml:space="preserve"> Charles </w:t>
      </w:r>
      <w:proofErr w:type="spellStart"/>
      <w:r>
        <w:rPr>
          <w:rFonts w:eastAsia="Calibri"/>
        </w:rPr>
        <w:t>Oham</w:t>
      </w:r>
      <w:proofErr w:type="spellEnd"/>
    </w:p>
    <w:p w14:paraId="72216AD2" w14:textId="00B1F71E" w:rsidR="00AC40DE" w:rsidRDefault="00AC40DE" w:rsidP="00D5098B">
      <w:pPr>
        <w:pStyle w:val="BodyA"/>
        <w:jc w:val="center"/>
      </w:pPr>
    </w:p>
    <w:p w14:paraId="4661F265" w14:textId="77777777" w:rsidR="00964784" w:rsidRDefault="00964784">
      <w:pPr>
        <w:pStyle w:val="BodyA"/>
      </w:pPr>
    </w:p>
    <w:p w14:paraId="070BFBFE" w14:textId="77777777" w:rsidR="00AC40DE" w:rsidRDefault="00AC40DE">
      <w:pPr>
        <w:pStyle w:val="BodyA"/>
      </w:pPr>
    </w:p>
    <w:p w14:paraId="71CF02EE" w14:textId="77777777" w:rsidR="00AC40DE" w:rsidRDefault="00AC40DE">
      <w:pPr>
        <w:pStyle w:val="BodyA"/>
      </w:pPr>
    </w:p>
    <w:p w14:paraId="2DB0657D" w14:textId="77777777" w:rsidR="00AC40DE" w:rsidRDefault="00AC40DE">
      <w:pPr>
        <w:pStyle w:val="BodyA"/>
      </w:pPr>
    </w:p>
    <w:p w14:paraId="63323E28" w14:textId="77777777" w:rsidR="00AC40DE" w:rsidRDefault="00AC40DE">
      <w:pPr>
        <w:pStyle w:val="BodyA"/>
      </w:pPr>
    </w:p>
    <w:p w14:paraId="198764E4" w14:textId="77777777" w:rsidR="00AC40DE" w:rsidRDefault="00AC40DE">
      <w:pPr>
        <w:pStyle w:val="BodyA"/>
      </w:pPr>
    </w:p>
    <w:p w14:paraId="7A3648EE" w14:textId="77777777" w:rsidR="00AC40DE" w:rsidRDefault="00AC40DE">
      <w:pPr>
        <w:pStyle w:val="BodyA"/>
      </w:pPr>
    </w:p>
    <w:p w14:paraId="0F98C4F4" w14:textId="77777777" w:rsidR="00AC40DE" w:rsidRDefault="00AC40DE">
      <w:pPr>
        <w:pStyle w:val="BodyA"/>
      </w:pPr>
    </w:p>
    <w:p w14:paraId="72C88D18" w14:textId="77777777" w:rsidR="00AC40DE" w:rsidRDefault="00AC40DE">
      <w:pPr>
        <w:pStyle w:val="BodyA"/>
      </w:pPr>
    </w:p>
    <w:p w14:paraId="12D9C45D" w14:textId="77777777" w:rsidR="00AC40DE" w:rsidRDefault="00AC40DE">
      <w:pPr>
        <w:pStyle w:val="BodyA"/>
      </w:pPr>
    </w:p>
    <w:p w14:paraId="474ED3F7" w14:textId="77777777" w:rsidR="00AC40DE" w:rsidRDefault="00AC40DE">
      <w:pPr>
        <w:pStyle w:val="BodyA"/>
      </w:pPr>
    </w:p>
    <w:p w14:paraId="36267CB4" w14:textId="77777777" w:rsidR="00AC40DE" w:rsidRDefault="00AC40DE">
      <w:pPr>
        <w:pStyle w:val="BodyA"/>
      </w:pPr>
    </w:p>
    <w:p w14:paraId="7D8AD449" w14:textId="77777777" w:rsidR="00AC40DE" w:rsidRDefault="00AC40DE">
      <w:pPr>
        <w:pStyle w:val="BodyA"/>
      </w:pPr>
    </w:p>
    <w:p w14:paraId="5B942D74" w14:textId="77777777" w:rsidR="003D3AC1" w:rsidRDefault="00856C30" w:rsidP="00D5098B">
      <w:pPr>
        <w:pStyle w:val="Heading2"/>
        <w:jc w:val="center"/>
        <w:rPr>
          <w:color w:val="000000"/>
        </w:rPr>
      </w:pPr>
      <w:r>
        <w:rPr>
          <w:color w:val="000000"/>
        </w:rPr>
        <w:lastRenderedPageBreak/>
        <w:t>CONTEN</w:t>
      </w:r>
      <w:r w:rsidR="00443768">
        <w:rPr>
          <w:color w:val="000000"/>
        </w:rPr>
        <w:t>T</w:t>
      </w:r>
    </w:p>
    <w:p w14:paraId="082FF702" w14:textId="7A45A6AD" w:rsidR="00AB6BA0" w:rsidRPr="003D3AC1" w:rsidRDefault="003D3AC1" w:rsidP="003D3AC1">
      <w:pPr>
        <w:pStyle w:val="Heading2"/>
        <w:rPr>
          <w:color w:val="000000"/>
        </w:rPr>
      </w:pPr>
      <w:r w:rsidRPr="003D3AC1">
        <w:rPr>
          <w:rFonts w:asciiTheme="majorHAnsi" w:hAnsiTheme="majorHAnsi" w:cstheme="majorHAnsi"/>
          <w:color w:val="000000"/>
          <w:sz w:val="28"/>
          <w:szCs w:val="28"/>
        </w:rPr>
        <w:t>1</w:t>
      </w:r>
      <w:r>
        <w:rPr>
          <w:color w:val="000000"/>
        </w:rPr>
        <w:t xml:space="preserve">. </w:t>
      </w:r>
      <w:r w:rsidR="00AB6BA0" w:rsidRPr="00AB6BA0">
        <w:rPr>
          <w:rFonts w:asciiTheme="majorHAnsi" w:hAnsiTheme="majorHAnsi" w:cstheme="majorHAnsi"/>
          <w:color w:val="000000"/>
          <w:sz w:val="28"/>
          <w:szCs w:val="28"/>
        </w:rPr>
        <w:t>Employee engagement and its drivers</w:t>
      </w:r>
    </w:p>
    <w:p w14:paraId="3224A508" w14:textId="37234C71" w:rsidR="00AB6BA0" w:rsidRDefault="003D3AC1" w:rsidP="003D3AC1">
      <w:pPr>
        <w:pStyle w:val="Body"/>
        <w:spacing w:line="480" w:lineRule="auto"/>
        <w:rPr>
          <w:b/>
          <w:bCs/>
        </w:rPr>
      </w:pPr>
      <w:r>
        <w:rPr>
          <w:b/>
          <w:bCs/>
        </w:rPr>
        <w:t xml:space="preserve">   1.1 </w:t>
      </w:r>
      <w:r w:rsidR="00AB6BA0">
        <w:rPr>
          <w:b/>
          <w:bCs/>
        </w:rPr>
        <w:t>What is Employee engagement?</w:t>
      </w:r>
    </w:p>
    <w:p w14:paraId="291F2F6A" w14:textId="62466137" w:rsidR="00AB6BA0" w:rsidRDefault="003D3AC1" w:rsidP="003D3AC1">
      <w:pPr>
        <w:pStyle w:val="Heading2"/>
        <w:spacing w:line="360" w:lineRule="auto"/>
        <w:rPr>
          <w:rFonts w:asciiTheme="majorHAnsi" w:hAnsiTheme="majorHAnsi" w:cstheme="majorHAnsi"/>
          <w:color w:val="auto"/>
          <w:sz w:val="24"/>
          <w:szCs w:val="24"/>
        </w:rPr>
      </w:pPr>
      <w:r>
        <w:rPr>
          <w:rFonts w:asciiTheme="majorHAnsi" w:hAnsiTheme="majorHAnsi" w:cstheme="majorHAnsi"/>
          <w:color w:val="auto"/>
          <w:sz w:val="24"/>
          <w:szCs w:val="24"/>
        </w:rPr>
        <w:t xml:space="preserve">   1.2 </w:t>
      </w:r>
      <w:r w:rsidR="00AB6BA0" w:rsidRPr="00AB6BA0">
        <w:rPr>
          <w:rFonts w:asciiTheme="majorHAnsi" w:hAnsiTheme="majorHAnsi" w:cstheme="majorHAnsi"/>
          <w:color w:val="auto"/>
          <w:sz w:val="24"/>
          <w:szCs w:val="24"/>
        </w:rPr>
        <w:t>Drivers of employee engagement</w:t>
      </w:r>
    </w:p>
    <w:p w14:paraId="003A1ED6" w14:textId="0D10FED8" w:rsidR="00AB6BA0" w:rsidRPr="003D3AC1" w:rsidRDefault="003D3AC1" w:rsidP="003D3AC1">
      <w:pPr>
        <w:pStyle w:val="BodyA"/>
        <w:spacing w:line="240" w:lineRule="auto"/>
        <w:ind w:firstLine="720"/>
      </w:pPr>
      <w:r>
        <w:t xml:space="preserve">1.2.1 </w:t>
      </w:r>
      <w:r w:rsidR="00AB6BA0" w:rsidRPr="003D3AC1">
        <w:t>Communication</w:t>
      </w:r>
    </w:p>
    <w:p w14:paraId="06B10139" w14:textId="0B64D316" w:rsidR="00AB6BA0" w:rsidRPr="003D3AC1" w:rsidRDefault="003D3AC1" w:rsidP="003D3AC1">
      <w:pPr>
        <w:pStyle w:val="BodyA"/>
        <w:spacing w:line="240" w:lineRule="auto"/>
        <w:ind w:firstLine="720"/>
      </w:pPr>
      <w:r>
        <w:t xml:space="preserve">1.2.2 </w:t>
      </w:r>
      <w:r w:rsidR="00AB6BA0" w:rsidRPr="003D3AC1">
        <w:t>Leadership</w:t>
      </w:r>
    </w:p>
    <w:p w14:paraId="5AE10EE1" w14:textId="48771DEE" w:rsidR="00AB6BA0" w:rsidRPr="003D3AC1" w:rsidRDefault="003D3AC1" w:rsidP="003D3AC1">
      <w:pPr>
        <w:pStyle w:val="BodyA"/>
        <w:spacing w:line="240" w:lineRule="auto"/>
        <w:ind w:firstLine="720"/>
      </w:pPr>
      <w:r>
        <w:t xml:space="preserve">1.2.3 </w:t>
      </w:r>
      <w:r w:rsidR="00AB6BA0" w:rsidRPr="003D3AC1">
        <w:t>Training and development</w:t>
      </w:r>
    </w:p>
    <w:p w14:paraId="3B5DCF24" w14:textId="6A11DA88" w:rsidR="003D3AC1" w:rsidRPr="003D3AC1" w:rsidRDefault="003D3AC1" w:rsidP="00D5098B">
      <w:pPr>
        <w:pStyle w:val="Heading3"/>
        <w:ind w:firstLine="720"/>
        <w:rPr>
          <w:rFonts w:ascii="Times New Roman" w:hAnsi="Times New Roman"/>
          <w:b w:val="0"/>
          <w:bCs w:val="0"/>
          <w:i w:val="0"/>
          <w:iCs w:val="0"/>
          <w:color w:val="000000"/>
        </w:rPr>
      </w:pPr>
      <w:r>
        <w:rPr>
          <w:rFonts w:ascii="Times New Roman" w:hAnsi="Times New Roman"/>
          <w:b w:val="0"/>
          <w:bCs w:val="0"/>
          <w:i w:val="0"/>
          <w:iCs w:val="0"/>
          <w:color w:val="000000"/>
        </w:rPr>
        <w:t xml:space="preserve">1.2.4 </w:t>
      </w:r>
      <w:r w:rsidR="00AB6BA0" w:rsidRPr="003D3AC1">
        <w:rPr>
          <w:rFonts w:ascii="Times New Roman" w:hAnsi="Times New Roman"/>
          <w:b w:val="0"/>
          <w:bCs w:val="0"/>
          <w:i w:val="0"/>
          <w:iCs w:val="0"/>
          <w:color w:val="000000"/>
        </w:rPr>
        <w:t>Flexible working arrangement</w:t>
      </w:r>
    </w:p>
    <w:p w14:paraId="185CA77A" w14:textId="6D233884" w:rsidR="00AB6BA0" w:rsidRPr="003D3AC1" w:rsidRDefault="003D3AC1" w:rsidP="00D5098B">
      <w:pPr>
        <w:pStyle w:val="Default"/>
        <w:spacing w:after="240" w:line="480" w:lineRule="auto"/>
        <w:ind w:firstLine="720"/>
        <w:rPr>
          <w:rFonts w:ascii="Times" w:hAnsi="Times"/>
          <w:sz w:val="24"/>
          <w:szCs w:val="24"/>
        </w:rPr>
      </w:pPr>
      <w:r>
        <w:rPr>
          <w:rFonts w:ascii="Times" w:hAnsi="Times"/>
          <w:sz w:val="24"/>
          <w:szCs w:val="24"/>
        </w:rPr>
        <w:t xml:space="preserve">1.2.5 </w:t>
      </w:r>
      <w:r w:rsidR="00AB6BA0" w:rsidRPr="003D3AC1">
        <w:rPr>
          <w:rFonts w:ascii="Times" w:hAnsi="Times"/>
          <w:sz w:val="24"/>
          <w:szCs w:val="24"/>
        </w:rPr>
        <w:t>Payment</w:t>
      </w:r>
    </w:p>
    <w:p w14:paraId="6C23C0BA" w14:textId="5F60B440" w:rsidR="00AB6BA0" w:rsidRDefault="003D3AC1" w:rsidP="003D3AC1">
      <w:pPr>
        <w:pStyle w:val="Heading3"/>
        <w:rPr>
          <w:rFonts w:asciiTheme="majorHAnsi" w:hAnsiTheme="majorHAnsi" w:cstheme="majorHAnsi"/>
          <w:i w:val="0"/>
          <w:iCs w:val="0"/>
          <w:color w:val="auto"/>
          <w:sz w:val="28"/>
          <w:szCs w:val="28"/>
        </w:rPr>
      </w:pPr>
      <w:r>
        <w:rPr>
          <w:rFonts w:asciiTheme="majorHAnsi" w:hAnsiTheme="majorHAnsi" w:cstheme="majorHAnsi"/>
          <w:i w:val="0"/>
          <w:iCs w:val="0"/>
          <w:color w:val="auto"/>
          <w:sz w:val="28"/>
          <w:szCs w:val="28"/>
        </w:rPr>
        <w:t xml:space="preserve">2. </w:t>
      </w:r>
      <w:r w:rsidR="00AB6BA0" w:rsidRPr="00AB6BA0">
        <w:rPr>
          <w:rFonts w:asciiTheme="majorHAnsi" w:hAnsiTheme="majorHAnsi" w:cstheme="majorHAnsi"/>
          <w:i w:val="0"/>
          <w:iCs w:val="0"/>
          <w:color w:val="auto"/>
          <w:sz w:val="28"/>
          <w:szCs w:val="28"/>
        </w:rPr>
        <w:t>Evaluates diagnostic tools to measure engagement</w:t>
      </w:r>
    </w:p>
    <w:p w14:paraId="441F3665" w14:textId="3C6A1D22" w:rsidR="00AB6BA0" w:rsidRDefault="003D3AC1" w:rsidP="003D3AC1">
      <w:pPr>
        <w:pStyle w:val="BodyA"/>
        <w:spacing w:line="360" w:lineRule="auto"/>
        <w:rPr>
          <w:b/>
          <w:bCs/>
        </w:rPr>
      </w:pPr>
      <w:r>
        <w:rPr>
          <w:b/>
          <w:bCs/>
        </w:rPr>
        <w:t xml:space="preserve">   2.1 </w:t>
      </w:r>
      <w:r w:rsidR="00AB6BA0">
        <w:rPr>
          <w:b/>
          <w:bCs/>
        </w:rPr>
        <w:t xml:space="preserve">Analytics and big data </w:t>
      </w:r>
    </w:p>
    <w:p w14:paraId="6554F2C4" w14:textId="6662F92C" w:rsidR="00AB6BA0" w:rsidRDefault="003D3AC1" w:rsidP="003D3AC1">
      <w:pPr>
        <w:pStyle w:val="BodyA"/>
        <w:spacing w:line="360" w:lineRule="auto"/>
        <w:rPr>
          <w:b/>
          <w:bCs/>
        </w:rPr>
      </w:pPr>
      <w:r>
        <w:rPr>
          <w:b/>
          <w:bCs/>
        </w:rPr>
        <w:t xml:space="preserve">   2.2 </w:t>
      </w:r>
      <w:r w:rsidR="00AB6BA0">
        <w:rPr>
          <w:b/>
          <w:bCs/>
        </w:rPr>
        <w:t>Strategic frameworks</w:t>
      </w:r>
    </w:p>
    <w:p w14:paraId="17AF4E4E" w14:textId="7214D7A4" w:rsidR="00AB6BA0" w:rsidRDefault="003D3AC1" w:rsidP="003D3AC1">
      <w:pPr>
        <w:pStyle w:val="BodyA"/>
        <w:spacing w:line="240" w:lineRule="auto"/>
        <w:rPr>
          <w:b/>
          <w:bCs/>
        </w:rPr>
      </w:pPr>
      <w:r>
        <w:rPr>
          <w:b/>
          <w:bCs/>
        </w:rPr>
        <w:t xml:space="preserve">   2.3 </w:t>
      </w:r>
      <w:r w:rsidR="00AB6BA0">
        <w:rPr>
          <w:b/>
          <w:bCs/>
        </w:rPr>
        <w:t>Surveys</w:t>
      </w:r>
    </w:p>
    <w:p w14:paraId="1D1B806D" w14:textId="530B6B98" w:rsidR="00AB6BA0" w:rsidRDefault="003D3AC1" w:rsidP="003D3AC1">
      <w:pPr>
        <w:pStyle w:val="BodyA"/>
        <w:spacing w:line="276" w:lineRule="auto"/>
        <w:rPr>
          <w:rFonts w:asciiTheme="majorHAnsi" w:hAnsiTheme="majorHAnsi" w:cstheme="majorHAnsi"/>
          <w:b/>
          <w:bCs/>
          <w:color w:val="auto"/>
          <w:sz w:val="28"/>
          <w:szCs w:val="28"/>
        </w:rPr>
      </w:pPr>
      <w:r>
        <w:rPr>
          <w:rFonts w:asciiTheme="majorHAnsi" w:hAnsiTheme="majorHAnsi" w:cstheme="majorHAnsi"/>
          <w:b/>
          <w:bCs/>
          <w:color w:val="auto"/>
          <w:sz w:val="28"/>
          <w:szCs w:val="28"/>
        </w:rPr>
        <w:t xml:space="preserve">3. </w:t>
      </w:r>
      <w:r w:rsidR="00AB6BA0" w:rsidRPr="00AB6BA0">
        <w:rPr>
          <w:rFonts w:asciiTheme="majorHAnsi" w:hAnsiTheme="majorHAnsi" w:cstheme="majorHAnsi"/>
          <w:b/>
          <w:bCs/>
          <w:color w:val="auto"/>
          <w:sz w:val="28"/>
          <w:szCs w:val="28"/>
        </w:rPr>
        <w:t>Employee value proposition from the ideas and analysis previously covered, including strategies to raise levels of engagement</w:t>
      </w:r>
    </w:p>
    <w:p w14:paraId="68EF2E79" w14:textId="60EED431" w:rsidR="00AB6BA0" w:rsidRDefault="003D3AC1" w:rsidP="003D3AC1">
      <w:pPr>
        <w:pStyle w:val="Heading2"/>
        <w:spacing w:line="276" w:lineRule="auto"/>
        <w:rPr>
          <w:rFonts w:asciiTheme="majorHAnsi" w:hAnsiTheme="majorHAnsi" w:cstheme="majorHAnsi"/>
          <w:color w:val="000000"/>
          <w:sz w:val="28"/>
          <w:szCs w:val="28"/>
        </w:rPr>
      </w:pPr>
      <w:r>
        <w:rPr>
          <w:rFonts w:asciiTheme="majorHAnsi" w:hAnsiTheme="majorHAnsi" w:cstheme="majorHAnsi"/>
          <w:color w:val="000000"/>
          <w:sz w:val="28"/>
          <w:szCs w:val="28"/>
        </w:rPr>
        <w:t xml:space="preserve">4. </w:t>
      </w:r>
      <w:r w:rsidR="00AB6BA0" w:rsidRPr="00AB6BA0">
        <w:rPr>
          <w:rFonts w:asciiTheme="majorHAnsi" w:hAnsiTheme="majorHAnsi" w:cstheme="majorHAnsi"/>
          <w:color w:val="000000"/>
          <w:sz w:val="28"/>
          <w:szCs w:val="28"/>
        </w:rPr>
        <w:t>Conclusion</w:t>
      </w:r>
    </w:p>
    <w:p w14:paraId="10BD9847" w14:textId="7C39F792" w:rsidR="003D3AC1" w:rsidRPr="00AB6BA0" w:rsidRDefault="003D3AC1" w:rsidP="003D3AC1">
      <w:pPr>
        <w:pStyle w:val="Heading2"/>
        <w:spacing w:line="276" w:lineRule="auto"/>
        <w:rPr>
          <w:rFonts w:asciiTheme="majorHAnsi" w:hAnsiTheme="majorHAnsi" w:cstheme="majorHAnsi"/>
          <w:color w:val="000000"/>
          <w:sz w:val="28"/>
          <w:szCs w:val="28"/>
        </w:rPr>
      </w:pPr>
      <w:r>
        <w:rPr>
          <w:rFonts w:asciiTheme="majorHAnsi" w:hAnsiTheme="majorHAnsi" w:cstheme="majorHAnsi"/>
          <w:color w:val="000000"/>
          <w:sz w:val="28"/>
          <w:szCs w:val="28"/>
        </w:rPr>
        <w:t xml:space="preserve">5. </w:t>
      </w:r>
      <w:r w:rsidRPr="00AB6BA0">
        <w:rPr>
          <w:rFonts w:asciiTheme="majorHAnsi" w:hAnsiTheme="majorHAnsi" w:cstheme="majorHAnsi"/>
          <w:color w:val="000000"/>
          <w:sz w:val="28"/>
          <w:szCs w:val="28"/>
        </w:rPr>
        <w:t>References</w:t>
      </w:r>
    </w:p>
    <w:p w14:paraId="52D5DE4D" w14:textId="77777777" w:rsidR="003D3AC1" w:rsidRPr="003D3AC1" w:rsidRDefault="003D3AC1" w:rsidP="003D3AC1">
      <w:pPr>
        <w:pStyle w:val="BodyA"/>
      </w:pPr>
    </w:p>
    <w:p w14:paraId="2A534850" w14:textId="77777777" w:rsidR="00AB6BA0" w:rsidRPr="00AB6BA0" w:rsidRDefault="00AB6BA0" w:rsidP="00AB6BA0">
      <w:pPr>
        <w:pStyle w:val="BodyA"/>
        <w:rPr>
          <w:b/>
          <w:bCs/>
        </w:rPr>
      </w:pPr>
    </w:p>
    <w:p w14:paraId="01C839A9" w14:textId="77777777" w:rsidR="00D5098B" w:rsidRDefault="00D5098B">
      <w:pPr>
        <w:pStyle w:val="Heading2"/>
        <w:rPr>
          <w:rFonts w:asciiTheme="majorHAnsi" w:hAnsiTheme="majorHAnsi" w:cstheme="majorHAnsi"/>
          <w:color w:val="000000"/>
          <w:sz w:val="28"/>
          <w:szCs w:val="28"/>
        </w:rPr>
      </w:pPr>
      <w:bookmarkStart w:id="0" w:name="_Hlk59094789"/>
    </w:p>
    <w:p w14:paraId="2133D8FE" w14:textId="77777777" w:rsidR="00D5098B" w:rsidRDefault="00D5098B">
      <w:pPr>
        <w:pStyle w:val="Heading2"/>
        <w:rPr>
          <w:rFonts w:asciiTheme="majorHAnsi" w:hAnsiTheme="majorHAnsi" w:cstheme="majorHAnsi"/>
          <w:color w:val="000000"/>
          <w:sz w:val="28"/>
          <w:szCs w:val="28"/>
        </w:rPr>
      </w:pPr>
    </w:p>
    <w:p w14:paraId="2864F226" w14:textId="240CFC32" w:rsidR="00AC40DE" w:rsidRPr="00AB6BA0" w:rsidRDefault="005738FD">
      <w:pPr>
        <w:pStyle w:val="Heading2"/>
        <w:rPr>
          <w:rFonts w:asciiTheme="majorHAnsi" w:hAnsiTheme="majorHAnsi" w:cstheme="majorHAnsi"/>
          <w:color w:val="000000"/>
          <w:sz w:val="28"/>
          <w:szCs w:val="28"/>
        </w:rPr>
      </w:pPr>
      <w:r w:rsidRPr="00AB6BA0">
        <w:rPr>
          <w:rFonts w:asciiTheme="majorHAnsi" w:hAnsiTheme="majorHAnsi" w:cstheme="majorHAnsi"/>
          <w:color w:val="000000"/>
          <w:sz w:val="28"/>
          <w:szCs w:val="28"/>
        </w:rPr>
        <w:t>Employee engagement and its drivers</w:t>
      </w:r>
    </w:p>
    <w:bookmarkEnd w:id="0"/>
    <w:p w14:paraId="43AA76FE" w14:textId="77777777" w:rsidR="00AC40DE" w:rsidRDefault="005738FD">
      <w:pPr>
        <w:pStyle w:val="BodyA"/>
      </w:pPr>
      <w:r>
        <w:t xml:space="preserve">In recent years, the term employee engagement is perhaps one of the commonest and widely used concept in circles of HRM. An engaged workforce has been associated with high performance, in fact, companies are today leveraging engaged employees as a strategic competence tool. According to Leiter and Bakker (2010), engaged employees tend to be very energetic and enthusiastically involved in their work duties. </w:t>
      </w:r>
    </w:p>
    <w:p w14:paraId="7DA3CA48" w14:textId="77777777" w:rsidR="00AC40DE" w:rsidRDefault="005738FD">
      <w:pPr>
        <w:pStyle w:val="BodyA"/>
      </w:pPr>
      <w:r>
        <w:t xml:space="preserve">Others have gone </w:t>
      </w:r>
      <w:proofErr w:type="spellStart"/>
      <w:r>
        <w:t>a head</w:t>
      </w:r>
      <w:proofErr w:type="spellEnd"/>
      <w:r>
        <w:t xml:space="preserve"> to call is a ‘an individual’s psychological state of mind while at work (Purcell 2014), a fulfilling, positive, effective motivational state of </w:t>
      </w:r>
      <w:proofErr w:type="spellStart"/>
      <w:r>
        <w:t>well being</w:t>
      </w:r>
      <w:proofErr w:type="spellEnd"/>
      <w:r>
        <w:t xml:space="preserve"> at work, the opposite of job burnout. Daniels (2010) has opined that employee engagement is not a part of employee contracts but something they offer freely. It is beyond employee </w:t>
      </w:r>
      <w:proofErr w:type="gramStart"/>
      <w:r>
        <w:t>commitment,</w:t>
      </w:r>
      <w:proofErr w:type="gramEnd"/>
      <w:r>
        <w:t xml:space="preserve"> it is a state when employees go an extra mile because of their passion for their job (Taylor and Atkinson 2914; Foot et al 2016).</w:t>
      </w:r>
    </w:p>
    <w:p w14:paraId="0F942E76" w14:textId="77777777" w:rsidR="00AC40DE" w:rsidRDefault="005738FD">
      <w:pPr>
        <w:pStyle w:val="Body"/>
        <w:spacing w:line="480" w:lineRule="auto"/>
        <w:rPr>
          <w:b/>
          <w:bCs/>
        </w:rPr>
      </w:pPr>
      <w:bookmarkStart w:id="1" w:name="_Hlk59094844"/>
      <w:r>
        <w:rPr>
          <w:b/>
          <w:bCs/>
        </w:rPr>
        <w:t>What is Employee engagement?</w:t>
      </w:r>
    </w:p>
    <w:bookmarkEnd w:id="1"/>
    <w:p w14:paraId="42C7138C" w14:textId="77777777" w:rsidR="00AC40DE" w:rsidRDefault="005738FD">
      <w:pPr>
        <w:pStyle w:val="BodyA"/>
      </w:pPr>
      <w:r>
        <w:t xml:space="preserve">CIPD (2014) has defined employee engagement as employee commitment to an organization, its values as well as their willingness to help colleagues. Stairs and Gilpin (2010) defined it as employee commitment to their employer, their will to thrive at work as well as their motivation to offer their best </w:t>
      </w:r>
      <w:proofErr w:type="gramStart"/>
      <w:r>
        <w:t>in order to</w:t>
      </w:r>
      <w:proofErr w:type="gramEnd"/>
      <w:r>
        <w:t xml:space="preserve"> benefit not only themselves but the organization as well. According to </w:t>
      </w:r>
      <w:proofErr w:type="spellStart"/>
      <w:r>
        <w:t>Anitha</w:t>
      </w:r>
      <w:proofErr w:type="spellEnd"/>
      <w:r>
        <w:t xml:space="preserve"> (2014), it refers to how much commitment and involvement employees have towards an organization and its values. </w:t>
      </w:r>
    </w:p>
    <w:p w14:paraId="6A45C1EA" w14:textId="77777777" w:rsidR="00AC40DE" w:rsidRDefault="005738FD">
      <w:pPr>
        <w:pStyle w:val="BodyA"/>
      </w:pPr>
      <w:r>
        <w:t xml:space="preserve">As noted by Armstrong and Taylor (2017) employee engagement is a </w:t>
      </w:r>
      <w:proofErr w:type="gramStart"/>
      <w:r>
        <w:t>two way</w:t>
      </w:r>
      <w:proofErr w:type="gramEnd"/>
      <w:r>
        <w:t xml:space="preserve"> relationship between the employer and employee whereby the employee chooses to voluntarily repay the </w:t>
      </w:r>
      <w:r>
        <w:lastRenderedPageBreak/>
        <w:t xml:space="preserve">organization for the resources he/she receives from it. The motivational elements for engagement are intrinsic and not </w:t>
      </w:r>
      <w:proofErr w:type="gramStart"/>
      <w:r>
        <w:t>as a result of</w:t>
      </w:r>
      <w:proofErr w:type="gramEnd"/>
      <w:r>
        <w:t xml:space="preserve"> pay or a binding contract (Armstrong and Taylor 2017).  High levels of engagement reduce absenteeism, enhance customer loyalty and satisfaction, increase </w:t>
      </w:r>
      <w:proofErr w:type="gramStart"/>
      <w:r>
        <w:t>sales</w:t>
      </w:r>
      <w:proofErr w:type="gramEnd"/>
      <w:r>
        <w:t xml:space="preserve"> and boost fast growth among other benefits (</w:t>
      </w:r>
      <w:proofErr w:type="spellStart"/>
      <w:r>
        <w:t>Pilbeam</w:t>
      </w:r>
      <w:proofErr w:type="spellEnd"/>
      <w:r>
        <w:t xml:space="preserve"> and Corbridge 2010; Marchington, and Wilkinson 2012). </w:t>
      </w:r>
    </w:p>
    <w:p w14:paraId="112D28F8" w14:textId="77777777" w:rsidR="00AC40DE" w:rsidRDefault="005738FD">
      <w:pPr>
        <w:pStyle w:val="BodyA"/>
      </w:pPr>
      <w:r>
        <w:t xml:space="preserve">Despite the notable importance of employee engagement in organizational success, employee engagement across major countries like the UK is still considerably low. In a survey carried out by Qualtrics Employee Pulse, the UK recorded an average engagement score of just 45%, </w:t>
      </w:r>
      <w:proofErr w:type="gramStart"/>
      <w:r>
        <w:t>where by</w:t>
      </w:r>
      <w:proofErr w:type="gramEnd"/>
      <w:r>
        <w:t xml:space="preserve"> France scored 54%, Australia 56% and 60% in the USA, making UK employees the least engaged (Davies 2017). According to the survey findings, organizations mostly focus on normal elements such </w:t>
      </w:r>
      <w:proofErr w:type="gramStart"/>
      <w:r>
        <w:t>as  career</w:t>
      </w:r>
      <w:proofErr w:type="gramEnd"/>
      <w:r>
        <w:t xml:space="preserve"> progression, pay and take for granted most important factors such as supporting work-life balance of employees as well as opportunities to try more lateral things in their roles (Davies 2017). </w:t>
      </w:r>
    </w:p>
    <w:p w14:paraId="0C896858" w14:textId="35BC6DD2" w:rsidR="00AC40DE" w:rsidRDefault="005738FD">
      <w:pPr>
        <w:pStyle w:val="BodyA"/>
      </w:pPr>
      <w:r>
        <w:t xml:space="preserve">As noted by Foot et al (2016), leadership communication is vital in building an engaged team of employees. This is because effective communication is important in keeping employees well versed and strengthening the organizational purpose. The communication must go further to illustrate that the company listens to its employees and takes them seriously (Foot et al 2016). Today, with organizations working in a volatile environment, they need to ensure that they keep an engaged team </w:t>
      </w:r>
      <w:proofErr w:type="gramStart"/>
      <w:r>
        <w:t>in order to</w:t>
      </w:r>
      <w:proofErr w:type="gramEnd"/>
      <w:r>
        <w:t xml:space="preserve"> achieve a competitive advantage. Making employees feel respected and valued is thus an important facet of creating and strengthening the psychological contract (Armstrong and Taylor 2017). </w:t>
      </w:r>
    </w:p>
    <w:p w14:paraId="18CDDB3F" w14:textId="2C60BE14" w:rsidR="00D508AE" w:rsidRDefault="00D508AE">
      <w:pPr>
        <w:pStyle w:val="BodyA"/>
      </w:pPr>
    </w:p>
    <w:p w14:paraId="1668D5F7" w14:textId="4EE53042" w:rsidR="00D508AE" w:rsidRDefault="00D508AE">
      <w:pPr>
        <w:pStyle w:val="BodyA"/>
      </w:pPr>
    </w:p>
    <w:p w14:paraId="49793169" w14:textId="77777777" w:rsidR="00D508AE" w:rsidRDefault="00D508AE">
      <w:pPr>
        <w:pStyle w:val="BodyA"/>
      </w:pPr>
    </w:p>
    <w:p w14:paraId="0E74BEEE" w14:textId="77777777" w:rsidR="00AC40DE" w:rsidRPr="00AB6BA0" w:rsidRDefault="005738FD">
      <w:pPr>
        <w:pStyle w:val="Heading2"/>
        <w:rPr>
          <w:rFonts w:asciiTheme="majorHAnsi" w:hAnsiTheme="majorHAnsi" w:cstheme="majorHAnsi"/>
          <w:color w:val="auto"/>
          <w:sz w:val="24"/>
          <w:szCs w:val="24"/>
        </w:rPr>
      </w:pPr>
      <w:bookmarkStart w:id="2" w:name="_Hlk59094856"/>
      <w:r w:rsidRPr="00AB6BA0">
        <w:rPr>
          <w:rFonts w:asciiTheme="majorHAnsi" w:hAnsiTheme="majorHAnsi" w:cstheme="majorHAnsi"/>
          <w:color w:val="auto"/>
          <w:sz w:val="24"/>
          <w:szCs w:val="24"/>
        </w:rPr>
        <w:t>Drivers of employee engagement</w:t>
      </w:r>
    </w:p>
    <w:p w14:paraId="2FCD6476" w14:textId="77777777" w:rsidR="00AC40DE" w:rsidRDefault="005738FD">
      <w:pPr>
        <w:pStyle w:val="BodyA"/>
        <w:rPr>
          <w:b/>
          <w:bCs/>
        </w:rPr>
      </w:pPr>
      <w:bookmarkStart w:id="3" w:name="_Hlk59094897"/>
      <w:bookmarkEnd w:id="2"/>
      <w:r>
        <w:rPr>
          <w:b/>
          <w:bCs/>
        </w:rPr>
        <w:t>Communication</w:t>
      </w:r>
    </w:p>
    <w:bookmarkEnd w:id="3"/>
    <w:p w14:paraId="7593DEF3" w14:textId="77777777" w:rsidR="00AC40DE" w:rsidRDefault="005738FD">
      <w:pPr>
        <w:pStyle w:val="BodyA"/>
      </w:pPr>
      <w:r>
        <w:t xml:space="preserve">According to Taylor and Woodhams (2012), clear communication with employees is vital in creating an engaged work force. In fact, </w:t>
      </w:r>
      <w:proofErr w:type="gramStart"/>
      <w:r>
        <w:t>MacLeod</w:t>
      </w:r>
      <w:proofErr w:type="gramEnd"/>
      <w:r>
        <w:t xml:space="preserve"> and Clarke, 2009 opined that employees require clear communication from superiors, that way they are able to relate their roles with leadership vision. Internal communication is essential in delivering organizational values to employees and helps gain their undivided support in achieving organizational goals (</w:t>
      </w:r>
      <w:proofErr w:type="spellStart"/>
      <w:r>
        <w:t>Bedarker</w:t>
      </w:r>
      <w:proofErr w:type="spellEnd"/>
      <w:r>
        <w:t xml:space="preserve"> and </w:t>
      </w:r>
      <w:proofErr w:type="spellStart"/>
      <w:r>
        <w:t>Pandita</w:t>
      </w:r>
      <w:proofErr w:type="spellEnd"/>
      <w:r>
        <w:t xml:space="preserve"> 2013).  </w:t>
      </w:r>
    </w:p>
    <w:p w14:paraId="44DD198C" w14:textId="77777777" w:rsidR="00AC40DE" w:rsidRDefault="005738FD">
      <w:pPr>
        <w:pStyle w:val="BodyA"/>
      </w:pPr>
      <w:r>
        <w:t xml:space="preserve">Armstrong and Taylor (2017) posited that without effective communication and support of employees, it is close to impossible for a company to achieve its goals. Torrington et al (2017) concurs by opining that there is little to no chance of an organization realizing its desired outcomes if there is no clear communication between superiors and employees. </w:t>
      </w:r>
    </w:p>
    <w:p w14:paraId="7129E0B4" w14:textId="77777777" w:rsidR="00AC40DE" w:rsidRDefault="005738FD">
      <w:pPr>
        <w:pStyle w:val="BodyA"/>
      </w:pPr>
      <w:r>
        <w:t xml:space="preserve">According to a conceptual model developed by Welch (2011), employee’s commitment to an organization, their sense of belonging to an organization are top engagement variables while communication creates awareness and understanding of the organizational environment and goals which in tandem result in innovativeness and achievement of organizational goals. Communication is thus vital in building an engaged workforce. </w:t>
      </w:r>
    </w:p>
    <w:p w14:paraId="6E9E5937" w14:textId="77777777" w:rsidR="00AC40DE" w:rsidRDefault="005738FD">
      <w:pPr>
        <w:pStyle w:val="BodyA"/>
        <w:rPr>
          <w:b/>
          <w:bCs/>
        </w:rPr>
      </w:pPr>
      <w:bookmarkStart w:id="4" w:name="_Hlk59094954"/>
      <w:r>
        <w:rPr>
          <w:b/>
          <w:bCs/>
        </w:rPr>
        <w:t>Leadership</w:t>
      </w:r>
    </w:p>
    <w:bookmarkEnd w:id="4"/>
    <w:p w14:paraId="4BD18EB0" w14:textId="623ECC55" w:rsidR="00AC40DE" w:rsidRDefault="005738FD">
      <w:pPr>
        <w:pStyle w:val="BodyA"/>
      </w:pPr>
      <w:r>
        <w:t>Leadership is a key factor in employee engagement, but not all leaders can build an engaged workforce.</w:t>
      </w:r>
      <w:r w:rsidR="005F6430">
        <w:t xml:space="preserve"> </w:t>
      </w:r>
      <w:r>
        <w:t xml:space="preserve">According to research, leaders that nurture an engaged workforce tend to be associated with organizational commitment, motivation, and job </w:t>
      </w:r>
      <w:proofErr w:type="gramStart"/>
      <w:r>
        <w:t>satisfaction</w:t>
      </w:r>
      <w:proofErr w:type="gramEnd"/>
      <w:r>
        <w:t xml:space="preserve"> among others. Xu and Cooper -Thomas (2010) posited that a supportive, trustworthy leaders who have the </w:t>
      </w:r>
      <w:r>
        <w:lastRenderedPageBreak/>
        <w:t xml:space="preserve">potential to create an environment free of blame tend to be great when it comes to building an engaged team because employees see them as psychological safety. In a study conducted by </w:t>
      </w:r>
      <w:proofErr w:type="spellStart"/>
      <w:r>
        <w:t>Papalexandris</w:t>
      </w:r>
      <w:proofErr w:type="spellEnd"/>
      <w:r>
        <w:t xml:space="preserve"> and </w:t>
      </w:r>
      <w:proofErr w:type="spellStart"/>
      <w:r>
        <w:t>Galanki</w:t>
      </w:r>
      <w:proofErr w:type="spellEnd"/>
      <w:r>
        <w:t xml:space="preserve"> (2009), it was concluded that leaders with mentoring behaviors such as imparting confidence among followers, clear communication, power sharing, providing role clarification and articulation of vision tend to nurture employee engagement. This is because they tend to inflate follower performance which enables employees or followers to relate with organizational goals.  Higher levels of engagement have been noticed among supervisors or line managers who are relationship </w:t>
      </w:r>
      <w:r w:rsidR="00D508AE">
        <w:t>oriented and</w:t>
      </w:r>
      <w:r>
        <w:t xml:space="preserve"> tend to involve employees in decision making (Torrington et al 2017; Taylor and Armstrong 2017).</w:t>
      </w:r>
    </w:p>
    <w:p w14:paraId="415BCB95" w14:textId="77777777" w:rsidR="00AC40DE" w:rsidRDefault="005738FD">
      <w:pPr>
        <w:pStyle w:val="BodyA"/>
        <w:rPr>
          <w:b/>
          <w:bCs/>
        </w:rPr>
      </w:pPr>
      <w:bookmarkStart w:id="5" w:name="_Hlk59094991"/>
      <w:r>
        <w:rPr>
          <w:b/>
          <w:bCs/>
        </w:rPr>
        <w:t>Training and development</w:t>
      </w:r>
    </w:p>
    <w:bookmarkEnd w:id="5"/>
    <w:p w14:paraId="799DDE34" w14:textId="77777777" w:rsidR="00AC40DE" w:rsidRDefault="005738FD">
      <w:pPr>
        <w:pStyle w:val="BodyA"/>
      </w:pPr>
      <w:r>
        <w:t xml:space="preserve">According to Torrington et al (2017), employee induction, training and development play a major role in employee engagement and reduce turnover levels. Whereas most companies tend to skip induction in a rush to get employees started, induction plays a major role in employee engagement because it not only establishes employee expectations but also helps new employees to emotionally adjust to the new </w:t>
      </w:r>
      <w:proofErr w:type="gramStart"/>
      <w:r>
        <w:t>work place</w:t>
      </w:r>
      <w:proofErr w:type="gramEnd"/>
      <w:r>
        <w:t xml:space="preserve">.  Inductions provides a platform through which company information is spread among </w:t>
      </w:r>
      <w:proofErr w:type="gramStart"/>
      <w:r>
        <w:t>new comers</w:t>
      </w:r>
      <w:proofErr w:type="gramEnd"/>
      <w:r>
        <w:t xml:space="preserve"> through sharing with them materials about the company mission, goals, purpose and any challenges it may be facing. </w:t>
      </w:r>
      <w:proofErr w:type="gramStart"/>
      <w:r>
        <w:t>New comers</w:t>
      </w:r>
      <w:proofErr w:type="gramEnd"/>
      <w:r>
        <w:t xml:space="preserve"> are also introduced to the company culture and company expectations of them. Generally, induction introduces </w:t>
      </w:r>
      <w:proofErr w:type="gramStart"/>
      <w:r>
        <w:t>new comers</w:t>
      </w:r>
      <w:proofErr w:type="gramEnd"/>
      <w:r>
        <w:t xml:space="preserve"> into the organization, helps them to understand what they need to do in order to advance their personal prospects in the company, forming a platform for the establishment of the psychological contract (Torrington et al 2017). </w:t>
      </w:r>
    </w:p>
    <w:p w14:paraId="3862713E" w14:textId="77777777" w:rsidR="00AC40DE" w:rsidRDefault="005738FD">
      <w:pPr>
        <w:pStyle w:val="Heading3"/>
        <w:rPr>
          <w:rFonts w:ascii="Times New Roman" w:eastAsia="Times New Roman" w:hAnsi="Times New Roman" w:cs="Times New Roman"/>
          <w:i w:val="0"/>
          <w:iCs w:val="0"/>
          <w:color w:val="000000"/>
        </w:rPr>
      </w:pPr>
      <w:bookmarkStart w:id="6" w:name="_Hlk59095025"/>
      <w:r>
        <w:rPr>
          <w:rFonts w:ascii="Times New Roman" w:hAnsi="Times New Roman"/>
          <w:i w:val="0"/>
          <w:iCs w:val="0"/>
          <w:color w:val="000000"/>
        </w:rPr>
        <w:t>Flexible working arrangement</w:t>
      </w:r>
    </w:p>
    <w:bookmarkEnd w:id="6"/>
    <w:p w14:paraId="339F3735" w14:textId="77777777" w:rsidR="00AC40DE" w:rsidRDefault="005738FD">
      <w:pPr>
        <w:pStyle w:val="BodyA"/>
      </w:pPr>
      <w:r>
        <w:t xml:space="preserve">Although factors such as pay and career progression are important to employees, work-life balance support is one of the most critical factors in keeping employees engaged. In </w:t>
      </w:r>
      <w:proofErr w:type="gramStart"/>
      <w:r>
        <w:t>fact</w:t>
      </w:r>
      <w:proofErr w:type="gramEnd"/>
      <w:r>
        <w:t xml:space="preserve"> </w:t>
      </w:r>
      <w:r>
        <w:lastRenderedPageBreak/>
        <w:t xml:space="preserve">Torrington et al (2017) opined that family and personal reasons to be one of the major triggers of </w:t>
      </w:r>
      <w:proofErr w:type="spellStart"/>
      <w:r>
        <w:t>labour</w:t>
      </w:r>
      <w:proofErr w:type="spellEnd"/>
      <w:r>
        <w:t xml:space="preserve"> turnover, most especially among women. Lack of flexibility at work is today among the major causes of disengagement and voluntary resignation especially among women when they find themselves unable to balance work and family. </w:t>
      </w:r>
    </w:p>
    <w:p w14:paraId="7E15C45E" w14:textId="77777777" w:rsidR="00AC40DE" w:rsidRDefault="005738FD">
      <w:pPr>
        <w:pStyle w:val="BodyA"/>
      </w:pPr>
      <w:r>
        <w:t xml:space="preserve">According to </w:t>
      </w:r>
      <w:proofErr w:type="spellStart"/>
      <w:r>
        <w:t>Pilbeam</w:t>
      </w:r>
      <w:proofErr w:type="spellEnd"/>
      <w:r>
        <w:t xml:space="preserve"> and Corbridge (2010), today’s adaptive organizations require adaptive employees which requires employers and employees to be flexible about the how, </w:t>
      </w:r>
      <w:proofErr w:type="gramStart"/>
      <w:r>
        <w:t>what</w:t>
      </w:r>
      <w:proofErr w:type="gramEnd"/>
      <w:r>
        <w:t xml:space="preserve"> and why of work performance to ensure that the organization achieves its goals. When people </w:t>
      </w:r>
      <w:proofErr w:type="gramStart"/>
      <w:r>
        <w:t>have the ability to</w:t>
      </w:r>
      <w:proofErr w:type="gramEnd"/>
      <w:r>
        <w:t xml:space="preserve"> combine home and work responsibilities successfully, they become more fulfilled, motivated and more engaged which in turn boosts productivity (Marchington and Wilkinson 2012; Peccei 2013; Torrington et al 2017). Providing flexible working engagement is thus vital in retaining, engaging </w:t>
      </w:r>
      <w:proofErr w:type="gramStart"/>
      <w:r>
        <w:t>employees</w:t>
      </w:r>
      <w:proofErr w:type="gramEnd"/>
      <w:r>
        <w:t xml:space="preserve"> and also maintaining a competitive edge against competitors. </w:t>
      </w:r>
    </w:p>
    <w:p w14:paraId="241B3B5E" w14:textId="77777777" w:rsidR="00AC40DE" w:rsidRDefault="005738FD">
      <w:pPr>
        <w:pStyle w:val="BodyA"/>
      </w:pPr>
      <w:r>
        <w:t xml:space="preserve">Even if the company has put in place flexible working arrangements it should be aware of the likely short comings. Flexible working may according to </w:t>
      </w:r>
      <w:proofErr w:type="spellStart"/>
      <w:r>
        <w:t>Pilbeam</w:t>
      </w:r>
      <w:proofErr w:type="spellEnd"/>
      <w:r>
        <w:t xml:space="preserve"> and Corbridge (2010) result in instability and fragmentation among workers. It also has potential to subvert </w:t>
      </w:r>
      <w:proofErr w:type="spellStart"/>
      <w:r>
        <w:t>organisational</w:t>
      </w:r>
      <w:proofErr w:type="spellEnd"/>
      <w:r>
        <w:t xml:space="preserve"> cohesion which is important for optimum, quality performance and goal achievement. </w:t>
      </w:r>
    </w:p>
    <w:p w14:paraId="43C14A4F" w14:textId="0F265F42" w:rsidR="00AC40DE" w:rsidRDefault="005738FD">
      <w:pPr>
        <w:pStyle w:val="Default"/>
        <w:spacing w:after="240" w:line="300" w:lineRule="atLeast"/>
        <w:rPr>
          <w:rFonts w:ascii="Times" w:eastAsia="Times" w:hAnsi="Times" w:cs="Times"/>
          <w:b/>
          <w:bCs/>
          <w:sz w:val="24"/>
          <w:szCs w:val="24"/>
        </w:rPr>
      </w:pPr>
      <w:bookmarkStart w:id="7" w:name="_Hlk59095067"/>
      <w:r>
        <w:rPr>
          <w:rFonts w:ascii="Times" w:hAnsi="Times"/>
          <w:b/>
          <w:bCs/>
          <w:sz w:val="24"/>
          <w:szCs w:val="24"/>
        </w:rPr>
        <w:t>Pay</w:t>
      </w:r>
      <w:r w:rsidR="00274786">
        <w:rPr>
          <w:rFonts w:ascii="Times" w:hAnsi="Times"/>
          <w:b/>
          <w:bCs/>
          <w:sz w:val="24"/>
          <w:szCs w:val="24"/>
        </w:rPr>
        <w:t>ment</w:t>
      </w:r>
    </w:p>
    <w:bookmarkEnd w:id="7"/>
    <w:p w14:paraId="694C8546" w14:textId="3B5B5912" w:rsidR="00AC40DE" w:rsidRDefault="005738FD">
      <w:pPr>
        <w:pStyle w:val="Default"/>
        <w:spacing w:after="240" w:line="480" w:lineRule="auto"/>
        <w:rPr>
          <w:rFonts w:ascii="Times New Roman" w:eastAsia="Times New Roman" w:hAnsi="Times New Roman" w:cs="Times New Roman"/>
          <w:sz w:val="24"/>
          <w:szCs w:val="24"/>
        </w:rPr>
      </w:pPr>
      <w:r>
        <w:rPr>
          <w:rFonts w:ascii="Times New Roman" w:hAnsi="Times New Roman"/>
          <w:sz w:val="24"/>
          <w:szCs w:val="24"/>
          <w:lang w:val="en-US"/>
        </w:rPr>
        <w:t xml:space="preserve">In recent research, there is a lot of debate about whether pay levels can boost employee engagement. In fact, most companies have gone as far as using attractive salaries to retain their employees. Though some evidence has showed that employers with high payment rates tend to have lower attrition rates, others have proved that pay could be the least important factor </w:t>
      </w:r>
      <w:r w:rsidR="00D508AE">
        <w:rPr>
          <w:rFonts w:ascii="Times New Roman" w:hAnsi="Times New Roman"/>
          <w:sz w:val="24"/>
          <w:szCs w:val="24"/>
          <w:lang w:val="en-US"/>
        </w:rPr>
        <w:t>in reducing</w:t>
      </w:r>
      <w:r>
        <w:rPr>
          <w:rFonts w:ascii="Times New Roman" w:hAnsi="Times New Roman"/>
          <w:sz w:val="24"/>
          <w:szCs w:val="24"/>
          <w:lang w:val="en-US"/>
        </w:rPr>
        <w:t xml:space="preserve"> turnover and </w:t>
      </w:r>
      <w:r w:rsidR="00D508AE">
        <w:rPr>
          <w:rFonts w:ascii="Times New Roman" w:hAnsi="Times New Roman"/>
          <w:sz w:val="24"/>
          <w:szCs w:val="24"/>
          <w:lang w:val="en-US"/>
        </w:rPr>
        <w:t>increasing employee</w:t>
      </w:r>
      <w:r>
        <w:rPr>
          <w:rFonts w:ascii="Times New Roman" w:hAnsi="Times New Roman"/>
          <w:sz w:val="24"/>
          <w:szCs w:val="24"/>
          <w:lang w:val="en-US"/>
        </w:rPr>
        <w:t xml:space="preserve"> engagement (Taylor 2002; Davies 2017). </w:t>
      </w:r>
    </w:p>
    <w:p w14:paraId="37A1C0B2" w14:textId="77777777" w:rsidR="00AC40DE" w:rsidRDefault="005738FD">
      <w:pPr>
        <w:pStyle w:val="Default"/>
        <w:spacing w:after="240" w:line="480" w:lineRule="auto"/>
        <w:rPr>
          <w:rFonts w:ascii="Times New Roman" w:eastAsia="Times New Roman" w:hAnsi="Times New Roman" w:cs="Times New Roman"/>
          <w:sz w:val="26"/>
          <w:szCs w:val="26"/>
        </w:rPr>
      </w:pPr>
      <w:r>
        <w:rPr>
          <w:rFonts w:ascii="Times New Roman" w:hAnsi="Times New Roman"/>
          <w:sz w:val="24"/>
          <w:szCs w:val="24"/>
          <w:lang w:val="en-US"/>
        </w:rPr>
        <w:lastRenderedPageBreak/>
        <w:t xml:space="preserve">Torrington et al (2017) opined that although salary increments can result in greater job satisfaction and employee engagement, this may not work in cases where employees are already unhappy and planning to quit. It only tends to work in cases where employees are already happy with their jobs. While lower pay may result in dissatisfaction, higher pay </w:t>
      </w:r>
      <w:proofErr w:type="spellStart"/>
      <w:r>
        <w:rPr>
          <w:rFonts w:ascii="Times New Roman" w:hAnsi="Times New Roman"/>
          <w:sz w:val="24"/>
          <w:szCs w:val="24"/>
          <w:lang w:val="en-US"/>
        </w:rPr>
        <w:t>can not</w:t>
      </w:r>
      <w:proofErr w:type="spellEnd"/>
      <w:r>
        <w:rPr>
          <w:rFonts w:ascii="Times New Roman" w:hAnsi="Times New Roman"/>
          <w:sz w:val="24"/>
          <w:szCs w:val="24"/>
          <w:lang w:val="en-US"/>
        </w:rPr>
        <w:t xml:space="preserve"> guarantee satisfaction and retention. In other factors like rewards, flexible working, work and family balance support and communication play major roles in engaging employees Torrington 2017; Davies 2017). </w:t>
      </w:r>
    </w:p>
    <w:p w14:paraId="536A4694" w14:textId="77777777" w:rsidR="00AC40DE" w:rsidRPr="00AB6BA0" w:rsidRDefault="005738FD">
      <w:pPr>
        <w:pStyle w:val="Heading3"/>
        <w:rPr>
          <w:rFonts w:asciiTheme="majorHAnsi" w:hAnsiTheme="majorHAnsi" w:cstheme="majorHAnsi"/>
          <w:i w:val="0"/>
          <w:iCs w:val="0"/>
          <w:color w:val="auto"/>
          <w:sz w:val="28"/>
          <w:szCs w:val="28"/>
        </w:rPr>
      </w:pPr>
      <w:bookmarkStart w:id="8" w:name="_Hlk59095130"/>
      <w:r w:rsidRPr="00AB6BA0">
        <w:rPr>
          <w:rFonts w:asciiTheme="majorHAnsi" w:hAnsiTheme="majorHAnsi" w:cstheme="majorHAnsi"/>
          <w:i w:val="0"/>
          <w:iCs w:val="0"/>
          <w:color w:val="auto"/>
          <w:sz w:val="28"/>
          <w:szCs w:val="28"/>
        </w:rPr>
        <w:t>Evaluates diagnostic tools to measure engagement</w:t>
      </w:r>
    </w:p>
    <w:p w14:paraId="2F227468" w14:textId="77777777" w:rsidR="00AC40DE" w:rsidRDefault="005738FD">
      <w:pPr>
        <w:pStyle w:val="BodyA"/>
        <w:rPr>
          <w:b/>
          <w:bCs/>
        </w:rPr>
      </w:pPr>
      <w:bookmarkStart w:id="9" w:name="_Hlk59095157"/>
      <w:bookmarkEnd w:id="8"/>
      <w:r>
        <w:rPr>
          <w:b/>
          <w:bCs/>
        </w:rPr>
        <w:t xml:space="preserve">Analytics and big data </w:t>
      </w:r>
    </w:p>
    <w:bookmarkEnd w:id="9"/>
    <w:p w14:paraId="57D88F0C" w14:textId="2FFD032A" w:rsidR="00AC40DE" w:rsidRDefault="005738FD">
      <w:pPr>
        <w:pStyle w:val="BodyA"/>
      </w:pPr>
      <w:r>
        <w:t xml:space="preserve">As technology continues to be a part of day to day lives, analytics and big data have proven very effective in the HRM realm. According to Torrington et al (2017), companies can use this technology to identify patterns and establish a </w:t>
      </w:r>
      <w:r w:rsidR="00D508AE">
        <w:t>connection</w:t>
      </w:r>
      <w:r>
        <w:t xml:space="preserve"> between wellbeing, engagement, management style and </w:t>
      </w:r>
      <w:proofErr w:type="gramStart"/>
      <w:r>
        <w:t>productivity</w:t>
      </w:r>
      <w:proofErr w:type="gramEnd"/>
      <w:r>
        <w:t xml:space="preserve"> among others. It can help employers establish facts about why and how employees are engaged in their job and how it can translate metrics and what can be done to retain them. Big data can also highlight challenges faced by a company’s workforce and how management can address them </w:t>
      </w:r>
    </w:p>
    <w:p w14:paraId="29F4B453" w14:textId="77777777" w:rsidR="00AC40DE" w:rsidRDefault="005738FD">
      <w:pPr>
        <w:pStyle w:val="BodyA"/>
        <w:rPr>
          <w:b/>
          <w:bCs/>
        </w:rPr>
      </w:pPr>
      <w:bookmarkStart w:id="10" w:name="_Hlk59095191"/>
      <w:r>
        <w:rPr>
          <w:b/>
          <w:bCs/>
        </w:rPr>
        <w:t>Strategic frameworks</w:t>
      </w:r>
    </w:p>
    <w:bookmarkEnd w:id="10"/>
    <w:p w14:paraId="2BB69C63" w14:textId="146524CA" w:rsidR="00AC40DE" w:rsidRDefault="005738FD">
      <w:pPr>
        <w:pStyle w:val="BodyA"/>
      </w:pPr>
      <w:r>
        <w:t xml:space="preserve">The company can also use frameworks in order to point out what </w:t>
      </w:r>
      <w:proofErr w:type="gramStart"/>
      <w:r>
        <w:t>drives</w:t>
      </w:r>
      <w:proofErr w:type="gramEnd"/>
      <w:r>
        <w:t xml:space="preserve"> employee performance in relation to the organization’s strategy. </w:t>
      </w:r>
      <w:proofErr w:type="gramStart"/>
      <w:r>
        <w:t>A number of</w:t>
      </w:r>
      <w:proofErr w:type="gramEnd"/>
      <w:r>
        <w:t xml:space="preserve"> models including the use of score cards such as the balanced score card has been deemed effective by different companies </w:t>
      </w:r>
      <w:proofErr w:type="spellStart"/>
      <w:r>
        <w:t>i</w:t>
      </w:r>
      <w:proofErr w:type="spellEnd"/>
      <w:r>
        <w:t xml:space="preserve"> the process of linking employees, performance and the company strategy. Coined by </w:t>
      </w:r>
      <w:proofErr w:type="spellStart"/>
      <w:r>
        <w:t>Keplan</w:t>
      </w:r>
      <w:proofErr w:type="spellEnd"/>
      <w:r>
        <w:t xml:space="preserve"> and Norton (1992), this tool measures different business metrics including internal business measures, learning and growth measures and customer measures alongside </w:t>
      </w:r>
      <w:r>
        <w:lastRenderedPageBreak/>
        <w:t xml:space="preserve">financial performance </w:t>
      </w:r>
      <w:proofErr w:type="gramStart"/>
      <w:r>
        <w:t>in order to</w:t>
      </w:r>
      <w:proofErr w:type="gramEnd"/>
      <w:r>
        <w:t xml:space="preserve"> evaluate how well a company is performing. Today, the balanced scorecard is one of the most used </w:t>
      </w:r>
      <w:r w:rsidR="00D508AE">
        <w:t>tools</w:t>
      </w:r>
      <w:r>
        <w:t xml:space="preserve"> in big organizations. </w:t>
      </w:r>
    </w:p>
    <w:p w14:paraId="179A3957" w14:textId="77777777" w:rsidR="00AC40DE" w:rsidRDefault="005738FD">
      <w:pPr>
        <w:pStyle w:val="BodyA"/>
      </w:pPr>
      <w:r>
        <w:t xml:space="preserve">According to Torrington et al (2017), an effective balance score card should be able to measure not only company profitability but also other key metrics of the organization. The tool measures hard metrics such as profitability, revenue, </w:t>
      </w:r>
      <w:proofErr w:type="gramStart"/>
      <w:r>
        <w:t>sales</w:t>
      </w:r>
      <w:proofErr w:type="gramEnd"/>
      <w:r>
        <w:t xml:space="preserve"> and soft metrics such as trust, wellness, training and development among others. </w:t>
      </w:r>
    </w:p>
    <w:p w14:paraId="12967B00" w14:textId="77777777" w:rsidR="00AC40DE" w:rsidRDefault="005738FD">
      <w:pPr>
        <w:pStyle w:val="BodyA"/>
        <w:rPr>
          <w:b/>
          <w:bCs/>
        </w:rPr>
      </w:pPr>
      <w:bookmarkStart w:id="11" w:name="_Hlk59095221"/>
      <w:r>
        <w:rPr>
          <w:b/>
          <w:bCs/>
        </w:rPr>
        <w:t>Surveys</w:t>
      </w:r>
    </w:p>
    <w:bookmarkEnd w:id="11"/>
    <w:p w14:paraId="31F971EA" w14:textId="67B38D47" w:rsidR="00AC40DE" w:rsidRDefault="005738FD">
      <w:pPr>
        <w:pStyle w:val="BodyA"/>
      </w:pPr>
      <w:r>
        <w:t xml:space="preserve">Another approach that is being adopted by companies is the use of pulse surveys </w:t>
      </w:r>
      <w:proofErr w:type="gramStart"/>
      <w:r>
        <w:t>where by</w:t>
      </w:r>
      <w:proofErr w:type="gramEnd"/>
      <w:r>
        <w:t xml:space="preserve"> the company sends a few questions to a group of </w:t>
      </w:r>
      <w:r w:rsidR="00D508AE">
        <w:t>employees in</w:t>
      </w:r>
      <w:r>
        <w:t xml:space="preserve"> order to continuously get insights what employees are thinking, saying or even doing.  However, the validity and reliability of these tools vary depend on </w:t>
      </w:r>
      <w:proofErr w:type="gramStart"/>
      <w:r>
        <w:t>a number of</w:t>
      </w:r>
      <w:proofErr w:type="gramEnd"/>
      <w:r>
        <w:t xml:space="preserve"> factors. Though they can give employers insights on how to improve the organization, let employees feel heard, and track trends, they have </w:t>
      </w:r>
      <w:proofErr w:type="gramStart"/>
      <w:r>
        <w:t>a number of</w:t>
      </w:r>
      <w:proofErr w:type="gramEnd"/>
      <w:r>
        <w:t xml:space="preserve"> drawbacks. </w:t>
      </w:r>
    </w:p>
    <w:p w14:paraId="4993D95A" w14:textId="77777777" w:rsidR="00AC40DE" w:rsidRDefault="005738FD">
      <w:pPr>
        <w:pStyle w:val="BodyA"/>
      </w:pPr>
      <w:r>
        <w:t xml:space="preserve">Surveys tend to be time consuming considering that they </w:t>
      </w:r>
      <w:proofErr w:type="gramStart"/>
      <w:r>
        <w:t>have to</w:t>
      </w:r>
      <w:proofErr w:type="gramEnd"/>
      <w:r>
        <w:t xml:space="preserve"> be done consistently in order to benefit from them. Despite being anonymous, employees may not be sincere especially when it comes to negative comments. Employees might therefore not be open enough which will result in inaccurate insights. </w:t>
      </w:r>
    </w:p>
    <w:p w14:paraId="48062624" w14:textId="5D183F0B" w:rsidR="00AC40DE" w:rsidRDefault="005738FD">
      <w:pPr>
        <w:pStyle w:val="Heading2"/>
        <w:rPr>
          <w:rFonts w:asciiTheme="majorHAnsi" w:hAnsiTheme="majorHAnsi" w:cstheme="majorHAnsi"/>
          <w:color w:val="auto"/>
          <w:sz w:val="28"/>
          <w:szCs w:val="28"/>
        </w:rPr>
      </w:pPr>
      <w:r>
        <w:t xml:space="preserve"> </w:t>
      </w:r>
      <w:bookmarkStart w:id="12" w:name="_Hlk59095264"/>
      <w:r w:rsidR="00D508AE" w:rsidRPr="00AB6BA0">
        <w:rPr>
          <w:rFonts w:asciiTheme="majorHAnsi" w:hAnsiTheme="majorHAnsi" w:cstheme="majorHAnsi"/>
          <w:color w:val="auto"/>
          <w:sz w:val="28"/>
          <w:szCs w:val="28"/>
        </w:rPr>
        <w:t>Employee value proposition from the ideas and analysis previously covered</w:t>
      </w:r>
      <w:r w:rsidRPr="00AB6BA0">
        <w:rPr>
          <w:rFonts w:asciiTheme="majorHAnsi" w:hAnsiTheme="majorHAnsi" w:cstheme="majorHAnsi"/>
          <w:color w:val="auto"/>
          <w:sz w:val="28"/>
          <w:szCs w:val="28"/>
        </w:rPr>
        <w:t>, including strategies to raise levels of engagement</w:t>
      </w:r>
      <w:bookmarkEnd w:id="12"/>
    </w:p>
    <w:p w14:paraId="063780BC" w14:textId="77777777" w:rsidR="00D5098B" w:rsidRPr="00D5098B" w:rsidRDefault="00D5098B" w:rsidP="00D5098B">
      <w:pPr>
        <w:pStyle w:val="BodyA"/>
      </w:pPr>
    </w:p>
    <w:p w14:paraId="2EF201C1" w14:textId="77777777" w:rsidR="00AC40DE" w:rsidRDefault="005738FD">
      <w:pPr>
        <w:pStyle w:val="BodyA"/>
      </w:pPr>
      <w:r>
        <w:t xml:space="preserve">Employee Value Proposition (EVP) includes all benefits and rewards that organizations offer their employees in return for their performance at work. In today’s volatile business </w:t>
      </w:r>
      <w:r>
        <w:lastRenderedPageBreak/>
        <w:t xml:space="preserve">environment characterized by high turnover rates and limited human resource, it is essential for organizations to develop EVPs that not only </w:t>
      </w:r>
      <w:proofErr w:type="spellStart"/>
      <w:r>
        <w:t>only</w:t>
      </w:r>
      <w:proofErr w:type="spellEnd"/>
      <w:r>
        <w:t xml:space="preserve"> build a great employer brand but also attracts and retains key talent. </w:t>
      </w:r>
    </w:p>
    <w:p w14:paraId="153A1851" w14:textId="3EADBA8F" w:rsidR="00AC40DE" w:rsidRDefault="005738FD">
      <w:pPr>
        <w:pStyle w:val="BodyA"/>
      </w:pPr>
      <w:r>
        <w:t xml:space="preserve">According to Deshpande (2019), a company’s EVP should list unique employee rewards, policies and benefit programs that not only show its commitment to its </w:t>
      </w:r>
      <w:r w:rsidR="00D508AE">
        <w:t>employees but</w:t>
      </w:r>
      <w:r>
        <w:t xml:space="preserve"> show why its work experience is better than that of competitors. </w:t>
      </w:r>
    </w:p>
    <w:p w14:paraId="70C38EAD" w14:textId="6076A529" w:rsidR="00AC40DE" w:rsidRDefault="005738FD">
      <w:pPr>
        <w:pStyle w:val="BodyA"/>
      </w:pPr>
      <w:r>
        <w:t xml:space="preserve">The company supports and empowers its employees to reach greater heights of achievement in career progression. It believes in offering its employees resources and tools that not only keep them more knowledgeable but healthier and wealthier. The company offers its employees </w:t>
      </w:r>
      <w:proofErr w:type="gramStart"/>
      <w:r>
        <w:t>a number of</w:t>
      </w:r>
      <w:proofErr w:type="gramEnd"/>
      <w:r>
        <w:t xml:space="preserve"> benefits to ensure wellness including financial wellness in form of programs that pay student loans. It offers gym and fitness services to keep its employees healthy, parental leaves to promote work family balance </w:t>
      </w:r>
      <w:proofErr w:type="gramStart"/>
      <w:r>
        <w:t>and also</w:t>
      </w:r>
      <w:proofErr w:type="gramEnd"/>
      <w:r>
        <w:t xml:space="preserve"> offers employees leave of absence to help them fulfill their personal goals. </w:t>
      </w:r>
      <w:proofErr w:type="gramStart"/>
      <w:r>
        <w:t>In order to</w:t>
      </w:r>
      <w:proofErr w:type="gramEnd"/>
      <w:r>
        <w:t xml:space="preserve"> help </w:t>
      </w:r>
      <w:r w:rsidR="00D508AE">
        <w:t>employees,</w:t>
      </w:r>
      <w:r>
        <w:t xml:space="preserve"> reach their goals in career progression, the company offers training and educational opportunities to help employees become the best at what they do. </w:t>
      </w:r>
    </w:p>
    <w:p w14:paraId="194565FB" w14:textId="77777777" w:rsidR="00AC40DE" w:rsidRDefault="005738FD">
      <w:pPr>
        <w:pStyle w:val="BodyA"/>
      </w:pPr>
      <w:r>
        <w:t xml:space="preserve">In order to maintain a safe </w:t>
      </w:r>
      <w:proofErr w:type="gramStart"/>
      <w:r>
        <w:t>work place</w:t>
      </w:r>
      <w:proofErr w:type="gramEnd"/>
      <w:r>
        <w:t xml:space="preserve"> during the COVID 19 pandemic, the company has not only put measures to make workplace COVID 19 safe, it has also put in place flexible working arrangements. The company’s culture of flexibility has made it possible for its employees to achieve the company goals even amidst the turbulent environment </w:t>
      </w:r>
      <w:proofErr w:type="spellStart"/>
      <w:r>
        <w:t>characterised</w:t>
      </w:r>
      <w:proofErr w:type="spellEnd"/>
      <w:r>
        <w:t xml:space="preserve"> by COVID 19 pandemic. All in all, the company strives to create a community of healthy, </w:t>
      </w:r>
      <w:proofErr w:type="gramStart"/>
      <w:r>
        <w:t>knowledgeable</w:t>
      </w:r>
      <w:proofErr w:type="gramEnd"/>
      <w:r>
        <w:t xml:space="preserve"> and wealthy employees who are nurtured by supportive and trustworthy leaders that encourage communication and employee wellbeing.</w:t>
      </w:r>
    </w:p>
    <w:p w14:paraId="16660DA7" w14:textId="42AB0EFB" w:rsidR="00AC40DE" w:rsidRDefault="00AC40DE">
      <w:pPr>
        <w:pStyle w:val="BodyA"/>
      </w:pPr>
    </w:p>
    <w:p w14:paraId="376A7B0A" w14:textId="0AFF0FE5" w:rsidR="00D508AE" w:rsidRDefault="00D508AE">
      <w:pPr>
        <w:pStyle w:val="BodyA"/>
      </w:pPr>
    </w:p>
    <w:p w14:paraId="76116ED3" w14:textId="15D57C0E" w:rsidR="00D508AE" w:rsidRDefault="00D508AE">
      <w:pPr>
        <w:pStyle w:val="BodyA"/>
      </w:pPr>
    </w:p>
    <w:p w14:paraId="3A04F20A" w14:textId="6AC63203" w:rsidR="00D508AE" w:rsidRDefault="00D508AE">
      <w:pPr>
        <w:pStyle w:val="BodyA"/>
      </w:pPr>
    </w:p>
    <w:p w14:paraId="507988C3" w14:textId="77777777" w:rsidR="00D508AE" w:rsidRDefault="00D508AE">
      <w:pPr>
        <w:pStyle w:val="BodyA"/>
      </w:pPr>
    </w:p>
    <w:p w14:paraId="64266D5F" w14:textId="77777777" w:rsidR="00AC40DE" w:rsidRPr="00AB6BA0" w:rsidRDefault="005738FD">
      <w:pPr>
        <w:pStyle w:val="Heading2"/>
        <w:rPr>
          <w:rFonts w:asciiTheme="majorHAnsi" w:hAnsiTheme="majorHAnsi" w:cstheme="majorHAnsi"/>
          <w:color w:val="000000"/>
          <w:sz w:val="28"/>
          <w:szCs w:val="28"/>
        </w:rPr>
      </w:pPr>
      <w:bookmarkStart w:id="13" w:name="_Hlk59095331"/>
      <w:r w:rsidRPr="00AB6BA0">
        <w:rPr>
          <w:rFonts w:asciiTheme="majorHAnsi" w:hAnsiTheme="majorHAnsi" w:cstheme="majorHAnsi"/>
          <w:color w:val="000000"/>
          <w:sz w:val="28"/>
          <w:szCs w:val="28"/>
        </w:rPr>
        <w:t>Conclusion</w:t>
      </w:r>
    </w:p>
    <w:bookmarkEnd w:id="13"/>
    <w:p w14:paraId="313ECE13" w14:textId="77777777" w:rsidR="00AC40DE" w:rsidRDefault="005738FD">
      <w:pPr>
        <w:pStyle w:val="Default"/>
        <w:spacing w:after="240" w:line="480" w:lineRule="auto"/>
        <w:rPr>
          <w:rFonts w:ascii="Times New Roman" w:eastAsia="Times New Roman" w:hAnsi="Times New Roman" w:cs="Times New Roman"/>
          <w:sz w:val="24"/>
          <w:szCs w:val="24"/>
        </w:rPr>
      </w:pPr>
      <w:r>
        <w:rPr>
          <w:rFonts w:ascii="Times New Roman" w:hAnsi="Times New Roman"/>
          <w:sz w:val="24"/>
          <w:szCs w:val="24"/>
          <w:lang w:val="en-US"/>
        </w:rPr>
        <w:t xml:space="preserve">Employee engagement is vital in organizational success, it has potential to boost revenues, customer satisfaction and loyalty, boost fast growth and reduce absenteeism. </w:t>
      </w:r>
      <w:proofErr w:type="gramStart"/>
      <w:r>
        <w:rPr>
          <w:rFonts w:ascii="Times New Roman" w:hAnsi="Times New Roman"/>
          <w:sz w:val="24"/>
          <w:szCs w:val="24"/>
          <w:lang w:val="en-US"/>
        </w:rPr>
        <w:t>In order to</w:t>
      </w:r>
      <w:proofErr w:type="gramEnd"/>
      <w:r>
        <w:rPr>
          <w:rFonts w:ascii="Times New Roman" w:hAnsi="Times New Roman"/>
          <w:sz w:val="24"/>
          <w:szCs w:val="24"/>
          <w:lang w:val="en-US"/>
        </w:rPr>
        <w:t xml:space="preserve"> enhance employee engagement employers must make sure to address both job and organizational engagement which are major aspects of engagement. According to the findings, managers/ leaders play a major role in building an engaged workforce. This should however be coupled with other initiatives such as learning programs, effective and clear communication, flexible working arrangement, </w:t>
      </w:r>
      <w:proofErr w:type="gramStart"/>
      <w:r>
        <w:rPr>
          <w:rFonts w:ascii="Times New Roman" w:hAnsi="Times New Roman"/>
          <w:sz w:val="24"/>
          <w:szCs w:val="24"/>
          <w:lang w:val="en-US"/>
        </w:rPr>
        <w:t>training</w:t>
      </w:r>
      <w:proofErr w:type="gramEnd"/>
      <w:r>
        <w:rPr>
          <w:rFonts w:ascii="Times New Roman" w:hAnsi="Times New Roman"/>
          <w:sz w:val="24"/>
          <w:szCs w:val="24"/>
          <w:lang w:val="en-US"/>
        </w:rPr>
        <w:t xml:space="preserve"> and development among others. Though pay has through the years </w:t>
      </w:r>
      <w:proofErr w:type="gramStart"/>
      <w:r>
        <w:rPr>
          <w:rFonts w:ascii="Times New Roman" w:hAnsi="Times New Roman"/>
          <w:sz w:val="24"/>
          <w:szCs w:val="24"/>
          <w:lang w:val="en-US"/>
        </w:rPr>
        <w:t>been seen as</w:t>
      </w:r>
      <w:proofErr w:type="gramEnd"/>
      <w:r>
        <w:rPr>
          <w:rFonts w:ascii="Times New Roman" w:hAnsi="Times New Roman"/>
          <w:sz w:val="24"/>
          <w:szCs w:val="24"/>
          <w:lang w:val="en-US"/>
        </w:rPr>
        <w:t xml:space="preserve"> a driver of engagement, the findings have shown that it is the least important factor when it comes to engagement, employers should make sure to couple it with other rewards and other initiatives. </w:t>
      </w:r>
    </w:p>
    <w:p w14:paraId="51746C58" w14:textId="77777777" w:rsidR="00AC40DE" w:rsidRDefault="00AC40DE">
      <w:pPr>
        <w:pStyle w:val="Default"/>
        <w:spacing w:after="240" w:line="300" w:lineRule="atLeast"/>
        <w:rPr>
          <w:rFonts w:ascii="Times" w:eastAsia="Times" w:hAnsi="Times" w:cs="Times"/>
          <w:sz w:val="24"/>
          <w:szCs w:val="24"/>
        </w:rPr>
      </w:pPr>
    </w:p>
    <w:p w14:paraId="7A6D43B5" w14:textId="77777777" w:rsidR="00AC40DE" w:rsidRDefault="00AC40DE">
      <w:pPr>
        <w:pStyle w:val="BodyA"/>
      </w:pPr>
    </w:p>
    <w:p w14:paraId="4CCB6B7E" w14:textId="77777777" w:rsidR="00AC40DE" w:rsidRDefault="00AC40DE">
      <w:pPr>
        <w:pStyle w:val="BodyA"/>
      </w:pPr>
    </w:p>
    <w:p w14:paraId="32E79A9D" w14:textId="77777777" w:rsidR="00AC40DE" w:rsidRDefault="00AC40DE">
      <w:pPr>
        <w:pStyle w:val="BodyA"/>
      </w:pPr>
    </w:p>
    <w:p w14:paraId="7A234AB4" w14:textId="77777777" w:rsidR="00AC40DE" w:rsidRDefault="00AC40DE">
      <w:pPr>
        <w:pStyle w:val="BodyA"/>
      </w:pPr>
    </w:p>
    <w:p w14:paraId="36F5DB25" w14:textId="77777777" w:rsidR="00AC40DE" w:rsidRDefault="00AC40DE">
      <w:pPr>
        <w:pStyle w:val="BodyA"/>
      </w:pPr>
    </w:p>
    <w:p w14:paraId="10E4E8BF" w14:textId="77777777" w:rsidR="00AC40DE" w:rsidRDefault="00AC40DE">
      <w:pPr>
        <w:pStyle w:val="BodyA"/>
      </w:pPr>
    </w:p>
    <w:p w14:paraId="38C193BF" w14:textId="77777777" w:rsidR="00AC40DE" w:rsidRDefault="00AC40DE">
      <w:pPr>
        <w:pStyle w:val="BodyA"/>
      </w:pPr>
    </w:p>
    <w:p w14:paraId="754DCE3D" w14:textId="77777777" w:rsidR="00AC40DE" w:rsidRPr="00AB6BA0" w:rsidRDefault="005738FD">
      <w:pPr>
        <w:pStyle w:val="Heading2"/>
        <w:rPr>
          <w:rFonts w:asciiTheme="majorHAnsi" w:hAnsiTheme="majorHAnsi" w:cstheme="majorHAnsi"/>
          <w:color w:val="000000"/>
          <w:sz w:val="28"/>
          <w:szCs w:val="28"/>
        </w:rPr>
      </w:pPr>
      <w:bookmarkStart w:id="14" w:name="_Hlk59095372"/>
      <w:r w:rsidRPr="00AB6BA0">
        <w:rPr>
          <w:rFonts w:asciiTheme="majorHAnsi" w:hAnsiTheme="majorHAnsi" w:cstheme="majorHAnsi"/>
          <w:color w:val="000000"/>
          <w:sz w:val="28"/>
          <w:szCs w:val="28"/>
        </w:rPr>
        <w:t>References</w:t>
      </w:r>
    </w:p>
    <w:bookmarkEnd w:id="14"/>
    <w:p w14:paraId="44EE01C8" w14:textId="77777777" w:rsidR="00AC40DE" w:rsidRDefault="005738FD">
      <w:pPr>
        <w:pStyle w:val="BodyA"/>
      </w:pPr>
      <w:proofErr w:type="spellStart"/>
      <w:r>
        <w:t>Anitha</w:t>
      </w:r>
      <w:proofErr w:type="spellEnd"/>
      <w:r>
        <w:t>, J. (2014) “Determinants of employee engagement and their impact on employee performance” The International Journal of Productivity and Performance Management, Vol. 63, No. 3, 308–323.</w:t>
      </w:r>
    </w:p>
    <w:p w14:paraId="79C726CD" w14:textId="77777777" w:rsidR="00AC40DE" w:rsidRDefault="005738FD">
      <w:pPr>
        <w:pStyle w:val="BodyA"/>
      </w:pPr>
      <w:r>
        <w:t>Armstrong, M., Taylor, S., (2017) “Armstrong's Handbook of Human Resource Management Practice,” 14th Edition, Kogan Page</w:t>
      </w:r>
    </w:p>
    <w:p w14:paraId="68287BCF" w14:textId="77777777" w:rsidR="00AC40DE" w:rsidRDefault="005738FD">
      <w:pPr>
        <w:pStyle w:val="BodyA"/>
      </w:pPr>
      <w:r>
        <w:t>Chartered Institute of Personnel and Development (2014) “</w:t>
      </w:r>
      <w:r>
        <w:rPr>
          <w:i/>
          <w:iCs/>
        </w:rPr>
        <w:t>Employee Engagement</w:t>
      </w:r>
      <w:r>
        <w:t xml:space="preserve">,” CIPD (factsheet) [Online] at </w:t>
      </w:r>
      <w:hyperlink r:id="rId7" w:history="1">
        <w:r>
          <w:rPr>
            <w:rStyle w:val="Hyperlink0"/>
          </w:rPr>
          <w:t>www.cipd.co.uk</w:t>
        </w:r>
      </w:hyperlink>
    </w:p>
    <w:p w14:paraId="74229F6B" w14:textId="77777777" w:rsidR="00AC40DE" w:rsidRDefault="005738FD">
      <w:pPr>
        <w:pStyle w:val="BodyA"/>
      </w:pPr>
      <w:r>
        <w:t xml:space="preserve">Daniels, K. (2010) ‘Employee engagement’, </w:t>
      </w:r>
      <w:r>
        <w:rPr>
          <w:i/>
          <w:iCs/>
        </w:rPr>
        <w:t xml:space="preserve">CIPD Factsheet, </w:t>
      </w:r>
      <w:r>
        <w:t xml:space="preserve">www.cipd.co.uk. </w:t>
      </w:r>
    </w:p>
    <w:p w14:paraId="6F4AC94C" w14:textId="190BF598" w:rsidR="00AC40DE" w:rsidRDefault="005738FD">
      <w:pPr>
        <w:pStyle w:val="BodyA"/>
      </w:pPr>
      <w:r>
        <w:t xml:space="preserve">Davies Jack (2017) “UK lags behind the world for worker engagement, reveals latest Qualtrics Employee Pulse” Personnel Today [Online] at </w:t>
      </w:r>
      <w:r w:rsidRPr="00D508AE">
        <w:rPr>
          <w:rStyle w:val="Hyperlink0"/>
          <w:color w:val="auto"/>
          <w:u w:val="none"/>
        </w:rPr>
        <w:t>https://www.personneltoday.com/pr/2017/11/uk-lags-behind-the-world-for-worker-engagement-reveals-latest-qualtrics-employee-pulse/</w:t>
      </w:r>
    </w:p>
    <w:p w14:paraId="23196B83" w14:textId="77777777" w:rsidR="00AC40DE" w:rsidRDefault="005738FD">
      <w:pPr>
        <w:pStyle w:val="BodyA"/>
      </w:pPr>
      <w:r>
        <w:t xml:space="preserve">Foot, M., Hook, C., and Jenkins, A. (2016) “Introduction to Human Resource Management” 7th Ed, Harlow; Pearson Education. </w:t>
      </w:r>
    </w:p>
    <w:p w14:paraId="213E40A8" w14:textId="77777777" w:rsidR="00AC40DE" w:rsidRDefault="005738FD">
      <w:pPr>
        <w:pStyle w:val="BodyA"/>
      </w:pPr>
      <w:r>
        <w:t>Marchington, M., and Wilkinson, A. (2012) “Human resource management at work.”  5th ed. London: Chartered Institute of Personnel and Development 2.</w:t>
      </w:r>
    </w:p>
    <w:p w14:paraId="6C432C1E" w14:textId="77777777" w:rsidR="00AC40DE" w:rsidRDefault="005738FD">
      <w:pPr>
        <w:pStyle w:val="BodyA"/>
      </w:pPr>
      <w:proofErr w:type="spellStart"/>
      <w:r>
        <w:t>Pilbeam</w:t>
      </w:r>
      <w:proofErr w:type="spellEnd"/>
      <w:r>
        <w:t xml:space="preserve">, S., and Corbridge, M. (2010) “People resourcing and talent planning: HRM in practice.” 4 </w:t>
      </w:r>
      <w:proofErr w:type="spellStart"/>
      <w:r>
        <w:t>th</w:t>
      </w:r>
      <w:proofErr w:type="spellEnd"/>
      <w:r>
        <w:t xml:space="preserve"> ed. Harlow: Financial Times/Prentice Hall</w:t>
      </w:r>
    </w:p>
    <w:p w14:paraId="680078DA" w14:textId="77777777" w:rsidR="00AC40DE" w:rsidRDefault="005738FD">
      <w:pPr>
        <w:pStyle w:val="BodyA"/>
      </w:pPr>
      <w:r>
        <w:lastRenderedPageBreak/>
        <w:t xml:space="preserve">Kaplan, R. and Norton, D. (1992) “The balanced scorecard: Measures that drive performance” </w:t>
      </w:r>
      <w:r>
        <w:rPr>
          <w:i/>
          <w:iCs/>
        </w:rPr>
        <w:t xml:space="preserve">Harvard Business Review, </w:t>
      </w:r>
      <w:r>
        <w:t xml:space="preserve">January–February, pp. 71–9. </w:t>
      </w:r>
    </w:p>
    <w:p w14:paraId="75292A12" w14:textId="77777777" w:rsidR="00AC40DE" w:rsidRDefault="005738FD">
      <w:pPr>
        <w:pStyle w:val="BodyA"/>
      </w:pPr>
      <w:r>
        <w:t xml:space="preserve">Leiter, M. and Bakker, A. (2010) Work engagement: Introduction’, in A. Bakker and M. Leiter (eds), </w:t>
      </w:r>
      <w:r>
        <w:rPr>
          <w:i/>
          <w:iCs/>
        </w:rPr>
        <w:t xml:space="preserve">Work Engagement: A Handbook of Essential Theory and Research. </w:t>
      </w:r>
      <w:r>
        <w:t>New York: The Psychology Press.</w:t>
      </w:r>
    </w:p>
    <w:p w14:paraId="473FDD70" w14:textId="77777777" w:rsidR="00AC40DE" w:rsidRDefault="005738FD">
      <w:pPr>
        <w:pStyle w:val="BodyA"/>
      </w:pPr>
      <w:r>
        <w:t xml:space="preserve"> Marchington, M., and Wilkinson, A. (2012) “Human resource management at work.”  5th ed. London: Chartered Institute of Personnel and Development 2 </w:t>
      </w:r>
    </w:p>
    <w:p w14:paraId="781EF6EA" w14:textId="77777777" w:rsidR="00AC40DE" w:rsidRDefault="005738FD">
      <w:pPr>
        <w:pStyle w:val="BodyA"/>
      </w:pPr>
      <w:proofErr w:type="spellStart"/>
      <w:r>
        <w:t>Papalexandris</w:t>
      </w:r>
      <w:proofErr w:type="spellEnd"/>
      <w:r>
        <w:t xml:space="preserve">, N., &amp; </w:t>
      </w:r>
      <w:proofErr w:type="spellStart"/>
      <w:r>
        <w:t>Galanaki</w:t>
      </w:r>
      <w:proofErr w:type="spellEnd"/>
      <w:r>
        <w:t xml:space="preserve">, E. (2009). “Leadership's impact on employee engagement: Differences among entrepreneurs and professional CEOs.” Leadership &amp; Organization Development Journal, 30(4), 365–385. </w:t>
      </w:r>
      <w:hyperlink r:id="rId8" w:history="1">
        <w:r>
          <w:rPr>
            <w:rStyle w:val="Hyperlink0"/>
          </w:rPr>
          <w:t>https://doi.org/10.1108/01437730910961685</w:t>
        </w:r>
      </w:hyperlink>
      <w:r>
        <w:t xml:space="preserve"> </w:t>
      </w:r>
    </w:p>
    <w:p w14:paraId="56F3580E" w14:textId="77777777" w:rsidR="00AC40DE" w:rsidRDefault="005738FD">
      <w:pPr>
        <w:pStyle w:val="Default"/>
        <w:spacing w:after="240" w:line="480" w:lineRule="auto"/>
        <w:rPr>
          <w:rFonts w:ascii="Times" w:eastAsia="Times" w:hAnsi="Times" w:cs="Times"/>
          <w:sz w:val="24"/>
          <w:szCs w:val="24"/>
        </w:rPr>
      </w:pPr>
      <w:r>
        <w:rPr>
          <w:rFonts w:ascii="Times" w:hAnsi="Times"/>
          <w:sz w:val="24"/>
          <w:szCs w:val="24"/>
          <w:lang w:val="en-US"/>
        </w:rPr>
        <w:t xml:space="preserve">Purcell, J. (2014) “Disengaging from engagement” </w:t>
      </w:r>
      <w:r>
        <w:rPr>
          <w:rFonts w:ascii="Times" w:hAnsi="Times"/>
          <w:i/>
          <w:iCs/>
          <w:sz w:val="24"/>
          <w:szCs w:val="24"/>
          <w:lang w:val="en-US"/>
        </w:rPr>
        <w:t xml:space="preserve">Human Resource Management Journal, </w:t>
      </w:r>
      <w:r>
        <w:rPr>
          <w:rFonts w:ascii="Times" w:hAnsi="Times"/>
          <w:sz w:val="24"/>
          <w:szCs w:val="24"/>
          <w:lang w:val="pt-PT"/>
        </w:rPr>
        <w:t>Vol. 24</w:t>
      </w:r>
      <w:r>
        <w:rPr>
          <w:rFonts w:ascii="Times" w:hAnsi="Times"/>
          <w:b/>
          <w:bCs/>
          <w:sz w:val="24"/>
          <w:szCs w:val="24"/>
        </w:rPr>
        <w:t xml:space="preserve">, </w:t>
      </w:r>
      <w:r>
        <w:rPr>
          <w:rFonts w:ascii="Times" w:hAnsi="Times"/>
          <w:sz w:val="24"/>
          <w:szCs w:val="24"/>
        </w:rPr>
        <w:t xml:space="preserve">pp. 241–54. </w:t>
      </w:r>
    </w:p>
    <w:p w14:paraId="50860466" w14:textId="77777777" w:rsidR="00AC40DE" w:rsidRDefault="005738FD">
      <w:pPr>
        <w:pStyle w:val="Default"/>
        <w:spacing w:after="240" w:line="480" w:lineRule="auto"/>
        <w:rPr>
          <w:rFonts w:ascii="Times New Roman" w:eastAsia="Times New Roman" w:hAnsi="Times New Roman" w:cs="Times New Roman"/>
          <w:sz w:val="24"/>
          <w:szCs w:val="24"/>
        </w:rPr>
      </w:pPr>
      <w:r>
        <w:rPr>
          <w:rFonts w:ascii="Times New Roman" w:hAnsi="Times New Roman"/>
          <w:sz w:val="24"/>
          <w:szCs w:val="24"/>
          <w:lang w:val="en-US"/>
        </w:rPr>
        <w:t>Stairs, M. and Gilpin, M. (2010) “Positive Engagement: From employee engagement to workplace happiness”</w:t>
      </w:r>
      <w:r>
        <w:rPr>
          <w:rFonts w:ascii="Times New Roman" w:hAnsi="Times New Roman"/>
          <w:sz w:val="24"/>
          <w:szCs w:val="24"/>
        </w:rPr>
        <w:t xml:space="preserve">, in A. Linley </w:t>
      </w:r>
      <w:r>
        <w:rPr>
          <w:rFonts w:ascii="Times New Roman" w:hAnsi="Times New Roman"/>
          <w:i/>
          <w:iCs/>
          <w:sz w:val="24"/>
          <w:szCs w:val="24"/>
          <w:lang w:val="en-US"/>
        </w:rPr>
        <w:t xml:space="preserve">et al., Oxford Handbook of Positive Psychology and Work. </w:t>
      </w:r>
      <w:r>
        <w:rPr>
          <w:rFonts w:ascii="Times New Roman" w:hAnsi="Times New Roman"/>
          <w:sz w:val="24"/>
          <w:szCs w:val="24"/>
        </w:rPr>
        <w:t xml:space="preserve">Oxford: Oxford University Press. </w:t>
      </w:r>
    </w:p>
    <w:p w14:paraId="4063ABCD" w14:textId="77777777" w:rsidR="00AC40DE" w:rsidRDefault="005738FD">
      <w:pPr>
        <w:pStyle w:val="BodyA"/>
      </w:pPr>
      <w:r>
        <w:t xml:space="preserve">TAYLOR, S. (2010) “Resourcing and talent management.” 5th ed. London: Chartered Institute of Personnel and Development. </w:t>
      </w:r>
    </w:p>
    <w:p w14:paraId="4AC29CC8" w14:textId="77777777" w:rsidR="00AC40DE" w:rsidRDefault="005738FD">
      <w:pPr>
        <w:pStyle w:val="BodyA"/>
      </w:pPr>
      <w:r>
        <w:t>Taylor, S., Atkinson, C., (2014) “Human Resource Management” 9th Edition, Pearson</w:t>
      </w:r>
    </w:p>
    <w:p w14:paraId="27057F2C" w14:textId="77777777" w:rsidR="00AC40DE" w:rsidRDefault="005738FD">
      <w:pPr>
        <w:pStyle w:val="BodyA"/>
      </w:pPr>
      <w:r>
        <w:t xml:space="preserve">Taylor, S., and Woodhams, C. (2012) “Managing People and </w:t>
      </w:r>
      <w:proofErr w:type="spellStart"/>
      <w:r>
        <w:t>Organisations</w:t>
      </w:r>
      <w:proofErr w:type="spellEnd"/>
      <w:r>
        <w:t xml:space="preserve">.” London: Chartered Institute of Personnel and Development. </w:t>
      </w:r>
    </w:p>
    <w:p w14:paraId="18EC7EA6" w14:textId="5FADACE5" w:rsidR="00AC40DE" w:rsidRDefault="005738FD">
      <w:pPr>
        <w:pStyle w:val="BodyA"/>
      </w:pPr>
      <w:r>
        <w:lastRenderedPageBreak/>
        <w:t>Torrington, D., Hall, L., Taylor, S., and Atkinson, C. (2017</w:t>
      </w:r>
      <w:r w:rsidR="00D508AE">
        <w:t>) “</w:t>
      </w:r>
      <w:r>
        <w:t>Human Resource Management” 10th ed, Pearson.</w:t>
      </w:r>
    </w:p>
    <w:p w14:paraId="43C35A9B" w14:textId="77777777" w:rsidR="00AC40DE" w:rsidRDefault="005738FD">
      <w:pPr>
        <w:pStyle w:val="BodyA"/>
      </w:pPr>
      <w:r>
        <w:t xml:space="preserve">Xu, J. and Cooper Thomas, H. (2011), "How can leaders achieve high employee engagement?", Leadership &amp; Organization Development Journal, Vol. 32 No. 4, pp. 399-416. </w:t>
      </w:r>
      <w:hyperlink r:id="rId9" w:history="1">
        <w:r>
          <w:rPr>
            <w:rStyle w:val="Hyperlink0"/>
          </w:rPr>
          <w:t>https://doi.org/10.1108/01437731111134661</w:t>
        </w:r>
      </w:hyperlink>
      <w:r>
        <w:t xml:space="preserve"> </w:t>
      </w:r>
    </w:p>
    <w:sectPr w:rsidR="00AC40DE">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26C13" w14:textId="77777777" w:rsidR="000D7E0E" w:rsidRDefault="000D7E0E">
      <w:r>
        <w:separator/>
      </w:r>
    </w:p>
  </w:endnote>
  <w:endnote w:type="continuationSeparator" w:id="0">
    <w:p w14:paraId="5372CA10" w14:textId="77777777" w:rsidR="000D7E0E" w:rsidRDefault="000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w:altName w:val="Sylfaen"/>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5053420"/>
      <w:docPartObj>
        <w:docPartGallery w:val="Page Numbers (Bottom of Page)"/>
        <w:docPartUnique/>
      </w:docPartObj>
    </w:sdtPr>
    <w:sdtEndPr>
      <w:rPr>
        <w:noProof/>
      </w:rPr>
    </w:sdtEndPr>
    <w:sdtContent>
      <w:p w14:paraId="6E4F86E0" w14:textId="2E5140C7" w:rsidR="00D508AE" w:rsidRDefault="00D508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5963C0" w14:textId="77777777" w:rsidR="00AC40DE" w:rsidRDefault="00AC40D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9D748" w14:textId="77777777" w:rsidR="000D7E0E" w:rsidRDefault="000D7E0E">
      <w:r>
        <w:separator/>
      </w:r>
    </w:p>
  </w:footnote>
  <w:footnote w:type="continuationSeparator" w:id="0">
    <w:p w14:paraId="032138BB" w14:textId="77777777" w:rsidR="000D7E0E" w:rsidRDefault="000D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319CF"/>
    <w:multiLevelType w:val="hybridMultilevel"/>
    <w:tmpl w:val="AC142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1D3C24"/>
    <w:multiLevelType w:val="hybridMultilevel"/>
    <w:tmpl w:val="F698E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0A25C6"/>
    <w:multiLevelType w:val="hybridMultilevel"/>
    <w:tmpl w:val="90A6B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0DE"/>
    <w:rsid w:val="00003EDF"/>
    <w:rsid w:val="00017D9E"/>
    <w:rsid w:val="000D7E0E"/>
    <w:rsid w:val="00274786"/>
    <w:rsid w:val="003322C1"/>
    <w:rsid w:val="003D3AC1"/>
    <w:rsid w:val="00443768"/>
    <w:rsid w:val="004E0A23"/>
    <w:rsid w:val="004F41BE"/>
    <w:rsid w:val="005006F3"/>
    <w:rsid w:val="005738FD"/>
    <w:rsid w:val="005C79E5"/>
    <w:rsid w:val="005F6430"/>
    <w:rsid w:val="006C4605"/>
    <w:rsid w:val="00741A7E"/>
    <w:rsid w:val="007C63BC"/>
    <w:rsid w:val="00856C30"/>
    <w:rsid w:val="008C3843"/>
    <w:rsid w:val="00914E7E"/>
    <w:rsid w:val="00964784"/>
    <w:rsid w:val="00AB6BA0"/>
    <w:rsid w:val="00AC40DE"/>
    <w:rsid w:val="00D508AE"/>
    <w:rsid w:val="00D50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019E"/>
  <w15:docId w15:val="{5A3EEE74-17E6-491D-8EF3-49C00A0FF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00" w:line="480" w:lineRule="auto"/>
      <w:outlineLvl w:val="1"/>
    </w:pPr>
    <w:rPr>
      <w:rFonts w:ascii="Georgia" w:hAnsi="Georgia" w:cs="Arial Unicode MS"/>
      <w:b/>
      <w:bCs/>
      <w:color w:val="003300"/>
      <w:sz w:val="26"/>
      <w:szCs w:val="26"/>
      <w:u w:color="003300"/>
      <w:lang w:val="en-US"/>
    </w:rPr>
  </w:style>
  <w:style w:type="paragraph" w:styleId="Heading3">
    <w:name w:val="heading 3"/>
    <w:next w:val="BodyA"/>
    <w:uiPriority w:val="9"/>
    <w:unhideWhenUsed/>
    <w:qFormat/>
    <w:pPr>
      <w:keepNext/>
      <w:keepLines/>
      <w:spacing w:before="200" w:line="480" w:lineRule="auto"/>
      <w:outlineLvl w:val="2"/>
    </w:pPr>
    <w:rPr>
      <w:rFonts w:ascii="Georgia" w:hAnsi="Georgia" w:cs="Arial Unicode MS"/>
      <w:b/>
      <w:bCs/>
      <w:i/>
      <w:iCs/>
      <w:color w:val="002060"/>
      <w:sz w:val="24"/>
      <w:szCs w:val="24"/>
      <w:u w:color="00206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Heading">
    <w:name w:val="Heading"/>
    <w:next w:val="BodyA"/>
    <w:pPr>
      <w:keepNext/>
      <w:keepLines/>
      <w:spacing w:before="480" w:line="480" w:lineRule="auto"/>
      <w:outlineLvl w:val="0"/>
    </w:pPr>
    <w:rPr>
      <w:rFonts w:ascii="Georgia" w:hAnsi="Georgia" w:cs="Arial Unicode MS"/>
      <w:b/>
      <w:bCs/>
      <w:caps/>
      <w:color w:val="000000"/>
      <w:sz w:val="28"/>
      <w:szCs w:val="28"/>
      <w:u w:color="000000"/>
      <w:lang w:val="fr-FR"/>
    </w:rPr>
  </w:style>
  <w:style w:type="paragraph" w:customStyle="1" w:styleId="BodyA">
    <w:name w:val="Body A"/>
    <w:pPr>
      <w:spacing w:after="240" w:line="480" w:lineRule="auto"/>
    </w:pPr>
    <w:rPr>
      <w:rFonts w:cs="Arial Unicode MS"/>
      <w:color w:val="000000"/>
      <w:sz w:val="24"/>
      <w:szCs w:val="24"/>
      <w:u w:color="000000"/>
      <w:lang w:val="en-US"/>
    </w:rPr>
  </w:style>
  <w:style w:type="paragraph" w:customStyle="1" w:styleId="Body">
    <w:name w:val="Body"/>
    <w:rPr>
      <w:rFonts w:cs="Arial Unicode MS"/>
      <w:color w:val="000000"/>
      <w:sz w:val="24"/>
      <w:szCs w:val="24"/>
      <w:u w:color="000000"/>
      <w:lang w:val="en-US"/>
    </w:rPr>
  </w:style>
  <w:style w:type="paragraph" w:customStyle="1" w:styleId="Default">
    <w:name w:val="Default"/>
    <w:rPr>
      <w:rFonts w:ascii="Helvetica" w:hAnsi="Helvetica" w:cs="Arial Unicode MS"/>
      <w:color w:val="000000"/>
      <w:sz w:val="22"/>
      <w:szCs w:val="22"/>
    </w:rPr>
  </w:style>
  <w:style w:type="character" w:customStyle="1" w:styleId="Hyperlink0">
    <w:name w:val="Hyperlink.0"/>
    <w:basedOn w:val="Hyperlink"/>
    <w:rPr>
      <w:color w:val="0000FF"/>
      <w:u w:val="single" w:color="0000FF"/>
    </w:rPr>
  </w:style>
  <w:style w:type="paragraph" w:styleId="Header">
    <w:name w:val="header"/>
    <w:basedOn w:val="Normal"/>
    <w:link w:val="HeaderChar"/>
    <w:uiPriority w:val="99"/>
    <w:unhideWhenUsed/>
    <w:rsid w:val="00D508AE"/>
    <w:pPr>
      <w:tabs>
        <w:tab w:val="center" w:pos="4513"/>
        <w:tab w:val="right" w:pos="9026"/>
      </w:tabs>
    </w:pPr>
  </w:style>
  <w:style w:type="character" w:customStyle="1" w:styleId="HeaderChar">
    <w:name w:val="Header Char"/>
    <w:basedOn w:val="DefaultParagraphFont"/>
    <w:link w:val="Header"/>
    <w:uiPriority w:val="99"/>
    <w:rsid w:val="00D508AE"/>
    <w:rPr>
      <w:sz w:val="24"/>
      <w:szCs w:val="24"/>
      <w:lang w:val="en-US" w:eastAsia="en-US"/>
    </w:rPr>
  </w:style>
  <w:style w:type="paragraph" w:styleId="Footer">
    <w:name w:val="footer"/>
    <w:basedOn w:val="Normal"/>
    <w:link w:val="FooterChar"/>
    <w:uiPriority w:val="99"/>
    <w:unhideWhenUsed/>
    <w:rsid w:val="00D508AE"/>
    <w:pPr>
      <w:tabs>
        <w:tab w:val="center" w:pos="4513"/>
        <w:tab w:val="right" w:pos="9026"/>
      </w:tabs>
    </w:pPr>
  </w:style>
  <w:style w:type="character" w:customStyle="1" w:styleId="FooterChar">
    <w:name w:val="Footer Char"/>
    <w:basedOn w:val="DefaultParagraphFont"/>
    <w:link w:val="Footer"/>
    <w:uiPriority w:val="99"/>
    <w:rsid w:val="00D508A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doi.org/10.1108/01437730910961685" TargetMode="External"/><Relationship Id="rId3" Type="http://schemas.openxmlformats.org/officeDocument/2006/relationships/settings" Target="settings.xml"/><Relationship Id="rId7" Type="http://schemas.openxmlformats.org/officeDocument/2006/relationships/hyperlink" Target="http://www.cipd.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08/01437731111134661"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Times New Roman"/>
        <a:ea typeface="Times New Roman"/>
        <a:cs typeface="Times New Roman"/>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2788</Words>
  <Characters>15894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valeva</dc:creator>
  <cp:lastModifiedBy>milena valeva</cp:lastModifiedBy>
  <cp:revision>2</cp:revision>
  <dcterms:created xsi:type="dcterms:W3CDTF">2020-12-17T11:17:00Z</dcterms:created>
  <dcterms:modified xsi:type="dcterms:W3CDTF">2020-12-17T11:17:00Z</dcterms:modified>
</cp:coreProperties>
</file>