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b/>
          <w:bCs/>
          <w:sz w:val="32"/>
          <w:szCs w:val="28"/>
        </w:rPr>
      </w:pPr>
    </w:p>
    <w:p>
      <w:pPr>
        <w:pStyle w:val="style0"/>
        <w:jc w:val="center"/>
        <w:rPr>
          <w:b/>
          <w:bCs/>
          <w:sz w:val="32"/>
          <w:szCs w:val="28"/>
        </w:rPr>
      </w:pPr>
    </w:p>
    <w:p>
      <w:pPr>
        <w:pStyle w:val="style0"/>
        <w:jc w:val="center"/>
        <w:rPr>
          <w:b/>
          <w:bCs/>
          <w:sz w:val="48"/>
          <w:szCs w:val="44"/>
        </w:rPr>
      </w:pPr>
      <w:r>
        <w:rPr>
          <w:b/>
          <w:bCs/>
          <w:sz w:val="48"/>
          <w:szCs w:val="44"/>
        </w:rPr>
        <w:t>Accounting F</w:t>
      </w:r>
      <w:r>
        <w:rPr>
          <w:b/>
          <w:bCs/>
          <w:sz w:val="48"/>
          <w:szCs w:val="44"/>
        </w:rPr>
        <w:t>u</w:t>
      </w:r>
      <w:r>
        <w:rPr>
          <w:b/>
          <w:bCs/>
          <w:sz w:val="48"/>
          <w:szCs w:val="44"/>
        </w:rPr>
        <w:t>ndamentals</w:t>
      </w:r>
    </w:p>
    <w:p>
      <w:pPr>
        <w:pStyle w:val="style0"/>
        <w:jc w:val="center"/>
        <w:rPr>
          <w:b/>
          <w:bCs/>
          <w:sz w:val="48"/>
          <w:szCs w:val="44"/>
        </w:rPr>
      </w:pPr>
      <w:r>
        <w:rPr>
          <w:b/>
          <w:bCs/>
          <w:sz w:val="48"/>
          <w:szCs w:val="44"/>
        </w:rPr>
        <w:t>Assignment- A1</w:t>
      </w:r>
    </w:p>
    <w:p>
      <w:pPr>
        <w:pStyle w:val="style0"/>
        <w:rPr/>
      </w:pPr>
    </w:p>
    <w:p>
      <w:pPr>
        <w:pStyle w:val="style0"/>
        <w:rPr/>
      </w:pPr>
    </w:p>
    <w:p>
      <w:pPr>
        <w:pStyle w:val="style0"/>
        <w:rPr/>
      </w:pPr>
    </w:p>
    <w:p>
      <w:pPr>
        <w:pStyle w:val="style0"/>
        <w:rPr/>
      </w:pPr>
    </w:p>
    <w:p>
      <w:pPr>
        <w:pStyle w:val="style0"/>
        <w:rPr/>
      </w:pPr>
    </w:p>
    <w:p>
      <w:pPr>
        <w:pStyle w:val="style0"/>
        <w:rPr>
          <w:i/>
          <w:iCs/>
        </w:rPr>
      </w:pPr>
      <w:r>
        <w:rPr>
          <w:i/>
          <w:iCs/>
        </w:rPr>
        <w:t xml:space="preserve">Student name:  </w:t>
      </w:r>
      <w:r>
        <w:rPr>
          <w:i/>
          <w:iCs/>
          <w:lang w:val="en-US"/>
        </w:rPr>
        <w:t>Narcis-Nicu Gavril</w:t>
      </w:r>
    </w:p>
    <w:p>
      <w:pPr>
        <w:pStyle w:val="style0"/>
        <w:rPr>
          <w:i/>
          <w:iCs/>
        </w:rPr>
      </w:pPr>
      <w:r>
        <w:rPr>
          <w:i/>
          <w:iCs/>
        </w:rPr>
        <w:t>ID:</w:t>
      </w:r>
    </w:p>
    <w:p>
      <w:pPr>
        <w:pStyle w:val="style0"/>
        <w:rPr/>
      </w:pPr>
      <w:r>
        <w:rPr>
          <w:lang w:val="en-US"/>
        </w:rPr>
        <w:t>2022007</w:t>
      </w:r>
    </w:p>
    <w:p>
      <w:pPr>
        <w:pStyle w:val="style0"/>
        <w:rPr/>
      </w:pPr>
    </w:p>
    <w:p>
      <w:pPr>
        <w:pStyle w:val="style0"/>
        <w:rPr/>
        <w:sectPr>
          <w:footerReference w:type="default" r:id="rId2"/>
          <w:pgSz w:w="12240" w:h="15840" w:orient="portrait"/>
          <w:pgMar w:top="1440" w:right="1440" w:bottom="1440" w:left="1440" w:header="720" w:footer="720" w:gutter="0"/>
          <w:cols w:space="720"/>
          <w:docGrid w:linePitch="360"/>
        </w:sectPr>
      </w:pPr>
    </w:p>
    <w:p>
      <w:pPr>
        <w:pStyle w:val="style0"/>
        <w:rPr/>
      </w:pPr>
    </w:p>
    <w:p>
      <w:pPr>
        <w:pStyle w:val="style266"/>
        <w:rPr/>
      </w:pPr>
      <w: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"_Toc77793991" </w:instrText>
      </w:r>
      <w:r>
        <w:rPr/>
        <w:fldChar w:fldCharType="separate"/>
      </w:r>
      <w:r>
        <w:rPr>
          <w:rStyle w:val="style85"/>
          <w:noProof/>
        </w:rPr>
        <w:t>Question 1</w:t>
      </w:r>
      <w:r>
        <w:rPr>
          <w:noProof/>
          <w:webHidden/>
        </w:rPr>
        <w:tab/>
      </w:r>
      <w:r>
        <w:rPr>
          <w:noProof/>
          <w:webHidden/>
        </w:rPr>
        <w:fldChar w:fldCharType="begin"/>
      </w:r>
      <w:r>
        <w:rPr>
          <w:noProof/>
          <w:webHidden/>
        </w:rPr>
        <w:instrText xml:space="preserve"> PAGEREF _Toc77793991 \h </w:instrText>
      </w:r>
      <w:r>
        <w:rPr>
          <w:noProof/>
          <w:webHidden/>
        </w:rPr>
        <w:fldChar w:fldCharType="separate"/>
      </w:r>
      <w:r>
        <w:rPr>
          <w:noProof/>
          <w:webHidden/>
        </w:rPr>
        <w:t>1</w:t>
      </w:r>
      <w:r>
        <w:rPr>
          <w:noProof/>
          <w:webHidden/>
        </w:rPr>
        <w:fldChar w:fldCharType="end"/>
      </w:r>
      <w:r>
        <w:rPr/>
        <w:fldChar w:fldCharType="end"/>
      </w:r>
    </w:p>
    <w:p>
      <w:pPr>
        <w:pStyle w:val="style20"/>
        <w:tabs>
          <w:tab w:val="left" w:leader="none" w:pos="660"/>
          <w:tab w:val="right" w:leader="dot" w:pos="9350"/>
        </w:tabs>
        <w:rPr>
          <w:noProof/>
        </w:rPr>
      </w:pPr>
      <w:r>
        <w:rPr/>
        <w:fldChar w:fldCharType="begin"/>
      </w:r>
      <w:r>
        <w:instrText xml:space="preserve"> HYPERLINK \l "_Toc77793992" </w:instrText>
      </w:r>
      <w:r>
        <w:rPr/>
        <w:fldChar w:fldCharType="separate"/>
      </w:r>
      <w:r>
        <w:rPr>
          <w:rStyle w:val="style85"/>
          <w:noProof/>
        </w:rPr>
        <w:t>A)</w:t>
      </w:r>
      <w:r>
        <w:rPr>
          <w:noProof/>
        </w:rPr>
        <w:tab/>
      </w:r>
      <w:r>
        <w:rPr>
          <w:rStyle w:val="style85"/>
          <w:noProof/>
        </w:rPr>
        <w:t>Profit and Loss Statement and Statement of Financial Position</w:t>
      </w:r>
      <w:r>
        <w:rPr>
          <w:noProof/>
          <w:webHidden/>
        </w:rPr>
        <w:tab/>
      </w:r>
      <w:r>
        <w:rPr>
          <w:noProof/>
          <w:webHidden/>
        </w:rPr>
        <w:fldChar w:fldCharType="begin"/>
      </w:r>
      <w:r>
        <w:rPr>
          <w:noProof/>
          <w:webHidden/>
        </w:rPr>
        <w:instrText xml:space="preserve"> PAGEREF _Toc77793992 \h </w:instrText>
      </w:r>
      <w:r>
        <w:rPr>
          <w:noProof/>
          <w:webHidden/>
        </w:rPr>
        <w:fldChar w:fldCharType="separate"/>
      </w:r>
      <w:r>
        <w:rPr>
          <w:noProof/>
          <w:webHidden/>
        </w:rPr>
        <w:t>1</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"_Toc77793993" </w:instrText>
      </w:r>
      <w:r>
        <w:rPr/>
        <w:fldChar w:fldCharType="separate"/>
      </w:r>
      <w:r>
        <w:rPr>
          <w:rStyle w:val="style85"/>
          <w:noProof/>
        </w:rPr>
        <w:t>B) Reasons for Why the Statement of Financial Position Balances</w:t>
      </w:r>
      <w:r>
        <w:rPr>
          <w:noProof/>
          <w:webHidden/>
        </w:rPr>
        <w:tab/>
      </w:r>
      <w:r>
        <w:rPr>
          <w:noProof/>
          <w:webHidden/>
        </w:rPr>
        <w:fldChar w:fldCharType="begin"/>
      </w:r>
      <w:r>
        <w:rPr>
          <w:noProof/>
          <w:webHidden/>
        </w:rPr>
        <w:instrText xml:space="preserve"> PAGEREF _Toc77793993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"_Toc77793994" </w:instrText>
      </w:r>
      <w:r>
        <w:rPr/>
        <w:fldChar w:fldCharType="separate"/>
      </w:r>
      <w:r>
        <w:rPr>
          <w:rStyle w:val="style85"/>
          <w:noProof/>
        </w:rPr>
        <w:t>Question 2</w:t>
      </w:r>
      <w:r>
        <w:rPr>
          <w:noProof/>
          <w:webHidden/>
        </w:rPr>
        <w:tab/>
      </w:r>
      <w:r>
        <w:rPr>
          <w:noProof/>
          <w:webHidden/>
        </w:rPr>
        <w:fldChar w:fldCharType="begin"/>
      </w:r>
      <w:r>
        <w:rPr>
          <w:noProof/>
          <w:webHidden/>
        </w:rPr>
        <w:instrText xml:space="preserve"> PAGEREF _Toc77793994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"_Toc77793995" </w:instrText>
      </w:r>
      <w:r>
        <w:rPr/>
        <w:fldChar w:fldCharType="separate"/>
      </w:r>
      <w:r>
        <w:rPr>
          <w:rStyle w:val="style85"/>
          <w:noProof/>
        </w:rPr>
        <w:t>A) Calculating various financial ratios</w:t>
      </w:r>
      <w:r>
        <w:rPr>
          <w:noProof/>
          <w:webHidden/>
        </w:rPr>
        <w:tab/>
      </w:r>
      <w:r>
        <w:rPr>
          <w:noProof/>
          <w:webHidden/>
        </w:rPr>
        <w:fldChar w:fldCharType="begin"/>
      </w:r>
      <w:r>
        <w:rPr>
          <w:noProof/>
          <w:webHidden/>
        </w:rPr>
        <w:instrText xml:space="preserve"> PAGEREF _Toc77793995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"_Toc77793996" </w:instrText>
      </w:r>
      <w:r>
        <w:rPr/>
        <w:fldChar w:fldCharType="separate"/>
      </w:r>
      <w:r>
        <w:rPr>
          <w:rStyle w:val="style85"/>
          <w:noProof/>
        </w:rPr>
        <w:t>B) Commenting on the Financial Performances of Chocco Plc. based on the above Calculations</w:t>
      </w:r>
      <w:r>
        <w:rPr>
          <w:noProof/>
          <w:webHidden/>
        </w:rPr>
        <w:tab/>
      </w:r>
      <w:r>
        <w:rPr>
          <w:noProof/>
          <w:webHidden/>
        </w:rPr>
        <w:fldChar w:fldCharType="begin"/>
      </w:r>
      <w:r>
        <w:rPr>
          <w:noProof/>
          <w:webHidden/>
        </w:rPr>
        <w:instrText xml:space="preserve"> PAGEREF _Toc77793996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"_Toc77793997"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_Toc77793997 \h </w:instrText>
      </w:r>
      <w:r>
        <w:rPr>
          <w:noProof/>
          <w:webHidden/>
        </w:rPr>
        <w:fldChar w:fldCharType="separate"/>
      </w:r>
      <w:r>
        <w:rPr>
          <w:noProof/>
          <w:webHidden/>
        </w:rPr>
        <w:t>15</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1"/>
        <w:rPr/>
        <w:sectPr>
          <w:pgSz w:w="12240" w:h="15840" w:orient="portrait"/>
          <w:pgMar w:top="1440" w:right="1440" w:bottom="1440" w:left="1440" w:header="720" w:footer="720" w:gutter="0"/>
          <w:cols w:space="720"/>
          <w:docGrid w:linePitch="360"/>
        </w:sectPr>
      </w:pPr>
    </w:p>
    <w:bookmarkStart w:id="0" w:name="_Toc77793991"/>
    <w:p>
      <w:pPr>
        <w:pStyle w:val="style1"/>
        <w:rPr/>
      </w:pPr>
      <w:r>
        <w:t>Introduction</w:t>
      </w:r>
    </w:p>
    <w:p>
      <w:pPr>
        <w:pStyle w:val="style0"/>
        <w:rPr/>
      </w:pPr>
      <w:r>
        <w:t xml:space="preserve">The report covers the various perspective of accounting segment of a business </w:t>
      </w:r>
      <w:r>
        <w:t>organsiation</w:t>
      </w:r>
      <w:r>
        <w:t xml:space="preserve">. The report covers the financial statement and reason behinds the financial position statement balance. The report also covers the various ratios of business </w:t>
      </w:r>
      <w:r>
        <w:t>organisation</w:t>
      </w:r>
      <w:r>
        <w:t xml:space="preserve"> and uses of those ratios to determine the financial position.</w:t>
      </w:r>
    </w:p>
    <w:p>
      <w:pPr>
        <w:pStyle w:val="style1"/>
        <w:rPr/>
        <w:sectPr>
          <w:footerReference w:type="default" r:id="rId3"/>
          <w:pgSz w:w="12240" w:h="15840" w:orient="portrait"/>
          <w:pgMar w:top="1440" w:right="1440" w:bottom="1440" w:left="1440" w:header="720" w:footer="720" w:gutter="0"/>
          <w:pgNumType w:start="1"/>
          <w:cols w:space="720"/>
          <w:docGrid w:linePitch="360"/>
        </w:sectPr>
      </w:pPr>
    </w:p>
    <w:p>
      <w:pPr>
        <w:pStyle w:val="style1"/>
        <w:rPr/>
      </w:pPr>
      <w:r>
        <w:t>Question 1</w:t>
      </w:r>
      <w:bookmarkEnd w:id="0"/>
    </w:p>
    <w:bookmarkStart w:id="1" w:name="_Toc77793992"/>
    <w:p>
      <w:pPr>
        <w:pStyle w:val="style2"/>
        <w:numPr>
          <w:ilvl w:val="0"/>
          <w:numId w:val="1"/>
        </w:numPr>
        <w:rPr/>
      </w:pPr>
      <w:r>
        <w:t>Profit and Loss Statement and Statement of Financial Position</w:t>
      </w:r>
      <w:bookmarkEnd w:id="1"/>
    </w:p>
    <w:p>
      <w:pPr>
        <w:pStyle w:val="style0"/>
        <w:spacing w:lineRule="auto" w:line="276"/>
        <w:jc w:val="center"/>
        <w:rPr/>
      </w:pPr>
      <w:r>
        <w:t>Kedison</w:t>
      </w:r>
      <w:r>
        <w:t xml:space="preserve"> Plc</w:t>
      </w:r>
    </w:p>
    <w:p>
      <w:pPr>
        <w:pStyle w:val="style0"/>
        <w:spacing w:lineRule="auto" w:line="276"/>
        <w:jc w:val="center"/>
        <w:rPr/>
      </w:pPr>
      <w:r>
        <w:t>Profit &amp; Loss Statement</w:t>
      </w:r>
    </w:p>
    <w:p>
      <w:pPr>
        <w:pStyle w:val="style0"/>
        <w:spacing w:lineRule="auto" w:line="276"/>
        <w:jc w:val="center"/>
        <w:rPr/>
      </w:pPr>
      <w:r>
        <w:t>For the year ended, 31</w:t>
      </w:r>
      <w:r>
        <w:rPr>
          <w:vertAlign w:val="superscript"/>
        </w:rPr>
        <w:t>st</w:t>
      </w:r>
      <w:r>
        <w:t xml:space="preserve"> December 2020</w:t>
      </w:r>
    </w:p>
    <w:tbl>
      <w:tblPr>
        <w:tblStyle w:val="style154"/>
        <w:tblW w:w="0" w:type="auto"/>
        <w:tblLook w:val="04A0" w:firstRow="1" w:lastRow="0" w:firstColumn="1" w:lastColumn="0" w:noHBand="0" w:noVBand="1"/>
      </w:tblPr>
      <w:tblGrid>
        <w:gridCol w:w="4934"/>
        <w:gridCol w:w="2171"/>
        <w:gridCol w:w="2245"/>
      </w:tblGrid>
      <w:tr>
        <w:trPr>
          <w:trHeight w:val="1115" w:hRule="atLeast"/>
        </w:trPr>
        <w:tc>
          <w:tcPr>
            <w:tcW w:w="4934" w:type="dxa"/>
            <w:tcBorders/>
          </w:tcPr>
          <w:p>
            <w:pPr>
              <w:pStyle w:val="style0"/>
              <w:jc w:val="center"/>
              <w:rPr>
                <w:b/>
                <w:bCs/>
              </w:rPr>
            </w:pPr>
            <w:r>
              <w:rPr>
                <w:b/>
                <w:bCs/>
              </w:rPr>
              <w:t>Particulars</w:t>
            </w:r>
          </w:p>
        </w:tc>
        <w:tc>
          <w:tcPr>
            <w:tcW w:w="2171" w:type="dxa"/>
            <w:tcBorders/>
          </w:tcPr>
          <w:p>
            <w:pPr>
              <w:pStyle w:val="style0"/>
              <w:jc w:val="center"/>
              <w:rPr>
                <w:b/>
                <w:bCs/>
              </w:rPr>
            </w:pPr>
            <w:r>
              <w:rPr>
                <w:b/>
                <w:bCs/>
              </w:rPr>
              <w:t>Amount (UK Pounds)</w:t>
            </w:r>
          </w:p>
        </w:tc>
        <w:tc>
          <w:tcPr>
            <w:tcW w:w="2245" w:type="dxa"/>
            <w:tcBorders/>
          </w:tcPr>
          <w:p>
            <w:pPr>
              <w:pStyle w:val="style0"/>
              <w:jc w:val="center"/>
              <w:rPr>
                <w:b/>
                <w:bCs/>
              </w:rPr>
            </w:pPr>
            <w:r>
              <w:rPr>
                <w:b/>
                <w:bCs/>
              </w:rPr>
              <w:t>Amount (UK Pounds)</w:t>
            </w:r>
          </w:p>
        </w:tc>
      </w:tr>
      <w:tr>
        <w:tblPrEx/>
        <w:trPr/>
        <w:tc>
          <w:tcPr>
            <w:tcW w:w="4934" w:type="dxa"/>
            <w:tcBorders/>
          </w:tcPr>
          <w:p>
            <w:pPr>
              <w:pStyle w:val="style0"/>
              <w:rPr>
                <w:b/>
                <w:bCs/>
                <w:u w:val="single"/>
              </w:rPr>
            </w:pPr>
            <w:r>
              <w:rPr>
                <w:b/>
                <w:bCs/>
                <w:u w:val="single"/>
              </w:rPr>
              <w:t>Sales Revenue:</w:t>
            </w:r>
          </w:p>
          <w:p>
            <w:pPr>
              <w:pStyle w:val="style0"/>
              <w:rPr/>
            </w:pPr>
            <w:r>
              <w:t xml:space="preserve">Sales </w:t>
            </w:r>
          </w:p>
          <w:p>
            <w:pPr>
              <w:pStyle w:val="style0"/>
              <w:rPr/>
            </w:pPr>
            <w:r>
              <w:t xml:space="preserve">(Add): Credit sales of December </w:t>
            </w:r>
          </w:p>
          <w:p>
            <w:pPr>
              <w:pStyle w:val="style0"/>
              <w:rPr/>
            </w:pPr>
          </w:p>
          <w:p>
            <w:pPr>
              <w:pStyle w:val="style0"/>
              <w:rPr>
                <w:b/>
                <w:bCs/>
              </w:rPr>
            </w:pPr>
            <w:r>
              <w:rPr>
                <w:b/>
                <w:bCs/>
              </w:rPr>
              <w:t>Net Sales</w:t>
            </w:r>
          </w:p>
        </w:tc>
        <w:tc>
          <w:tcPr>
            <w:tcW w:w="2171" w:type="dxa"/>
            <w:tcBorders/>
          </w:tcPr>
          <w:p>
            <w:pPr>
              <w:pStyle w:val="style0"/>
              <w:rPr/>
            </w:pPr>
          </w:p>
          <w:p>
            <w:pPr>
              <w:pStyle w:val="style0"/>
              <w:rPr/>
            </w:pPr>
            <w:r>
              <w:t>826,650</w:t>
            </w:r>
          </w:p>
          <w:p>
            <w:pPr>
              <w:pStyle w:val="style0"/>
              <w:pBdr>
                <w:bottom w:val="single" w:sz="12" w:space="1" w:color="auto"/>
              </w:pBdr>
              <w:rPr/>
            </w:pPr>
            <w:r>
              <w:t>980</w:t>
            </w:r>
          </w:p>
          <w:p>
            <w:pPr>
              <w:pStyle w:val="style0"/>
              <w:rPr/>
            </w:pPr>
          </w:p>
        </w:tc>
        <w:tc>
          <w:tcPr>
            <w:tcW w:w="2245" w:type="dxa"/>
            <w:tcBorders/>
          </w:tcPr>
          <w:p>
            <w:pPr>
              <w:pStyle w:val="style0"/>
              <w:rPr/>
            </w:pPr>
          </w:p>
          <w:p>
            <w:pPr>
              <w:pStyle w:val="style0"/>
              <w:rPr/>
            </w:pPr>
          </w:p>
          <w:p>
            <w:pPr>
              <w:pStyle w:val="style0"/>
              <w:rPr/>
            </w:pPr>
          </w:p>
          <w:p>
            <w:pPr>
              <w:pStyle w:val="style0"/>
              <w:rPr/>
            </w:pPr>
          </w:p>
          <w:p>
            <w:pPr>
              <w:pStyle w:val="style0"/>
              <w:rPr>
                <w:b/>
                <w:bCs/>
              </w:rPr>
            </w:pPr>
            <w:r>
              <w:rPr>
                <w:b/>
                <w:bCs/>
              </w:rPr>
              <w:t>827,630</w:t>
            </w:r>
          </w:p>
        </w:tc>
      </w:tr>
      <w:tr>
        <w:tblPrEx/>
        <w:trPr/>
        <w:tc>
          <w:tcPr>
            <w:tcW w:w="4934" w:type="dxa"/>
            <w:tcBorders/>
          </w:tcPr>
          <w:p>
            <w:pPr>
              <w:pStyle w:val="style0"/>
              <w:rPr/>
            </w:pPr>
            <w:r>
              <w:t>Less: Costs of goods sold</w:t>
            </w:r>
          </w:p>
        </w:tc>
        <w:tc>
          <w:tcPr>
            <w:tcW w:w="2171" w:type="dxa"/>
            <w:tcBorders/>
          </w:tcPr>
          <w:p>
            <w:pPr>
              <w:pStyle w:val="style0"/>
              <w:rPr/>
            </w:pPr>
          </w:p>
        </w:tc>
        <w:tc>
          <w:tcPr>
            <w:tcW w:w="2245" w:type="dxa"/>
            <w:tcBorders/>
          </w:tcPr>
          <w:p>
            <w:pPr>
              <w:pStyle w:val="style0"/>
              <w:rPr/>
            </w:pPr>
            <w:r>
              <w:t>(578,650)</w:t>
            </w:r>
          </w:p>
        </w:tc>
      </w:tr>
      <w:tr>
        <w:tblPrEx/>
        <w:trPr/>
        <w:tc>
          <w:tcPr>
            <w:tcW w:w="4934" w:type="dxa"/>
            <w:tcBorders/>
          </w:tcPr>
          <w:p>
            <w:pPr>
              <w:pStyle w:val="style0"/>
              <w:rPr>
                <w:b/>
                <w:bCs/>
              </w:rPr>
            </w:pPr>
            <w:r>
              <w:rPr>
                <w:b/>
                <w:bCs/>
              </w:rPr>
              <w:t>Gross Profit</w:t>
            </w:r>
          </w:p>
        </w:tc>
        <w:tc>
          <w:tcPr>
            <w:tcW w:w="2171" w:type="dxa"/>
            <w:tcBorders/>
          </w:tcPr>
          <w:p>
            <w:pPr>
              <w:pStyle w:val="style0"/>
              <w:rPr/>
            </w:pPr>
          </w:p>
        </w:tc>
        <w:tc>
          <w:tcPr>
            <w:tcW w:w="2245" w:type="dxa"/>
            <w:tcBorders/>
          </w:tcPr>
          <w:p>
            <w:pPr>
              <w:pStyle w:val="style0"/>
              <w:rPr>
                <w:b/>
                <w:bCs/>
              </w:rPr>
            </w:pPr>
            <w:r>
              <w:rPr>
                <w:b/>
                <w:bCs/>
              </w:rPr>
              <w:t>248,980</w:t>
            </w:r>
          </w:p>
        </w:tc>
      </w:tr>
      <w:tr>
        <w:tblPrEx/>
        <w:trPr/>
        <w:tc>
          <w:tcPr>
            <w:tcW w:w="4934" w:type="dxa"/>
            <w:tcBorders/>
          </w:tcPr>
          <w:p>
            <w:pPr>
              <w:pStyle w:val="style0"/>
              <w:rPr>
                <w:b/>
                <w:bCs/>
                <w:u w:val="single"/>
              </w:rPr>
            </w:pPr>
            <w:r>
              <w:rPr>
                <w:b/>
                <w:bCs/>
                <w:u w:val="single"/>
              </w:rPr>
              <w:t xml:space="preserve">Less: </w:t>
            </w:r>
            <w:r>
              <w:rPr>
                <w:b/>
                <w:bCs/>
                <w:u w:val="single"/>
              </w:rPr>
              <w:t>Operating Expenses</w:t>
            </w:r>
          </w:p>
          <w:p>
            <w:pPr>
              <w:pStyle w:val="style0"/>
              <w:rPr/>
            </w:pPr>
            <w:r>
              <w:t>Administrative expenses</w:t>
            </w:r>
          </w:p>
          <w:p>
            <w:pPr>
              <w:pStyle w:val="style0"/>
              <w:rPr/>
            </w:pPr>
            <w:r>
              <w:t>Interest expenses</w:t>
            </w:r>
          </w:p>
          <w:p>
            <w:pPr>
              <w:pStyle w:val="style0"/>
              <w:rPr/>
            </w:pPr>
            <w:r>
              <w:t>Directors’ remunerations</w:t>
            </w:r>
          </w:p>
          <w:p>
            <w:pPr>
              <w:pStyle w:val="style0"/>
              <w:rPr/>
            </w:pPr>
            <w:r>
              <w:t>Distribution expenses</w:t>
            </w:r>
          </w:p>
          <w:p>
            <w:pPr>
              <w:pStyle w:val="style0"/>
              <w:rPr/>
            </w:pPr>
            <w:r>
              <w:t xml:space="preserve">Salesmen commission </w:t>
            </w:r>
          </w:p>
          <w:p>
            <w:pPr>
              <w:pStyle w:val="style0"/>
              <w:rPr/>
            </w:pPr>
          </w:p>
          <w:p>
            <w:pPr>
              <w:pStyle w:val="style0"/>
              <w:rPr/>
            </w:pPr>
            <w:r>
              <w:t>Total operating expenses</w:t>
            </w:r>
          </w:p>
          <w:p>
            <w:pPr>
              <w:pStyle w:val="style0"/>
              <w:rPr>
                <w:b/>
                <w:bCs/>
              </w:rPr>
            </w:pPr>
            <w:r>
              <w:rPr>
                <w:b/>
                <w:bCs/>
              </w:rPr>
              <w:t>Net income before Tax</w:t>
            </w:r>
          </w:p>
        </w:tc>
        <w:tc>
          <w:tcPr>
            <w:tcW w:w="2171" w:type="dxa"/>
            <w:tcBorders/>
          </w:tcPr>
          <w:p>
            <w:pPr>
              <w:pStyle w:val="style0"/>
              <w:rPr/>
            </w:pPr>
          </w:p>
          <w:p>
            <w:pPr>
              <w:pStyle w:val="style0"/>
              <w:rPr/>
            </w:pPr>
            <w:r>
              <w:t>30,000</w:t>
            </w:r>
          </w:p>
          <w:p>
            <w:pPr>
              <w:pStyle w:val="style0"/>
              <w:rPr/>
            </w:pPr>
            <w:r>
              <w:t>2,000</w:t>
            </w:r>
          </w:p>
          <w:p>
            <w:pPr>
              <w:pStyle w:val="style0"/>
              <w:rPr/>
            </w:pPr>
            <w:r>
              <w:t>5,000</w:t>
            </w:r>
          </w:p>
          <w:p>
            <w:pPr>
              <w:pStyle w:val="style0"/>
              <w:rPr/>
            </w:pPr>
            <w:r>
              <w:t>28,000</w:t>
            </w:r>
          </w:p>
          <w:p>
            <w:pPr>
              <w:pStyle w:val="style0"/>
              <w:pBdr>
                <w:bottom w:val="single" w:sz="12" w:space="1" w:color="auto"/>
              </w:pBdr>
              <w:rPr/>
            </w:pPr>
            <w:r>
              <w:t>3,000</w:t>
            </w:r>
          </w:p>
          <w:p>
            <w:pPr>
              <w:pStyle w:val="style0"/>
              <w:rPr/>
            </w:pPr>
          </w:p>
        </w:tc>
        <w:tc>
          <w:tcPr>
            <w:tcW w:w="2245" w:type="dxa"/>
            <w:tcBorders/>
          </w:tcPr>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pBdr>
                <w:bottom w:val="single" w:sz="12" w:space="1" w:color="auto"/>
              </w:pBdr>
              <w:rPr/>
            </w:pPr>
            <w:r>
              <w:t>(68,000)</w:t>
            </w:r>
          </w:p>
          <w:p>
            <w:pPr>
              <w:pStyle w:val="style0"/>
              <w:rPr>
                <w:b/>
                <w:bCs/>
              </w:rPr>
            </w:pPr>
            <w:r>
              <w:rPr>
                <w:b/>
                <w:bCs/>
              </w:rPr>
              <w:t>180,980</w:t>
            </w:r>
          </w:p>
        </w:tc>
      </w:tr>
      <w:tr>
        <w:tblPrEx/>
        <w:trPr/>
        <w:tc>
          <w:tcPr>
            <w:tcW w:w="4934" w:type="dxa"/>
            <w:tcBorders/>
          </w:tcPr>
          <w:p>
            <w:pPr>
              <w:pStyle w:val="style0"/>
              <w:rPr/>
            </w:pPr>
            <w:r>
              <w:t>Less: tax expenses</w:t>
            </w:r>
          </w:p>
        </w:tc>
        <w:tc>
          <w:tcPr>
            <w:tcW w:w="2171" w:type="dxa"/>
            <w:tcBorders/>
          </w:tcPr>
          <w:p>
            <w:pPr>
              <w:pStyle w:val="style0"/>
              <w:rPr/>
            </w:pPr>
          </w:p>
        </w:tc>
        <w:tc>
          <w:tcPr>
            <w:tcW w:w="2245" w:type="dxa"/>
            <w:tcBorders/>
          </w:tcPr>
          <w:p>
            <w:pPr>
              <w:pStyle w:val="style0"/>
              <w:rPr/>
            </w:pPr>
            <w:r>
              <w:t>(68,000)</w:t>
            </w:r>
          </w:p>
        </w:tc>
      </w:tr>
      <w:tr>
        <w:tblPrEx/>
        <w:trPr/>
        <w:tc>
          <w:tcPr>
            <w:tcW w:w="4934" w:type="dxa"/>
            <w:tcBorders/>
          </w:tcPr>
          <w:p>
            <w:pPr>
              <w:pStyle w:val="style0"/>
              <w:rPr>
                <w:b/>
                <w:bCs/>
              </w:rPr>
            </w:pPr>
            <w:r>
              <w:rPr>
                <w:b/>
                <w:bCs/>
              </w:rPr>
              <w:t>Net Income After tax</w:t>
            </w:r>
          </w:p>
        </w:tc>
        <w:tc>
          <w:tcPr>
            <w:tcW w:w="2171" w:type="dxa"/>
            <w:tcBorders/>
          </w:tcPr>
          <w:p>
            <w:pPr>
              <w:pStyle w:val="style0"/>
              <w:rPr>
                <w:b/>
                <w:bCs/>
              </w:rPr>
            </w:pPr>
          </w:p>
        </w:tc>
        <w:tc>
          <w:tcPr>
            <w:tcW w:w="2245" w:type="dxa"/>
            <w:tcBorders/>
          </w:tcPr>
          <w:p>
            <w:pPr>
              <w:pStyle w:val="style0"/>
              <w:rPr>
                <w:b/>
                <w:bCs/>
              </w:rPr>
            </w:pPr>
            <w:r>
              <w:rPr>
                <w:b/>
                <w:bCs/>
              </w:rPr>
              <w:t>112,980</w:t>
            </w:r>
          </w:p>
          <w:p>
            <w:pPr>
              <w:pStyle w:val="style0"/>
              <w:pBdr>
                <w:top w:val="single" w:sz="12" w:space="1" w:color="auto"/>
                <w:bottom w:val="single" w:sz="12" w:space="1" w:color="auto"/>
              </w:pBdr>
              <w:rPr>
                <w:b/>
                <w:bCs/>
              </w:rPr>
            </w:pPr>
          </w:p>
          <w:p>
            <w:pPr>
              <w:pStyle w:val="style0"/>
              <w:rPr>
                <w:b/>
                <w:bCs/>
              </w:rPr>
            </w:pPr>
          </w:p>
        </w:tc>
      </w:tr>
    </w:tbl>
    <w:p>
      <w:pPr>
        <w:pStyle w:val="style0"/>
        <w:rPr/>
      </w:pPr>
    </w:p>
    <w:p>
      <w:pPr>
        <w:pStyle w:val="style0"/>
        <w:rPr/>
      </w:pPr>
    </w:p>
    <w:p>
      <w:pPr>
        <w:pStyle w:val="style0"/>
        <w:rPr/>
      </w:pPr>
    </w:p>
    <w:p>
      <w:pPr>
        <w:pStyle w:val="style0"/>
        <w:jc w:val="center"/>
        <w:rPr/>
      </w:pPr>
      <w:r>
        <w:t>Kedison</w:t>
      </w:r>
      <w:r>
        <w:t xml:space="preserve"> Plc</w:t>
      </w:r>
    </w:p>
    <w:p>
      <w:pPr>
        <w:pStyle w:val="style0"/>
        <w:jc w:val="center"/>
        <w:rPr/>
      </w:pPr>
      <w:r>
        <w:t>Statement of Retained Earnings</w:t>
      </w:r>
    </w:p>
    <w:p>
      <w:pPr>
        <w:pStyle w:val="style0"/>
        <w:jc w:val="center"/>
        <w:rPr/>
      </w:pPr>
      <w:r>
        <w:t>For the year ended, 31</w:t>
      </w:r>
      <w:r>
        <w:rPr>
          <w:vertAlign w:val="superscript"/>
        </w:rPr>
        <w:t>st</w:t>
      </w:r>
      <w:r>
        <w:t xml:space="preserve"> December 2020</w:t>
      </w:r>
    </w:p>
    <w:tbl>
      <w:tblPr>
        <w:tblStyle w:val="style154"/>
        <w:tblW w:w="0" w:type="auto"/>
        <w:tblLook w:val="04A0" w:firstRow="1" w:lastRow="0" w:firstColumn="1" w:lastColumn="0" w:noHBand="0" w:noVBand="1"/>
      </w:tblPr>
      <w:tblGrid>
        <w:gridCol w:w="4840"/>
        <w:gridCol w:w="2137"/>
        <w:gridCol w:w="2373"/>
      </w:tblGrid>
      <w:tr>
        <w:trPr/>
        <w:tc>
          <w:tcPr>
            <w:tcW w:w="4840" w:type="dxa"/>
            <w:tcBorders/>
          </w:tcPr>
          <w:p>
            <w:pPr>
              <w:pStyle w:val="style0"/>
              <w:rPr>
                <w:b/>
                <w:bCs/>
              </w:rPr>
            </w:pPr>
            <w:r>
              <w:rPr>
                <w:b/>
                <w:bCs/>
              </w:rPr>
              <w:t>Particulars</w:t>
            </w:r>
          </w:p>
        </w:tc>
        <w:tc>
          <w:tcPr>
            <w:tcW w:w="2137" w:type="dxa"/>
            <w:tcBorders/>
          </w:tcPr>
          <w:p>
            <w:pPr>
              <w:pStyle w:val="style0"/>
              <w:rPr>
                <w:b/>
                <w:bCs/>
              </w:rPr>
            </w:pPr>
          </w:p>
        </w:tc>
        <w:tc>
          <w:tcPr>
            <w:tcW w:w="2373" w:type="dxa"/>
            <w:tcBorders/>
          </w:tcPr>
          <w:p>
            <w:pPr>
              <w:pStyle w:val="style0"/>
              <w:rPr>
                <w:b/>
                <w:bCs/>
              </w:rPr>
            </w:pPr>
            <w:r>
              <w:rPr>
                <w:b/>
                <w:bCs/>
              </w:rPr>
              <w:t>Amount (UK Pounds)</w:t>
            </w:r>
          </w:p>
        </w:tc>
      </w:tr>
      <w:tr>
        <w:tblPrEx/>
        <w:trPr/>
        <w:tc>
          <w:tcPr>
            <w:tcW w:w="4840" w:type="dxa"/>
            <w:tcBorders/>
          </w:tcPr>
          <w:p>
            <w:pPr>
              <w:pStyle w:val="style0"/>
              <w:rPr/>
            </w:pPr>
            <w:r>
              <w:t>Retained profit in January, 2020</w:t>
            </w:r>
          </w:p>
        </w:tc>
        <w:tc>
          <w:tcPr>
            <w:tcW w:w="2137" w:type="dxa"/>
            <w:tcBorders/>
          </w:tcPr>
          <w:p>
            <w:pPr>
              <w:pStyle w:val="style0"/>
              <w:rPr/>
            </w:pPr>
          </w:p>
        </w:tc>
        <w:tc>
          <w:tcPr>
            <w:tcW w:w="2373" w:type="dxa"/>
            <w:tcBorders/>
          </w:tcPr>
          <w:p>
            <w:pPr>
              <w:pStyle w:val="style0"/>
              <w:rPr/>
            </w:pPr>
            <w:r>
              <w:t>132,000</w:t>
            </w:r>
          </w:p>
        </w:tc>
      </w:tr>
      <w:tr>
        <w:tblPrEx/>
        <w:trPr/>
        <w:tc>
          <w:tcPr>
            <w:tcW w:w="4840" w:type="dxa"/>
            <w:tcBorders/>
          </w:tcPr>
          <w:p>
            <w:pPr>
              <w:pStyle w:val="style0"/>
              <w:rPr/>
            </w:pPr>
            <w:r>
              <w:t>Add: Net Income</w:t>
            </w:r>
          </w:p>
        </w:tc>
        <w:tc>
          <w:tcPr>
            <w:tcW w:w="2137" w:type="dxa"/>
            <w:tcBorders/>
          </w:tcPr>
          <w:p>
            <w:pPr>
              <w:pStyle w:val="style0"/>
              <w:rPr/>
            </w:pPr>
          </w:p>
        </w:tc>
        <w:tc>
          <w:tcPr>
            <w:tcW w:w="2373" w:type="dxa"/>
            <w:tcBorders/>
          </w:tcPr>
          <w:p>
            <w:pPr>
              <w:pStyle w:val="style0"/>
              <w:rPr/>
            </w:pPr>
            <w:r>
              <w:t>112,980</w:t>
            </w:r>
          </w:p>
        </w:tc>
      </w:tr>
      <w:tr>
        <w:tblPrEx/>
        <w:trPr/>
        <w:tc>
          <w:tcPr>
            <w:tcW w:w="4840" w:type="dxa"/>
            <w:tcBorders/>
          </w:tcPr>
          <w:p>
            <w:pPr>
              <w:pStyle w:val="style0"/>
              <w:rPr>
                <w:b/>
                <w:bCs/>
                <w:u w:val="single"/>
              </w:rPr>
            </w:pPr>
            <w:r>
              <w:rPr>
                <w:b/>
                <w:bCs/>
                <w:u w:val="single"/>
              </w:rPr>
              <w:t>Less: Dividends</w:t>
            </w:r>
          </w:p>
          <w:p>
            <w:pPr>
              <w:pStyle w:val="style0"/>
              <w:rPr/>
            </w:pPr>
            <w:r>
              <w:t>Ordinary stock dividend</w:t>
            </w:r>
          </w:p>
          <w:p>
            <w:pPr>
              <w:pStyle w:val="style0"/>
              <w:rPr/>
            </w:pPr>
            <w:r>
              <w:t>Preferred stock dividend</w:t>
            </w:r>
          </w:p>
        </w:tc>
        <w:tc>
          <w:tcPr>
            <w:tcW w:w="2137" w:type="dxa"/>
            <w:tcBorders/>
          </w:tcPr>
          <w:p>
            <w:pPr>
              <w:pStyle w:val="style0"/>
              <w:rPr/>
            </w:pPr>
          </w:p>
          <w:p>
            <w:pPr>
              <w:pStyle w:val="style0"/>
              <w:rPr/>
            </w:pPr>
            <w:r>
              <w:t>20,000</w:t>
            </w:r>
          </w:p>
          <w:p>
            <w:pPr>
              <w:pStyle w:val="style0"/>
              <w:pBdr>
                <w:bottom w:val="single" w:sz="12" w:space="1" w:color="auto"/>
              </w:pBdr>
              <w:rPr/>
            </w:pPr>
            <w:r>
              <w:t>30,000</w:t>
            </w:r>
          </w:p>
          <w:p>
            <w:pPr>
              <w:pStyle w:val="style0"/>
              <w:rPr/>
            </w:pPr>
          </w:p>
        </w:tc>
        <w:tc>
          <w:tcPr>
            <w:tcW w:w="2373" w:type="dxa"/>
            <w:tcBorders/>
          </w:tcPr>
          <w:p>
            <w:pPr>
              <w:pStyle w:val="style0"/>
              <w:rPr/>
            </w:pPr>
          </w:p>
          <w:p>
            <w:pPr>
              <w:pStyle w:val="style0"/>
              <w:rPr/>
            </w:pPr>
          </w:p>
          <w:p>
            <w:pPr>
              <w:pStyle w:val="style0"/>
              <w:rPr/>
            </w:pPr>
          </w:p>
          <w:p>
            <w:pPr>
              <w:pStyle w:val="style0"/>
              <w:rPr/>
            </w:pPr>
            <w:r>
              <w:t>(50,000)</w:t>
            </w:r>
          </w:p>
        </w:tc>
      </w:tr>
      <w:tr>
        <w:tblPrEx/>
        <w:trPr/>
        <w:tc>
          <w:tcPr>
            <w:tcW w:w="4840" w:type="dxa"/>
            <w:tcBorders/>
          </w:tcPr>
          <w:p>
            <w:pPr>
              <w:pStyle w:val="style0"/>
              <w:rPr>
                <w:b/>
                <w:bCs/>
              </w:rPr>
            </w:pPr>
            <w:r>
              <w:rPr>
                <w:b/>
                <w:bCs/>
              </w:rPr>
              <w:t>Retained Profit in December, 2020</w:t>
            </w:r>
          </w:p>
        </w:tc>
        <w:tc>
          <w:tcPr>
            <w:tcW w:w="2137" w:type="dxa"/>
            <w:tcBorders/>
          </w:tcPr>
          <w:p>
            <w:pPr>
              <w:pStyle w:val="style0"/>
              <w:rPr>
                <w:b/>
                <w:bCs/>
              </w:rPr>
            </w:pPr>
          </w:p>
        </w:tc>
        <w:tc>
          <w:tcPr>
            <w:tcW w:w="2373" w:type="dxa"/>
            <w:tcBorders/>
          </w:tcPr>
          <w:p>
            <w:pPr>
              <w:pStyle w:val="style0"/>
              <w:rPr>
                <w:b/>
                <w:bCs/>
              </w:rPr>
            </w:pPr>
            <w:r>
              <w:rPr>
                <w:b/>
                <w:bCs/>
              </w:rPr>
              <w:t>194,980</w:t>
            </w:r>
          </w:p>
        </w:tc>
      </w:tr>
    </w:tbl>
    <w:p>
      <w:pPr>
        <w:pStyle w:val="style0"/>
        <w:rPr/>
      </w:pPr>
    </w:p>
    <w:p>
      <w:pPr>
        <w:pStyle w:val="style0"/>
        <w:rPr/>
      </w:pPr>
    </w:p>
    <w:p>
      <w:pPr>
        <w:pStyle w:val="style0"/>
        <w:rPr/>
      </w:pPr>
    </w:p>
    <w:p>
      <w:pPr>
        <w:pStyle w:val="style0"/>
        <w:jc w:val="center"/>
        <w:rPr/>
      </w:pPr>
      <w:r>
        <w:t>Kedison</w:t>
      </w:r>
      <w:r>
        <w:t xml:space="preserve"> Plc</w:t>
      </w:r>
    </w:p>
    <w:p>
      <w:pPr>
        <w:pStyle w:val="style0"/>
        <w:jc w:val="center"/>
        <w:rPr/>
      </w:pPr>
      <w:r>
        <w:t>Statement of Financial Position</w:t>
      </w:r>
    </w:p>
    <w:p>
      <w:pPr>
        <w:pStyle w:val="style0"/>
        <w:jc w:val="center"/>
        <w:rPr/>
      </w:pPr>
      <w:r>
        <w:t>For the year ended, 31</w:t>
      </w:r>
      <w:r>
        <w:rPr>
          <w:vertAlign w:val="superscript"/>
        </w:rPr>
        <w:t>st</w:t>
      </w:r>
      <w:r>
        <w:t xml:space="preserve"> December 2020</w:t>
      </w:r>
    </w:p>
    <w:tbl>
      <w:tblPr>
        <w:tblStyle w:val="style154"/>
        <w:tblW w:w="0" w:type="auto"/>
        <w:tblLook w:val="04A0" w:firstRow="1" w:lastRow="0" w:firstColumn="1" w:lastColumn="0" w:noHBand="0" w:noVBand="1"/>
      </w:tblPr>
      <w:tblGrid>
        <w:gridCol w:w="4135"/>
        <w:gridCol w:w="1800"/>
        <w:gridCol w:w="1800"/>
        <w:gridCol w:w="1615"/>
      </w:tblGrid>
      <w:tr>
        <w:trPr/>
        <w:tc>
          <w:tcPr>
            <w:tcW w:w="4135" w:type="dxa"/>
            <w:tcBorders/>
          </w:tcPr>
          <w:p>
            <w:pPr>
              <w:pStyle w:val="style0"/>
              <w:rPr>
                <w:b/>
                <w:bCs/>
              </w:rPr>
            </w:pPr>
            <w:r>
              <w:rPr>
                <w:b/>
                <w:bCs/>
              </w:rPr>
              <w:t>Particulars</w:t>
            </w:r>
          </w:p>
        </w:tc>
        <w:tc>
          <w:tcPr>
            <w:tcW w:w="1800" w:type="dxa"/>
            <w:tcBorders/>
          </w:tcPr>
          <w:p>
            <w:pPr>
              <w:pStyle w:val="style0"/>
              <w:rPr>
                <w:b/>
                <w:bCs/>
              </w:rPr>
            </w:pPr>
            <w:r>
              <w:rPr>
                <w:b/>
                <w:bCs/>
              </w:rPr>
              <w:t>Amount (UK Pounds)</w:t>
            </w:r>
          </w:p>
        </w:tc>
        <w:tc>
          <w:tcPr>
            <w:tcW w:w="1800" w:type="dxa"/>
            <w:tcBorders/>
          </w:tcPr>
          <w:p>
            <w:pPr>
              <w:pStyle w:val="style0"/>
              <w:rPr>
                <w:b/>
                <w:bCs/>
              </w:rPr>
            </w:pPr>
            <w:r>
              <w:rPr>
                <w:b/>
                <w:bCs/>
              </w:rPr>
              <w:t>Amount (UK Pounds)</w:t>
            </w:r>
          </w:p>
        </w:tc>
        <w:tc>
          <w:tcPr>
            <w:tcW w:w="1615" w:type="dxa"/>
            <w:tcBorders/>
          </w:tcPr>
          <w:p>
            <w:pPr>
              <w:pStyle w:val="style0"/>
              <w:rPr>
                <w:b/>
                <w:bCs/>
              </w:rPr>
            </w:pPr>
            <w:r>
              <w:rPr>
                <w:b/>
                <w:bCs/>
              </w:rPr>
              <w:t>Amount (UK Pounds)</w:t>
            </w:r>
          </w:p>
        </w:tc>
      </w:tr>
      <w:tr>
        <w:tblPrEx/>
        <w:trPr/>
        <w:tc>
          <w:tcPr>
            <w:tcW w:w="4135" w:type="dxa"/>
            <w:tcBorders/>
          </w:tcPr>
          <w:p>
            <w:pPr>
              <w:pStyle w:val="style0"/>
              <w:rPr/>
            </w:pPr>
            <w:r>
              <w:t>Equity and Liabilities</w:t>
            </w:r>
          </w:p>
        </w:tc>
        <w:tc>
          <w:tcPr>
            <w:tcW w:w="1800" w:type="dxa"/>
            <w:tcBorders/>
          </w:tcPr>
          <w:p>
            <w:pPr>
              <w:pStyle w:val="style0"/>
              <w:rPr/>
            </w:pPr>
          </w:p>
        </w:tc>
        <w:tc>
          <w:tcPr>
            <w:tcW w:w="1800" w:type="dxa"/>
            <w:tcBorders/>
          </w:tcPr>
          <w:p>
            <w:pPr>
              <w:pStyle w:val="style0"/>
              <w:rPr/>
            </w:pPr>
          </w:p>
        </w:tc>
        <w:tc>
          <w:tcPr>
            <w:tcW w:w="1615" w:type="dxa"/>
            <w:tcBorders/>
          </w:tcPr>
          <w:p>
            <w:pPr>
              <w:pStyle w:val="style0"/>
              <w:rPr/>
            </w:pPr>
          </w:p>
        </w:tc>
      </w:tr>
      <w:tr>
        <w:tblPrEx/>
        <w:trPr/>
        <w:tc>
          <w:tcPr>
            <w:tcW w:w="4135" w:type="dxa"/>
            <w:tcBorders/>
          </w:tcPr>
          <w:p>
            <w:pPr>
              <w:pStyle w:val="style0"/>
              <w:rPr>
                <w:b/>
                <w:bCs/>
                <w:u w:val="single"/>
              </w:rPr>
            </w:pPr>
            <w:r>
              <w:rPr>
                <w:b/>
                <w:bCs/>
                <w:u w:val="single"/>
              </w:rPr>
              <w:t>Shareholder’s Equity:</w:t>
            </w:r>
          </w:p>
          <w:p>
            <w:pPr>
              <w:pStyle w:val="style0"/>
              <w:rPr/>
            </w:pPr>
            <w:r>
              <w:t xml:space="preserve">Equity on December </w:t>
            </w:r>
          </w:p>
          <w:p>
            <w:pPr>
              <w:pStyle w:val="style0"/>
              <w:rPr/>
            </w:pPr>
            <w:r>
              <w:t xml:space="preserve">Retained earnings </w:t>
            </w:r>
          </w:p>
          <w:p>
            <w:pPr>
              <w:pStyle w:val="style0"/>
              <w:rPr/>
            </w:pPr>
            <w:r>
              <w:t>Total shareholder’s equity</w:t>
            </w:r>
          </w:p>
        </w:tc>
        <w:tc>
          <w:tcPr>
            <w:tcW w:w="1800" w:type="dxa"/>
            <w:tcBorders/>
          </w:tcPr>
          <w:p>
            <w:pPr>
              <w:pStyle w:val="style0"/>
              <w:pBdr>
                <w:bottom w:val="single" w:sz="12" w:space="1" w:color="auto"/>
              </w:pBdr>
              <w:rPr/>
            </w:pPr>
          </w:p>
        </w:tc>
        <w:tc>
          <w:tcPr>
            <w:tcW w:w="1800" w:type="dxa"/>
            <w:tcBorders/>
          </w:tcPr>
          <w:p>
            <w:pPr>
              <w:pStyle w:val="style0"/>
              <w:rPr/>
            </w:pPr>
          </w:p>
          <w:p>
            <w:pPr>
              <w:pStyle w:val="style0"/>
              <w:pBdr>
                <w:bottom w:val="single" w:sz="12" w:space="1" w:color="auto"/>
              </w:pBdr>
              <w:rPr/>
            </w:pPr>
            <w:r>
              <w:t>330,600</w:t>
            </w:r>
          </w:p>
          <w:p>
            <w:pPr>
              <w:pStyle w:val="style0"/>
              <w:pBdr>
                <w:bottom w:val="single" w:sz="12" w:space="1" w:color="auto"/>
              </w:pBdr>
              <w:rPr/>
            </w:pPr>
            <w:r>
              <w:t>194,980</w:t>
            </w:r>
          </w:p>
        </w:tc>
        <w:tc>
          <w:tcPr>
            <w:tcW w:w="1615" w:type="dxa"/>
            <w:tcBorders/>
          </w:tcPr>
          <w:p>
            <w:pPr>
              <w:pStyle w:val="style0"/>
              <w:rPr/>
            </w:pPr>
          </w:p>
          <w:p>
            <w:pPr>
              <w:pStyle w:val="style0"/>
              <w:rPr/>
            </w:pPr>
          </w:p>
          <w:p>
            <w:pPr>
              <w:pStyle w:val="style0"/>
              <w:rPr/>
            </w:pPr>
          </w:p>
          <w:p>
            <w:pPr>
              <w:pStyle w:val="style0"/>
              <w:rPr/>
            </w:pPr>
          </w:p>
          <w:p>
            <w:pPr>
              <w:pStyle w:val="style0"/>
              <w:rPr/>
            </w:pPr>
            <w:r>
              <w:t>525,5</w:t>
            </w:r>
            <w:r>
              <w:t>80</w:t>
            </w:r>
          </w:p>
        </w:tc>
      </w:tr>
      <w:tr>
        <w:tblPrEx/>
        <w:trPr/>
        <w:tc>
          <w:tcPr>
            <w:tcW w:w="4135" w:type="dxa"/>
            <w:tcBorders/>
          </w:tcPr>
          <w:p>
            <w:pPr>
              <w:pStyle w:val="style0"/>
              <w:rPr>
                <w:b/>
                <w:bCs/>
                <w:u w:val="single"/>
              </w:rPr>
            </w:pPr>
            <w:r>
              <w:rPr>
                <w:b/>
                <w:bCs/>
                <w:u w:val="single"/>
              </w:rPr>
              <w:t>Liabilities:</w:t>
            </w:r>
          </w:p>
          <w:p>
            <w:pPr>
              <w:pStyle w:val="style0"/>
              <w:rPr/>
            </w:pPr>
            <w:r>
              <w:t>Non-current Liabilities:</w:t>
            </w:r>
          </w:p>
          <w:p>
            <w:pPr>
              <w:pStyle w:val="style0"/>
              <w:rPr/>
            </w:pPr>
            <w:r>
              <w:t>4% debentures</w:t>
            </w:r>
          </w:p>
          <w:p>
            <w:pPr>
              <w:pStyle w:val="style0"/>
              <w:rPr/>
            </w:pPr>
            <w:r>
              <w:t>Current Liabilities:</w:t>
            </w:r>
          </w:p>
          <w:p>
            <w:pPr>
              <w:pStyle w:val="style0"/>
              <w:rPr/>
            </w:pPr>
            <w:r>
              <w:t>Trade creditors</w:t>
            </w:r>
          </w:p>
          <w:p>
            <w:pPr>
              <w:pStyle w:val="style0"/>
              <w:rPr/>
            </w:pPr>
            <w:r>
              <w:t xml:space="preserve">Due commission </w:t>
            </w:r>
          </w:p>
          <w:p>
            <w:pPr>
              <w:pStyle w:val="style0"/>
              <w:rPr/>
            </w:pPr>
            <w:r>
              <w:t>Tax payable</w:t>
            </w:r>
          </w:p>
          <w:p>
            <w:pPr>
              <w:pStyle w:val="style0"/>
              <w:rPr/>
            </w:pPr>
            <w:r>
              <w:t>Total Liabilities</w:t>
            </w:r>
          </w:p>
          <w:p>
            <w:pPr>
              <w:pStyle w:val="style0"/>
              <w:rPr/>
            </w:pPr>
            <w:r>
              <w:t>Total shareholder’s equity and liabilities</w:t>
            </w:r>
          </w:p>
        </w:tc>
        <w:tc>
          <w:tcPr>
            <w:tcW w:w="1800" w:type="dxa"/>
            <w:tcBorders/>
          </w:tcPr>
          <w:p>
            <w:pPr>
              <w:pStyle w:val="style0"/>
              <w:rPr/>
            </w:pPr>
          </w:p>
          <w:p>
            <w:pPr>
              <w:pStyle w:val="style0"/>
              <w:rPr/>
            </w:pPr>
          </w:p>
          <w:p>
            <w:pPr>
              <w:pStyle w:val="style0"/>
              <w:rPr/>
            </w:pPr>
          </w:p>
        </w:tc>
        <w:tc>
          <w:tcPr>
            <w:tcW w:w="1800" w:type="dxa"/>
            <w:tcBorders/>
          </w:tcPr>
          <w:p>
            <w:pPr>
              <w:pStyle w:val="style0"/>
              <w:rPr/>
            </w:pPr>
          </w:p>
          <w:p>
            <w:pPr>
              <w:pStyle w:val="style0"/>
              <w:rPr/>
            </w:pPr>
          </w:p>
          <w:p>
            <w:pPr>
              <w:pStyle w:val="style0"/>
              <w:rPr/>
            </w:pPr>
            <w:r>
              <w:t>100,000</w:t>
            </w:r>
          </w:p>
          <w:p>
            <w:pPr>
              <w:pStyle w:val="style0"/>
              <w:rPr/>
            </w:pPr>
          </w:p>
          <w:p>
            <w:pPr>
              <w:pStyle w:val="style0"/>
              <w:rPr/>
            </w:pPr>
            <w:r>
              <w:t>171,355</w:t>
            </w:r>
          </w:p>
          <w:p>
            <w:pPr>
              <w:pStyle w:val="style0"/>
              <w:pBdr>
                <w:bottom w:val="single" w:sz="12" w:space="1" w:color="auto"/>
              </w:pBdr>
              <w:rPr/>
            </w:pPr>
            <w:r>
              <w:t>3,000</w:t>
            </w:r>
          </w:p>
          <w:p>
            <w:pPr>
              <w:pStyle w:val="style0"/>
              <w:pBdr>
                <w:bottom w:val="single" w:sz="12" w:space="1" w:color="auto"/>
              </w:pBdr>
              <w:rPr/>
            </w:pPr>
            <w:r>
              <w:t>68,000</w:t>
            </w:r>
          </w:p>
        </w:tc>
        <w:tc>
          <w:tcPr>
            <w:tcW w:w="1615" w:type="dxa"/>
            <w:tcBorders/>
          </w:tcPr>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r>
              <w:t>339</w:t>
            </w:r>
            <w:r>
              <w:t>,355</w:t>
            </w:r>
          </w:p>
          <w:p>
            <w:pPr>
              <w:pStyle w:val="style0"/>
              <w:pBdr>
                <w:top w:val="single" w:sz="12" w:space="1" w:color="auto"/>
                <w:bottom w:val="single" w:sz="12" w:space="1" w:color="auto"/>
              </w:pBdr>
              <w:rPr/>
            </w:pPr>
            <w:r>
              <w:t>864,9</w:t>
            </w:r>
            <w:r>
              <w:t>35</w:t>
            </w:r>
          </w:p>
        </w:tc>
      </w:tr>
      <w:tr>
        <w:tblPrEx/>
        <w:trPr/>
        <w:tc>
          <w:tcPr>
            <w:tcW w:w="4135" w:type="dxa"/>
            <w:tcBorders/>
          </w:tcPr>
          <w:p>
            <w:pPr>
              <w:pStyle w:val="style0"/>
              <w:rPr/>
            </w:pPr>
            <w:r>
              <w:t>Assets</w:t>
            </w:r>
          </w:p>
        </w:tc>
        <w:tc>
          <w:tcPr>
            <w:tcW w:w="1800" w:type="dxa"/>
            <w:tcBorders/>
          </w:tcPr>
          <w:p>
            <w:pPr>
              <w:pStyle w:val="style0"/>
              <w:rPr/>
            </w:pPr>
          </w:p>
        </w:tc>
        <w:tc>
          <w:tcPr>
            <w:tcW w:w="1800" w:type="dxa"/>
            <w:tcBorders/>
          </w:tcPr>
          <w:p>
            <w:pPr>
              <w:pStyle w:val="style0"/>
              <w:rPr/>
            </w:pPr>
          </w:p>
        </w:tc>
        <w:tc>
          <w:tcPr>
            <w:tcW w:w="1615" w:type="dxa"/>
            <w:tcBorders/>
          </w:tcPr>
          <w:p>
            <w:pPr>
              <w:pStyle w:val="style0"/>
              <w:rPr/>
            </w:pPr>
          </w:p>
        </w:tc>
      </w:tr>
      <w:tr>
        <w:tblPrEx/>
        <w:trPr/>
        <w:tc>
          <w:tcPr>
            <w:tcW w:w="4135" w:type="dxa"/>
            <w:tcBorders/>
          </w:tcPr>
          <w:p>
            <w:pPr>
              <w:pStyle w:val="style0"/>
              <w:rPr/>
            </w:pPr>
            <w:r>
              <w:t>Fixed Assets:</w:t>
            </w:r>
          </w:p>
          <w:p>
            <w:pPr>
              <w:pStyle w:val="style0"/>
              <w:rPr/>
            </w:pPr>
            <w:r>
              <w:t>Plant and equipment</w:t>
            </w:r>
          </w:p>
        </w:tc>
        <w:tc>
          <w:tcPr>
            <w:tcW w:w="1800" w:type="dxa"/>
            <w:tcBorders/>
          </w:tcPr>
          <w:p>
            <w:pPr>
              <w:pStyle w:val="style0"/>
              <w:rPr/>
            </w:pPr>
          </w:p>
        </w:tc>
        <w:tc>
          <w:tcPr>
            <w:tcW w:w="1800" w:type="dxa"/>
            <w:tcBorders/>
          </w:tcPr>
          <w:p>
            <w:pPr>
              <w:pStyle w:val="style0"/>
              <w:rPr/>
            </w:pPr>
          </w:p>
          <w:p>
            <w:pPr>
              <w:pStyle w:val="style0"/>
              <w:rPr/>
            </w:pPr>
            <w:r>
              <w:t>632,730</w:t>
            </w:r>
          </w:p>
        </w:tc>
        <w:tc>
          <w:tcPr>
            <w:tcW w:w="1615" w:type="dxa"/>
            <w:tcBorders/>
          </w:tcPr>
          <w:p>
            <w:pPr>
              <w:pStyle w:val="style0"/>
              <w:rPr/>
            </w:pPr>
          </w:p>
        </w:tc>
      </w:tr>
      <w:tr>
        <w:tblPrEx/>
        <w:trPr/>
        <w:tc>
          <w:tcPr>
            <w:tcW w:w="4135" w:type="dxa"/>
            <w:tcBorders/>
          </w:tcPr>
          <w:p>
            <w:pPr>
              <w:pStyle w:val="style0"/>
              <w:rPr/>
            </w:pPr>
            <w:r>
              <w:t>Current Assets:</w:t>
            </w:r>
          </w:p>
          <w:p>
            <w:pPr>
              <w:pStyle w:val="style0"/>
              <w:rPr/>
            </w:pPr>
            <w:r>
              <w:t>Debtors</w:t>
            </w:r>
          </w:p>
          <w:p>
            <w:pPr>
              <w:pStyle w:val="style0"/>
              <w:rPr/>
            </w:pPr>
            <w:r>
              <w:t>Add: Credit sales</w:t>
            </w:r>
          </w:p>
          <w:p>
            <w:pPr>
              <w:pStyle w:val="style0"/>
              <w:rPr/>
            </w:pPr>
            <w:r>
              <w:t>Net Debtors</w:t>
            </w:r>
          </w:p>
          <w:p>
            <w:pPr>
              <w:pStyle w:val="style0"/>
              <w:rPr/>
            </w:pPr>
            <w:r>
              <w:t>Cash and Bank</w:t>
            </w:r>
          </w:p>
        </w:tc>
        <w:tc>
          <w:tcPr>
            <w:tcW w:w="1800" w:type="dxa"/>
            <w:tcBorders/>
          </w:tcPr>
          <w:p>
            <w:pPr>
              <w:pStyle w:val="style0"/>
              <w:rPr/>
            </w:pPr>
          </w:p>
          <w:p>
            <w:pPr>
              <w:pStyle w:val="style0"/>
              <w:rPr/>
            </w:pPr>
            <w:r>
              <w:t>170,125</w:t>
            </w:r>
          </w:p>
          <w:p>
            <w:pPr>
              <w:pStyle w:val="style0"/>
              <w:pBdr>
                <w:bottom w:val="single" w:sz="12" w:space="1" w:color="auto"/>
              </w:pBdr>
              <w:rPr/>
            </w:pPr>
            <w:r>
              <w:t>980</w:t>
            </w:r>
          </w:p>
          <w:p>
            <w:pPr>
              <w:pStyle w:val="style0"/>
              <w:rPr/>
            </w:pPr>
          </w:p>
        </w:tc>
        <w:tc>
          <w:tcPr>
            <w:tcW w:w="1800" w:type="dxa"/>
            <w:tcBorders/>
          </w:tcPr>
          <w:p>
            <w:pPr>
              <w:pStyle w:val="style0"/>
              <w:rPr/>
            </w:pPr>
          </w:p>
          <w:p>
            <w:pPr>
              <w:pStyle w:val="style0"/>
              <w:rPr/>
            </w:pPr>
          </w:p>
          <w:p>
            <w:pPr>
              <w:pStyle w:val="style0"/>
              <w:rPr/>
            </w:pPr>
          </w:p>
          <w:p>
            <w:pPr>
              <w:pStyle w:val="style0"/>
              <w:rPr/>
            </w:pPr>
            <w:r>
              <w:t>171,105</w:t>
            </w:r>
          </w:p>
          <w:p>
            <w:pPr>
              <w:pStyle w:val="style0"/>
              <w:pBdr>
                <w:bottom w:val="single" w:sz="12" w:space="1" w:color="auto"/>
              </w:pBdr>
              <w:rPr/>
            </w:pPr>
            <w:r>
              <w:t>12,900</w:t>
            </w:r>
          </w:p>
        </w:tc>
        <w:tc>
          <w:tcPr>
            <w:tcW w:w="1615" w:type="dxa"/>
            <w:tcBorders/>
          </w:tcPr>
          <w:p>
            <w:pPr>
              <w:pStyle w:val="style0"/>
              <w:rPr/>
            </w:pPr>
          </w:p>
        </w:tc>
      </w:tr>
      <w:tr>
        <w:tblPrEx/>
        <w:trPr/>
        <w:tc>
          <w:tcPr>
            <w:tcW w:w="4135" w:type="dxa"/>
            <w:tcBorders/>
          </w:tcPr>
          <w:p>
            <w:pPr>
              <w:pStyle w:val="style0"/>
              <w:rPr/>
            </w:pPr>
            <w:r>
              <w:t>Total Assets</w:t>
            </w:r>
          </w:p>
        </w:tc>
        <w:tc>
          <w:tcPr>
            <w:tcW w:w="1800" w:type="dxa"/>
            <w:tcBorders/>
          </w:tcPr>
          <w:p>
            <w:pPr>
              <w:pStyle w:val="style0"/>
              <w:rPr/>
            </w:pPr>
          </w:p>
        </w:tc>
        <w:tc>
          <w:tcPr>
            <w:tcW w:w="1800" w:type="dxa"/>
            <w:tcBorders/>
          </w:tcPr>
          <w:p>
            <w:pPr>
              <w:pStyle w:val="style0"/>
              <w:rPr/>
            </w:pPr>
          </w:p>
        </w:tc>
        <w:tc>
          <w:tcPr>
            <w:tcW w:w="1615" w:type="dxa"/>
            <w:tcBorders/>
          </w:tcPr>
          <w:p>
            <w:pPr>
              <w:pStyle w:val="style0"/>
              <w:pBdr>
                <w:bottom w:val="single" w:sz="12" w:space="1" w:color="auto"/>
              </w:pBdr>
              <w:rPr/>
            </w:pPr>
            <w:r>
              <w:t>8</w:t>
            </w:r>
            <w:r>
              <w:t>64</w:t>
            </w:r>
            <w:r>
              <w:t>,</w:t>
            </w:r>
            <w:r>
              <w:t>9</w:t>
            </w:r>
            <w:r>
              <w:t>35</w:t>
            </w:r>
          </w:p>
        </w:tc>
      </w:tr>
      <w:bookmarkStart w:id="2" w:name="_Toc77793993"/>
    </w:tbl>
    <w:p>
      <w:pPr>
        <w:pStyle w:val="style2"/>
        <w:rPr/>
      </w:pPr>
      <w:r>
        <w:t>B)</w:t>
      </w:r>
      <w:r>
        <w:t xml:space="preserve"> Reasons for Why the Statement of Financial Position Balances</w:t>
      </w:r>
      <w:bookmarkEnd w:id="2"/>
    </w:p>
    <w:p>
      <w:pPr>
        <w:pStyle w:val="style0"/>
        <w:rPr/>
      </w:pPr>
      <w:r>
        <w:t>Statement of financial position is also called the balance sheet which shows the financial health of an entity and it is provided to the outsiders so that they can get a clear picture of the financial performances of the company to take quick and effective decisions regarding the entity</w:t>
      </w:r>
      <w:r>
        <w:t xml:space="preserve"> </w:t>
      </w:r>
      <w:r>
        <w:t>(Barnes and Warman, 2019)</w:t>
      </w:r>
      <w:r>
        <w:t>. The decision</w:t>
      </w:r>
      <w:r>
        <w:t>-</w:t>
      </w:r>
      <w:r>
        <w:t xml:space="preserve">makers can get the actual and trendy data and information of several years that supports their decisions. </w:t>
      </w:r>
      <w:r>
        <w:t>The balances of the statement of financial position help the decision</w:t>
      </w:r>
      <w:r>
        <w:t>-</w:t>
      </w:r>
      <w:r>
        <w:t>makers to calculate the business risk, financial risk, liquidity risk, and debt risk</w:t>
      </w:r>
      <w:r>
        <w:t>,</w:t>
      </w:r>
      <w:r>
        <w:t xml:space="preserve"> </w:t>
      </w:r>
      <w:r>
        <w:t>and some other issues like the profitability, solvency, efficiency, etc. so that they can find the business entity reliable</w:t>
      </w:r>
      <w:r>
        <w:t xml:space="preserve"> </w:t>
      </w:r>
      <w:r>
        <w:t>(Ferranti, 2020)</w:t>
      </w:r>
      <w:r>
        <w:t>. The balance sheet works with 2 sections the equity and liability section and the asset section where both the side should be balanced to meet up with the standard of double</w:t>
      </w:r>
      <w:r>
        <w:t>-</w:t>
      </w:r>
      <w:r>
        <w:t xml:space="preserve">entry system of accounting which implies that the equation should always be met that is </w:t>
      </w:r>
      <w:r>
        <w:t>“A = L + P”</w:t>
      </w:r>
      <w:r>
        <w:t xml:space="preserve"> </w:t>
      </w:r>
      <w:r>
        <w:t>(Gilbert, 2018)</w:t>
      </w:r>
      <w:r>
        <w:t>. The balance of both the section should be met to increase the credibility for the business entity that it is made of following the accounting principles and standards</w:t>
      </w:r>
      <w:r>
        <w:t xml:space="preserve">. </w:t>
      </w:r>
      <w:r>
        <w:t xml:space="preserve">If the balance of both </w:t>
      </w:r>
      <w:r>
        <w:t>sides</w:t>
      </w:r>
      <w:r>
        <w:t xml:space="preserve"> does not match, there should be some problem or wrong transactions </w:t>
      </w:r>
      <w:r>
        <w:t xml:space="preserve">that </w:t>
      </w:r>
      <w:r>
        <w:t>happened in the balance sheet</w:t>
      </w:r>
      <w:r>
        <w:t xml:space="preserve"> </w:t>
      </w:r>
      <w:r>
        <w:t>(Barnes and Warman, 2019)</w:t>
      </w:r>
      <w:r>
        <w: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3" w:name="_Toc77793994"/>
    <w:p>
      <w:pPr>
        <w:pStyle w:val="style1"/>
        <w:rPr/>
      </w:pPr>
      <w:r>
        <w:t>Question 2</w:t>
      </w:r>
      <w:bookmarkEnd w:id="3"/>
    </w:p>
    <w:bookmarkStart w:id="4" w:name="_Toc77793995"/>
    <w:p>
      <w:pPr>
        <w:pStyle w:val="style2"/>
        <w:rPr/>
      </w:pPr>
      <w:r>
        <w:t>A)</w:t>
      </w:r>
      <w:r>
        <w:t xml:space="preserve"> Calculating various financial ratios</w:t>
      </w:r>
      <w:bookmarkEnd w:id="4"/>
    </w:p>
    <w:p>
      <w:pPr>
        <w:pStyle w:val="style0"/>
        <w:rPr/>
      </w:pPr>
      <w:r>
        <w:t xml:space="preserve">1. ROCE of </w:t>
      </w:r>
      <w:r>
        <w:t>Chocco</w:t>
      </w:r>
      <w:r>
        <w:t xml:space="preserve"> Plc.</w:t>
      </w:r>
    </w:p>
    <w:p>
      <w:pPr>
        <w:pStyle w:val="style0"/>
        <w:rPr/>
      </w:pPr>
      <w:r>
        <w:t>Formula: EBIT (Earnings Before Interests and Tax paid)/ Total Assets – total current liabilities</w:t>
      </w:r>
    </w:p>
    <w:p>
      <w:pPr>
        <w:pStyle w:val="style0"/>
        <w:rPr/>
      </w:pPr>
      <w:r>
        <w:t xml:space="preserve">EBIT for 2019 = Net profit </w:t>
      </w:r>
      <w:r>
        <w:t>+</w:t>
      </w:r>
      <w:r>
        <w:t xml:space="preserve"> (interest paid + tax paid</w:t>
      </w:r>
      <w:r>
        <w:t>)</w:t>
      </w:r>
    </w:p>
    <w:p>
      <w:pPr>
        <w:pStyle w:val="style0"/>
        <w:rPr/>
      </w:pPr>
      <w:r>
        <w:t xml:space="preserve">                        = 366 + (181 + 173) m UK pounds</w:t>
      </w:r>
    </w:p>
    <w:p>
      <w:pPr>
        <w:pStyle w:val="style0"/>
        <w:rPr/>
      </w:pPr>
      <w:r>
        <w:t xml:space="preserve">                        = 720 m UK ponds</w:t>
      </w:r>
    </w:p>
    <w:p>
      <w:pPr>
        <w:pStyle w:val="style0"/>
        <w:rPr/>
      </w:pPr>
      <w:r>
        <w:t>EBIT for 2020 = 431 + (226 + 189) m UK Pounds</w:t>
      </w:r>
    </w:p>
    <w:p>
      <w:pPr>
        <w:pStyle w:val="style0"/>
        <w:rPr/>
      </w:pPr>
      <w:r>
        <w:t xml:space="preserve">                        = 846 m UK pounds</w:t>
      </w:r>
    </w:p>
    <w:p>
      <w:pPr>
        <w:pStyle w:val="style0"/>
        <w:rPr/>
      </w:pPr>
      <w:r>
        <w:t>ROCE (2019) = 720/ (10,087 – 3,046) m UK Pounds</w:t>
      </w:r>
    </w:p>
    <w:p>
      <w:pPr>
        <w:pStyle w:val="style0"/>
        <w:rPr/>
      </w:pPr>
      <w:r>
        <w:t xml:space="preserve">                        = 0.102</w:t>
      </w:r>
    </w:p>
    <w:p>
      <w:pPr>
        <w:pStyle w:val="style0"/>
        <w:rPr/>
      </w:pPr>
      <w:r>
        <w:t xml:space="preserve">ROCE (2020) = 846/ </w:t>
      </w:r>
      <w:r>
        <w:t>(9,736 – 2,511) m UK pounds</w:t>
      </w:r>
    </w:p>
    <w:p>
      <w:pPr>
        <w:pStyle w:val="style0"/>
        <w:rPr/>
      </w:pPr>
      <w:r>
        <w:t xml:space="preserve">                         = 0.117</w:t>
      </w:r>
    </w:p>
    <w:p>
      <w:pPr>
        <w:pStyle w:val="style0"/>
        <w:rPr/>
      </w:pPr>
    </w:p>
    <w:p>
      <w:pPr>
        <w:pStyle w:val="style0"/>
        <w:rPr/>
      </w:pPr>
      <w:r>
        <w:t xml:space="preserve">2. ROE of </w:t>
      </w:r>
      <w:r>
        <w:t>Chocco</w:t>
      </w:r>
      <w:r>
        <w:t xml:space="preserve"> Plc.</w:t>
      </w:r>
    </w:p>
    <w:p>
      <w:pPr>
        <w:pStyle w:val="style0"/>
        <w:rPr/>
      </w:pPr>
      <w:r>
        <w:t>Formula: Net Income/ shareholder’s Equity</w:t>
      </w:r>
    </w:p>
    <w:p>
      <w:pPr>
        <w:pStyle w:val="style0"/>
        <w:rPr/>
      </w:pPr>
      <w:r>
        <w:t>ROE (2019) = 366/ 2,912 m UK pounds</w:t>
      </w:r>
    </w:p>
    <w:p>
      <w:pPr>
        <w:pStyle w:val="style0"/>
        <w:rPr/>
      </w:pPr>
      <w:r>
        <w:t xml:space="preserve">                     = 0.126</w:t>
      </w:r>
    </w:p>
    <w:p>
      <w:pPr>
        <w:pStyle w:val="style0"/>
        <w:rPr/>
      </w:pPr>
      <w:r>
        <w:t>ROE (2020) = 431/ 3,088 m UK pounds</w:t>
      </w:r>
    </w:p>
    <w:p>
      <w:pPr>
        <w:pStyle w:val="style0"/>
        <w:rPr/>
      </w:pPr>
      <w:r>
        <w:t xml:space="preserve">                    = 0.140</w:t>
      </w:r>
    </w:p>
    <w:p>
      <w:pPr>
        <w:pStyle w:val="style0"/>
        <w:rPr/>
      </w:pPr>
      <w:r>
        <w:t xml:space="preserve">3. Earnings per share of </w:t>
      </w:r>
      <w:r>
        <w:t>Chocco</w:t>
      </w:r>
      <w:r>
        <w:t xml:space="preserve"> Plc.</w:t>
      </w:r>
    </w:p>
    <w:p>
      <w:pPr>
        <w:pStyle w:val="style0"/>
        <w:rPr/>
      </w:pPr>
      <w:r>
        <w:t xml:space="preserve">Formula: </w:t>
      </w:r>
      <w:r>
        <w:t>Net income/ weighted average outstanding shares of the company</w:t>
      </w:r>
    </w:p>
    <w:p>
      <w:pPr>
        <w:pStyle w:val="style0"/>
        <w:rPr/>
      </w:pPr>
      <w:r>
        <w:t>Number of outstanding shares,</w:t>
      </w:r>
    </w:p>
    <w:p>
      <w:pPr>
        <w:pStyle w:val="style0"/>
        <w:rPr/>
      </w:pPr>
      <w:r>
        <w:t>2019 = 300 m UK pounds/ 4 UK pounds</w:t>
      </w:r>
    </w:p>
    <w:p>
      <w:pPr>
        <w:pStyle w:val="style0"/>
        <w:rPr/>
      </w:pPr>
      <w:r>
        <w:t xml:space="preserve">         = 75 million shares</w:t>
      </w:r>
    </w:p>
    <w:p>
      <w:pPr>
        <w:pStyle w:val="style0"/>
        <w:rPr/>
      </w:pPr>
      <w:r>
        <w:t>2020 = 300 m UK pounds/ 5.12 UK pounds</w:t>
      </w:r>
    </w:p>
    <w:p>
      <w:pPr>
        <w:pStyle w:val="style0"/>
        <w:rPr/>
      </w:pPr>
      <w:r>
        <w:t xml:space="preserve">          = 58,593,750 shares</w:t>
      </w:r>
    </w:p>
    <w:p>
      <w:pPr>
        <w:pStyle w:val="style0"/>
        <w:rPr/>
      </w:pPr>
      <w:r>
        <w:t xml:space="preserve">EPS (2019) = 366/ </w:t>
      </w:r>
      <w:r>
        <w:t>75 shares</w:t>
      </w:r>
    </w:p>
    <w:p>
      <w:pPr>
        <w:pStyle w:val="style0"/>
        <w:rPr/>
      </w:pPr>
      <w:r>
        <w:t xml:space="preserve">                    = 4.88</w:t>
      </w:r>
    </w:p>
    <w:p>
      <w:pPr>
        <w:pStyle w:val="style0"/>
        <w:rPr/>
      </w:pPr>
      <w:r>
        <w:t>EPS (2020) = 431,000,000/ 58,593,750 shares</w:t>
      </w:r>
    </w:p>
    <w:p>
      <w:pPr>
        <w:pStyle w:val="style0"/>
        <w:rPr/>
      </w:pPr>
      <w:r>
        <w:t xml:space="preserve">                  = </w:t>
      </w:r>
      <w:r>
        <w:t>7.36</w:t>
      </w:r>
    </w:p>
    <w:p>
      <w:pPr>
        <w:pStyle w:val="style0"/>
        <w:rPr/>
      </w:pPr>
      <w:r>
        <w:t xml:space="preserve">4. Net Profit Margin of </w:t>
      </w:r>
      <w:r>
        <w:t>Chocco</w:t>
      </w:r>
      <w:r>
        <w:t xml:space="preserve"> Plc.</w:t>
      </w:r>
    </w:p>
    <w:p>
      <w:pPr>
        <w:pStyle w:val="style0"/>
        <w:rPr/>
      </w:pPr>
      <w:r>
        <w:t>Formula: (Net Profit/ Net sales) * 100</w:t>
      </w:r>
    </w:p>
    <w:p>
      <w:pPr>
        <w:pStyle w:val="style0"/>
        <w:rPr/>
      </w:pPr>
      <w:r>
        <w:t>NPM (2019) = (366/ 6,441)</w:t>
      </w:r>
      <w:r>
        <w:t xml:space="preserve"> </w:t>
      </w:r>
      <w:r>
        <w:t>* 100</w:t>
      </w:r>
    </w:p>
    <w:p>
      <w:pPr>
        <w:pStyle w:val="style0"/>
        <w:rPr/>
      </w:pPr>
      <w:r>
        <w:t xml:space="preserve">                      = 5.6%</w:t>
      </w:r>
    </w:p>
    <w:p>
      <w:pPr>
        <w:pStyle w:val="style0"/>
        <w:rPr/>
      </w:pPr>
      <w:r>
        <w:t>NPM (2020) = (431/ 6,738) * 100</w:t>
      </w:r>
    </w:p>
    <w:p>
      <w:pPr>
        <w:pStyle w:val="style0"/>
        <w:rPr/>
      </w:pPr>
      <w:r>
        <w:t xml:space="preserve">                      = </w:t>
      </w:r>
      <w:r>
        <w:t>6.40%</w:t>
      </w:r>
    </w:p>
    <w:p>
      <w:pPr>
        <w:pStyle w:val="style0"/>
        <w:rPr/>
      </w:pPr>
      <w:r>
        <w:t xml:space="preserve">5. Asset Turnover of </w:t>
      </w:r>
      <w:r>
        <w:t>Chocco</w:t>
      </w:r>
      <w:r>
        <w:t xml:space="preserve"> Plc.</w:t>
      </w:r>
    </w:p>
    <w:p>
      <w:pPr>
        <w:pStyle w:val="style0"/>
        <w:rPr/>
      </w:pPr>
      <w:r>
        <w:t xml:space="preserve">Formula: </w:t>
      </w:r>
      <w:r>
        <w:t xml:space="preserve">Sales revenue/ Average </w:t>
      </w:r>
      <w:r>
        <w:t>T</w:t>
      </w:r>
      <w:r>
        <w:t>otal Assets</w:t>
      </w:r>
    </w:p>
    <w:p>
      <w:pPr>
        <w:pStyle w:val="style0"/>
        <w:rPr/>
      </w:pPr>
      <w:r>
        <w:t>Average total assets (2019) = (current year sales + last year sales)/ 2</w:t>
      </w:r>
    </w:p>
    <w:p>
      <w:pPr>
        <w:pStyle w:val="style0"/>
        <w:rPr/>
      </w:pPr>
      <w:r>
        <w:t xml:space="preserve">                                             = (10,087 + 0)/ 2 m UK pounds</w:t>
      </w:r>
    </w:p>
    <w:p>
      <w:pPr>
        <w:pStyle w:val="style0"/>
        <w:rPr/>
      </w:pPr>
      <w:r>
        <w:t xml:space="preserve">                                             = 5,044 m UK pounds</w:t>
      </w:r>
    </w:p>
    <w:p>
      <w:pPr>
        <w:pStyle w:val="style0"/>
        <w:rPr/>
      </w:pPr>
      <w:r>
        <w:t>Average total assets (2020) = (9,736 + 10,087)/ 2 m UK pounds</w:t>
      </w:r>
    </w:p>
    <w:p>
      <w:pPr>
        <w:pStyle w:val="style0"/>
        <w:rPr/>
      </w:pPr>
      <w:r>
        <w:t xml:space="preserve">                                             = 9,912 m UK pounds</w:t>
      </w:r>
    </w:p>
    <w:p>
      <w:pPr>
        <w:pStyle w:val="style0"/>
        <w:rPr/>
      </w:pPr>
      <w:r>
        <w:t xml:space="preserve">Asset Turnover (2019) = 6,441/ 5,044 </w:t>
      </w:r>
    </w:p>
    <w:p>
      <w:pPr>
        <w:pStyle w:val="style0"/>
        <w:rPr/>
      </w:pPr>
      <w:r>
        <w:t xml:space="preserve">                                       = 1.28</w:t>
      </w:r>
    </w:p>
    <w:p>
      <w:pPr>
        <w:pStyle w:val="style0"/>
        <w:rPr/>
      </w:pPr>
      <w:r>
        <w:t xml:space="preserve">Asset Turnover (2020) = 6,738/ </w:t>
      </w:r>
      <w:r>
        <w:t>9,912</w:t>
      </w:r>
    </w:p>
    <w:p>
      <w:pPr>
        <w:pStyle w:val="style0"/>
        <w:rPr/>
      </w:pPr>
      <w:r>
        <w:t xml:space="preserve">                                       = 0.67 </w:t>
      </w:r>
    </w:p>
    <w:p>
      <w:pPr>
        <w:pStyle w:val="style0"/>
        <w:rPr/>
      </w:pPr>
      <w:r>
        <w:t xml:space="preserve">6. Stock Holding Days of </w:t>
      </w:r>
      <w:r>
        <w:t>Chocco</w:t>
      </w:r>
      <w:r>
        <w:t xml:space="preserve"> Plc.</w:t>
      </w:r>
    </w:p>
    <w:p>
      <w:pPr>
        <w:pStyle w:val="style0"/>
        <w:rPr/>
      </w:pPr>
      <w:r>
        <w:t xml:space="preserve">Formula: </w:t>
      </w:r>
      <w:r>
        <w:t>(inventory/ costs of goods sold) * 365</w:t>
      </w:r>
    </w:p>
    <w:p>
      <w:pPr>
        <w:pStyle w:val="style0"/>
        <w:rPr/>
      </w:pPr>
      <w:r>
        <w:t>Stock holding days (2019) = (659/ 3,096) * 365</w:t>
      </w:r>
    </w:p>
    <w:p>
      <w:pPr>
        <w:pStyle w:val="style0"/>
        <w:rPr/>
      </w:pPr>
      <w:r>
        <w:t xml:space="preserve">                                            = </w:t>
      </w:r>
      <w:r>
        <w:t>78 days</w:t>
      </w:r>
    </w:p>
    <w:p>
      <w:pPr>
        <w:pStyle w:val="style0"/>
        <w:rPr/>
      </w:pPr>
      <w:r>
        <w:t>Stock holding days (2020) = (708/ 3,235) * 365</w:t>
      </w:r>
    </w:p>
    <w:p>
      <w:pPr>
        <w:pStyle w:val="style0"/>
        <w:rPr/>
      </w:pPr>
      <w:r>
        <w:t xml:space="preserve">                                            = 80 days</w:t>
      </w:r>
    </w:p>
    <w:p>
      <w:pPr>
        <w:pStyle w:val="style0"/>
        <w:rPr/>
      </w:pPr>
      <w:r>
        <w:t xml:space="preserve">7. Debtor’s collection period of </w:t>
      </w:r>
      <w:r>
        <w:t>Chocco</w:t>
      </w:r>
      <w:r>
        <w:t xml:space="preserve"> Plc.</w:t>
      </w:r>
    </w:p>
    <w:p>
      <w:pPr>
        <w:pStyle w:val="style0"/>
        <w:rPr/>
      </w:pPr>
      <w:r>
        <w:t>Formula:</w:t>
      </w:r>
      <w:r>
        <w:t xml:space="preserve"> (Debtors/ </w:t>
      </w:r>
      <w:r>
        <w:t xml:space="preserve">net </w:t>
      </w:r>
      <w:r>
        <w:t xml:space="preserve">sales </w:t>
      </w:r>
      <w:r>
        <w:t>on credit</w:t>
      </w:r>
      <w:r>
        <w:t>) * 365</w:t>
      </w:r>
    </w:p>
    <w:p>
      <w:pPr>
        <w:pStyle w:val="style0"/>
        <w:rPr/>
      </w:pPr>
      <w:r>
        <w:t xml:space="preserve">Debtor’s collection period (2019) = </w:t>
      </w:r>
      <w:r>
        <w:t>(1,287/ 6,441) * 365</w:t>
      </w:r>
    </w:p>
    <w:p>
      <w:pPr>
        <w:pStyle w:val="style0"/>
        <w:rPr/>
      </w:pPr>
      <w:r>
        <w:t xml:space="preserve">                                                      = 73 days</w:t>
      </w:r>
    </w:p>
    <w:p>
      <w:pPr>
        <w:pStyle w:val="style0"/>
        <w:rPr/>
      </w:pPr>
      <w:r>
        <w:t xml:space="preserve">Debtor’s collection period (2020) = </w:t>
      </w:r>
      <w:r>
        <w:t>(1,249/ 6,738) * 365</w:t>
      </w:r>
    </w:p>
    <w:p>
      <w:pPr>
        <w:pStyle w:val="style0"/>
        <w:rPr/>
      </w:pPr>
      <w:r>
        <w:t xml:space="preserve">                                                      = 68 days</w:t>
      </w:r>
    </w:p>
    <w:p>
      <w:pPr>
        <w:pStyle w:val="style0"/>
        <w:rPr/>
      </w:pPr>
      <w:r>
        <w:t xml:space="preserve">8. Current Ratio of </w:t>
      </w:r>
      <w:r>
        <w:t>Chocco</w:t>
      </w:r>
      <w:r>
        <w:t xml:space="preserve"> Plc.</w:t>
      </w:r>
    </w:p>
    <w:p>
      <w:pPr>
        <w:pStyle w:val="style0"/>
        <w:rPr/>
      </w:pPr>
      <w:r>
        <w:t>Formula: Current Asset/ Current Liabilities</w:t>
      </w:r>
    </w:p>
    <w:p>
      <w:pPr>
        <w:pStyle w:val="style0"/>
        <w:rPr/>
      </w:pPr>
      <w:r>
        <w:t>Current ratio (2019) = 2,355/ 3,046</w:t>
      </w:r>
    </w:p>
    <w:p>
      <w:pPr>
        <w:pStyle w:val="style0"/>
        <w:rPr/>
      </w:pPr>
      <w:r>
        <w:t xml:space="preserve">                                  = 0.77</w:t>
      </w:r>
    </w:p>
    <w:p>
      <w:pPr>
        <w:pStyle w:val="style0"/>
        <w:rPr/>
      </w:pPr>
      <w:r>
        <w:t>Current ratio (2020) = 2,303/ 2</w:t>
      </w:r>
      <w:r>
        <w:t>,511</w:t>
      </w:r>
    </w:p>
    <w:p>
      <w:pPr>
        <w:pStyle w:val="style0"/>
        <w:rPr/>
      </w:pPr>
      <w:r>
        <w:t xml:space="preserve">                                 = 0.92</w:t>
      </w:r>
    </w:p>
    <w:p>
      <w:pPr>
        <w:pStyle w:val="style0"/>
        <w:rPr/>
      </w:pPr>
      <w:r>
        <w:t xml:space="preserve">9. Gearing ratio of </w:t>
      </w:r>
      <w:r>
        <w:t>Chocco</w:t>
      </w:r>
      <w:r>
        <w:t xml:space="preserve"> Plc.</w:t>
      </w:r>
    </w:p>
    <w:p>
      <w:pPr>
        <w:pStyle w:val="style0"/>
        <w:rPr/>
      </w:pPr>
      <w:r>
        <w:t>Formula: total debt/ total shareholder’s equity</w:t>
      </w:r>
    </w:p>
    <w:p>
      <w:pPr>
        <w:pStyle w:val="style0"/>
        <w:rPr/>
      </w:pPr>
      <w:r>
        <w:t>Gearing ratio (2019) = 4,129/ 2,912</w:t>
      </w:r>
    </w:p>
    <w:p>
      <w:pPr>
        <w:pStyle w:val="style0"/>
        <w:rPr/>
      </w:pPr>
      <w:r>
        <w:t xml:space="preserve">                                  = 1.42</w:t>
      </w:r>
    </w:p>
    <w:p>
      <w:pPr>
        <w:pStyle w:val="style0"/>
        <w:rPr/>
      </w:pPr>
      <w:r>
        <w:t>Gearing ratio (2020) = 4,137/ 3,088</w:t>
      </w:r>
    </w:p>
    <w:p>
      <w:pPr>
        <w:pStyle w:val="style0"/>
        <w:rPr/>
      </w:pPr>
      <w:r>
        <w:t xml:space="preserve">                                 = 1.34</w:t>
      </w:r>
    </w:p>
    <w:p>
      <w:pPr>
        <w:pStyle w:val="style0"/>
        <w:rPr/>
      </w:pPr>
      <w:r>
        <w:t xml:space="preserve">10. Invertor Cover of </w:t>
      </w:r>
      <w:r>
        <w:t>Chocco</w:t>
      </w:r>
      <w:r>
        <w:t xml:space="preserve"> Plc.</w:t>
      </w:r>
    </w:p>
    <w:p>
      <w:pPr>
        <w:pStyle w:val="style0"/>
        <w:rPr/>
      </w:pPr>
      <w:r>
        <w:t xml:space="preserve">Formula: </w:t>
      </w:r>
      <w:r>
        <w:t>Total asset – total current liabilities</w:t>
      </w:r>
    </w:p>
    <w:p>
      <w:pPr>
        <w:pStyle w:val="style0"/>
        <w:rPr/>
      </w:pPr>
      <w:r>
        <w:t>Inverter Cover (2019) = 10,087 – 3,046</w:t>
      </w:r>
    </w:p>
    <w:p>
      <w:pPr>
        <w:pStyle w:val="style0"/>
        <w:rPr/>
      </w:pPr>
      <w:r>
        <w:t xml:space="preserve">                                    = 7,041 m UK pounds</w:t>
      </w:r>
    </w:p>
    <w:p>
      <w:pPr>
        <w:pStyle w:val="style0"/>
        <w:rPr/>
      </w:pPr>
      <w:r>
        <w:t>Inverter Cover (2020) = 9,736 – 2,511</w:t>
      </w:r>
    </w:p>
    <w:p>
      <w:pPr>
        <w:pStyle w:val="style0"/>
        <w:rPr/>
      </w:pPr>
      <w:r>
        <w:t xml:space="preserve">                                    = 7,225 m UK Pounds</w:t>
      </w:r>
    </w:p>
    <w:bookmarkStart w:id="5" w:name="_Toc77793996"/>
    <w:p>
      <w:pPr>
        <w:pStyle w:val="style2"/>
        <w:rPr/>
      </w:pPr>
      <w:r>
        <w:t xml:space="preserve">B) Commenting on the Financial Performances of </w:t>
      </w:r>
      <w:r>
        <w:t>Chocco</w:t>
      </w:r>
      <w:r>
        <w:t xml:space="preserve"> Plc. based on the above Calculations</w:t>
      </w:r>
      <w:bookmarkEnd w:id="5"/>
    </w:p>
    <w:p>
      <w:pPr>
        <w:pStyle w:val="style0"/>
        <w:rPr/>
      </w:pPr>
      <w:r>
        <w:rPr>
          <w:b/>
          <w:bCs/>
        </w:rPr>
        <w:t>ROCE:</w:t>
      </w:r>
      <w:r>
        <w:t xml:space="preserve"> the ROCE (return on capital employed) reflects the profitability of a company of how it can generate more profit from each unit of capital invested in the business. Here, 1 is an ideal number and the higher ratio is considered better and more acceptable</w:t>
      </w:r>
      <w:r>
        <w:t xml:space="preserve"> </w:t>
      </w:r>
      <w:r>
        <w:t>(Gilbert, 2018)</w:t>
      </w:r>
      <w:r>
        <w:t xml:space="preserve">. </w:t>
      </w:r>
      <w:r>
        <w:t>Chocco</w:t>
      </w:r>
      <w:r>
        <w:t xml:space="preserve"> Plc has a ROCE ratio of 0.102 and 0.117 in the years 2019 and 2020 respectively. The company shows its less attentiveness to profitability as the ratios are below the ideal number 1. But the increasing trend of ROCE ratio can provide a good vibe that the company </w:t>
      </w:r>
      <w:r>
        <w:t>is gaining its goal of profitability and after some years of better performances, it will cross the ideal ratio of ROCE with a better profitability inspiration</w:t>
      </w:r>
      <w:r>
        <w:t xml:space="preserve"> </w:t>
      </w:r>
      <w:r>
        <w:t>(Amir and Kama, 2018)</w:t>
      </w:r>
      <w:r>
        <w:t>.</w:t>
      </w:r>
    </w:p>
    <w:p>
      <w:pPr>
        <w:pStyle w:val="style0"/>
        <w:rPr/>
      </w:pPr>
      <w:r>
        <w:rPr>
          <w:b/>
          <w:bCs/>
        </w:rPr>
        <w:t>ROE:</w:t>
      </w:r>
      <w:r>
        <w:t xml:space="preserve"> </w:t>
      </w:r>
      <w:r>
        <w:t xml:space="preserve">the </w:t>
      </w:r>
      <w:r>
        <w:t xml:space="preserve">ROE (Return on Equity) implies that </w:t>
      </w:r>
      <w:r>
        <w:t xml:space="preserve">the company is enjoying more capital with the present level of </w:t>
      </w:r>
      <w:r>
        <w:t>equity investment</w:t>
      </w:r>
      <w:r>
        <w:t>. That means the company needs not any additional capital to raise its profitability</w:t>
      </w:r>
      <w:r>
        <w:t xml:space="preserve"> </w:t>
      </w:r>
      <w:r>
        <w:t>(</w:t>
      </w:r>
      <w:r>
        <w:t>Nariswari</w:t>
      </w:r>
      <w:r>
        <w:t xml:space="preserve"> and </w:t>
      </w:r>
      <w:r>
        <w:t>Nugraha</w:t>
      </w:r>
      <w:r>
        <w:t>, 2020)</w:t>
      </w:r>
      <w:r>
        <w:t xml:space="preserve">. Here, the higher ratio of return on equity is considered as better performance for the company. </w:t>
      </w:r>
      <w:r>
        <w:t>Chocco</w:t>
      </w:r>
      <w:r>
        <w:t xml:space="preserve"> Plc. has </w:t>
      </w:r>
      <w:r>
        <w:t xml:space="preserve">an </w:t>
      </w:r>
      <w:r>
        <w:t>ROE ratio of 0.126 and 0.140 in the years 2019 and 2020 respectively which indicates the company is not getting more profit although it has a huge capital investment. But as the ratio is increasing yearly, it can be said that the company can get higher profitability in the recent future years</w:t>
      </w:r>
      <w:r>
        <w:t xml:space="preserve"> </w:t>
      </w:r>
      <w:r>
        <w:t>(Park, 2020)</w:t>
      </w:r>
      <w:r>
        <w:t>.</w:t>
      </w:r>
    </w:p>
    <w:p>
      <w:pPr>
        <w:pStyle w:val="style0"/>
        <w:rPr/>
      </w:pPr>
      <w:r>
        <w:rPr>
          <w:b/>
          <w:bCs/>
        </w:rPr>
        <w:t>Earnings Per Share:</w:t>
      </w:r>
      <w:r>
        <w:t xml:space="preserve"> </w:t>
      </w:r>
      <w:r>
        <w:t xml:space="preserve">the earnings per share (EPS) implies that </w:t>
      </w:r>
      <w:r>
        <w:t xml:space="preserve">how much the company is generating profit from each unit of its stocks. This ratio also reflects the profitability of the company of how much it is earning from the capital invested. The </w:t>
      </w:r>
      <w:r>
        <w:t xml:space="preserve">higher earnings per share rate </w:t>
      </w:r>
      <w:r>
        <w:t>are</w:t>
      </w:r>
      <w:r>
        <w:t xml:space="preserve"> widely accept</w:t>
      </w:r>
      <w:r>
        <w:t>ed</w:t>
      </w:r>
      <w:r>
        <w:t xml:space="preserve"> although there is no rule of thumb for its acceptance. </w:t>
      </w:r>
      <w:r>
        <w:t>Chocco</w:t>
      </w:r>
      <w:r>
        <w:t xml:space="preserve"> Plc has earnings per share rate of 4.88 and 7.36 UK pounds from each share in the years of 2019 and 2020 respectively. The result shows the company is doing better in 2020 as it has a higher rate of earnings per share</w:t>
      </w:r>
      <w:r>
        <w:t xml:space="preserve"> </w:t>
      </w:r>
      <w:r>
        <w:t>(</w:t>
      </w:r>
      <w:r>
        <w:t>Consler</w:t>
      </w:r>
      <w:r>
        <w:t xml:space="preserve"> and Lepak, 2019)</w:t>
      </w:r>
      <w:r>
        <w:t>.</w:t>
      </w:r>
    </w:p>
    <w:p>
      <w:pPr>
        <w:pStyle w:val="style0"/>
        <w:rPr/>
      </w:pPr>
      <w:r>
        <w:rPr>
          <w:b/>
          <w:bCs/>
        </w:rPr>
        <w:t>Net Profit Margin:</w:t>
      </w:r>
      <w:r>
        <w:t xml:space="preserve"> the NPM or Net Profit Margin shows the profitability of a company that implies how much the company is generating profit on a percentage of its total revenue earned. The higher profit margin is accept</w:t>
      </w:r>
      <w:r>
        <w:t>ed</w:t>
      </w:r>
      <w:r>
        <w:t xml:space="preserve"> widely. </w:t>
      </w:r>
      <w:r>
        <w:t>Chocco</w:t>
      </w:r>
      <w:r>
        <w:t xml:space="preserve"> Plc. has net profit margins of </w:t>
      </w:r>
      <w:r>
        <w:t xml:space="preserve">5.6% and 6.4% </w:t>
      </w:r>
      <w:r>
        <w:t>in the respective years of 2019 and 2020. The profit margin shows the company is growing its profitability from the total revenue generation and it is in a better position in 2020 rather tha</w:t>
      </w:r>
      <w:r>
        <w:t>n</w:t>
      </w:r>
      <w:r>
        <w:t xml:space="preserve"> 2019 as in 2020, it has </w:t>
      </w:r>
      <w:r>
        <w:t xml:space="preserve">a </w:t>
      </w:r>
      <w:r>
        <w:t>higher profit margin</w:t>
      </w:r>
      <w:r>
        <w:t xml:space="preserve"> </w:t>
      </w:r>
      <w:r>
        <w:t>(</w:t>
      </w:r>
      <w:r>
        <w:t>Nariswari</w:t>
      </w:r>
      <w:r>
        <w:t xml:space="preserve"> and </w:t>
      </w:r>
      <w:r>
        <w:t>Nugraha</w:t>
      </w:r>
      <w:r>
        <w:t>, 2020)</w:t>
      </w:r>
      <w:r>
        <w:t>.</w:t>
      </w:r>
    </w:p>
    <w:p>
      <w:pPr>
        <w:pStyle w:val="style0"/>
        <w:rPr/>
      </w:pPr>
      <w:r>
        <w:rPr>
          <w:b/>
          <w:bCs/>
        </w:rPr>
        <w:t>Asset Turnover:</w:t>
      </w:r>
      <w:r>
        <w:t xml:space="preserve"> </w:t>
      </w:r>
      <w:r>
        <w:t>basically,</w:t>
      </w:r>
      <w:r>
        <w:t xml:space="preserve"> the asset turnover ratio </w:t>
      </w:r>
      <w:r>
        <w:t xml:space="preserve">implies the comparison of sales revenue with total assets to show that whether the company is generating higher revenues </w:t>
      </w:r>
      <w:r>
        <w:t>by</w:t>
      </w:r>
      <w:r>
        <w:t xml:space="preserve"> utilizing the total assets or not. Here, the ratio implies that how efficiently the company is earning revenues from the given assets. The higher ratio is acceptable here</w:t>
      </w:r>
      <w:r>
        <w:t xml:space="preserve"> </w:t>
      </w:r>
      <w:r>
        <w:t>(</w:t>
      </w:r>
      <w:r>
        <w:t>Nariswari</w:t>
      </w:r>
      <w:r>
        <w:t xml:space="preserve"> and </w:t>
      </w:r>
      <w:r>
        <w:t>Nugraha</w:t>
      </w:r>
      <w:r>
        <w:t>, 2020)</w:t>
      </w:r>
      <w:r>
        <w:t xml:space="preserve">. </w:t>
      </w:r>
      <w:r>
        <w:t>Chocco</w:t>
      </w:r>
      <w:r>
        <w:t xml:space="preserve"> Plc. has </w:t>
      </w:r>
      <w:r>
        <w:t xml:space="preserve">an </w:t>
      </w:r>
      <w:r>
        <w:t xml:space="preserve">asset turnover ratio of 1.28 and </w:t>
      </w:r>
      <w:r>
        <w:t>0.67 in the respective years of 2019 and 2020. The result of 2019 shows that the company was enough efficient with utilizing its assets to earn greater revenue but in 2020, the company fails to earn more revenues as it shows inefficiency with its asset utilization which is expressed by the lower turnover ratio</w:t>
      </w:r>
      <w:r>
        <w:t xml:space="preserve"> </w:t>
      </w:r>
      <w:r>
        <w:t>(Sari, 2020)</w:t>
      </w:r>
      <w:r>
        <w:t>.</w:t>
      </w:r>
    </w:p>
    <w:p>
      <w:pPr>
        <w:pStyle w:val="style0"/>
        <w:rPr/>
      </w:pPr>
      <w:r>
        <w:rPr>
          <w:b/>
          <w:bCs/>
        </w:rPr>
        <w:t>Stock Holding Days:</w:t>
      </w:r>
      <w:r>
        <w:t xml:space="preserve"> the stock holding period implies that for how much time the company is holding its inventory. The higher holding days </w:t>
      </w:r>
      <w:r>
        <w:t>are</w:t>
      </w:r>
      <w:r>
        <w:t xml:space="preserve"> not preferable for every business because it shows the unnecessariness of holding the money for a long time. So, the lower holding period is accept</w:t>
      </w:r>
      <w:r>
        <w:t>ed</w:t>
      </w:r>
      <w:r>
        <w:t xml:space="preserve"> widely. </w:t>
      </w:r>
      <w:r>
        <w:t>Chocco</w:t>
      </w:r>
      <w:r>
        <w:t xml:space="preserve"> Plc. has </w:t>
      </w:r>
      <w:r>
        <w:t xml:space="preserve">a </w:t>
      </w:r>
      <w:r>
        <w:t xml:space="preserve">holding period of 78 days and 80 days </w:t>
      </w:r>
      <w:r>
        <w:t xml:space="preserve">respectively in 2019 and 2020. The company </w:t>
      </w:r>
      <w:r>
        <w:t xml:space="preserve">has a lower holding period in 2019 which was better than that of 2020 as it has </w:t>
      </w:r>
      <w:r>
        <w:t>a</w:t>
      </w:r>
      <w:r>
        <w:t xml:space="preserve"> higher holding period and the company is less enjoying the money facilities</w:t>
      </w:r>
      <w:r>
        <w:t xml:space="preserve"> </w:t>
      </w:r>
      <w:r>
        <w:t>(Schaub, 2020)</w:t>
      </w:r>
      <w:r>
        <w:t>.</w:t>
      </w:r>
    </w:p>
    <w:p>
      <w:pPr>
        <w:pStyle w:val="style0"/>
        <w:rPr/>
      </w:pPr>
      <w:r>
        <w:rPr>
          <w:b/>
          <w:bCs/>
        </w:rPr>
        <w:t>Debtors Collection Period:</w:t>
      </w:r>
      <w:r>
        <w:t xml:space="preserve"> the debtors</w:t>
      </w:r>
      <w:r>
        <w:t>'</w:t>
      </w:r>
      <w:r>
        <w:t xml:space="preserve"> collection period implies that the ability of any company to collect the due amount from its debtors. The lower collection period is preferable as the company can use the earliest collected money in better options of investment. </w:t>
      </w:r>
      <w:r>
        <w:t>Chocco</w:t>
      </w:r>
      <w:r>
        <w:t xml:space="preserve"> Plc. has its collection period of 73 days and 68 days in the year</w:t>
      </w:r>
      <w:r>
        <w:t>s</w:t>
      </w:r>
      <w:r>
        <w:t xml:space="preserve"> 2019 and 2020 respectively. The results show that the company is enjoying liquidity by getting the due amount earlier in 2020 than that of 2019 and can use the money for further settlement of deb</w:t>
      </w:r>
      <w:r>
        <w:t>i</w:t>
      </w:r>
      <w:r>
        <w:t>ts or credits</w:t>
      </w:r>
      <w:r>
        <w:t xml:space="preserve"> </w:t>
      </w:r>
      <w:r>
        <w:t>(Hirczy de Mino, 2019)</w:t>
      </w:r>
      <w:r>
        <w:t>.</w:t>
      </w:r>
    </w:p>
    <w:p>
      <w:pPr>
        <w:pStyle w:val="style0"/>
        <w:rPr/>
      </w:pPr>
      <w:r>
        <w:rPr>
          <w:b/>
          <w:bCs/>
        </w:rPr>
        <w:t>Current Ratio:</w:t>
      </w:r>
      <w:r>
        <w:t xml:space="preserve"> </w:t>
      </w:r>
      <w:r>
        <w:t xml:space="preserve">the current ratio shows the capability of a company of how it can settle the current liabilities using the current assets. The ratio from 1:2 to 2 is preferable. </w:t>
      </w:r>
      <w:r>
        <w:t>Chocco</w:t>
      </w:r>
      <w:r>
        <w:t xml:space="preserve"> Plc has the current ratio of 0.77 and 0.92 in the respective years of 2019 and 2020. The ratio shows the company is </w:t>
      </w:r>
      <w:r>
        <w:t xml:space="preserve">unable to settle </w:t>
      </w:r>
      <w:r>
        <w:t xml:space="preserve">its current liabilities with the current assets in both years as the company shows the ratio below 1. But the ratio is quite increasing </w:t>
      </w:r>
      <w:r>
        <w:t>over</w:t>
      </w:r>
      <w:r>
        <w:t xml:space="preserve"> </w:t>
      </w:r>
      <w:r>
        <w:t xml:space="preserve">the </w:t>
      </w:r>
      <w:r>
        <w:t>years which implies the company can get its solvency after some financial periods</w:t>
      </w:r>
      <w:r>
        <w:t xml:space="preserve"> </w:t>
      </w:r>
      <w:r>
        <w:t>(Purnomo, 2018)</w:t>
      </w:r>
      <w:r>
        <w:t>.</w:t>
      </w:r>
    </w:p>
    <w:p>
      <w:pPr>
        <w:pStyle w:val="style0"/>
        <w:rPr/>
      </w:pPr>
      <w:r>
        <w:rPr>
          <w:b/>
          <w:bCs/>
        </w:rPr>
        <w:t>Gearing Ratio:</w:t>
      </w:r>
      <w:r>
        <w:t xml:space="preserve"> basically, the gearing ratio shows the financial leverage of the company of how it can bear the interest payment </w:t>
      </w:r>
      <w:r>
        <w:t xml:space="preserve">by the current level capital investment. </w:t>
      </w:r>
      <w:r>
        <w:t>A</w:t>
      </w:r>
      <w:r>
        <w:t xml:space="preserve"> ratio from 25% to 50% is preferable. </w:t>
      </w:r>
      <w:r>
        <w:t>Chocco</w:t>
      </w:r>
      <w:r>
        <w:t xml:space="preserve"> Plc has </w:t>
      </w:r>
      <w:r>
        <w:t>a</w:t>
      </w:r>
      <w:r>
        <w:t xml:space="preserve"> gearing ratio of 1.42 and 1.34 in the respective years of 2019 and 2020. The result implies that the company is solvent to pay the interests for debt taken to form the capital structure. The ratio is in a declining trend and the company should work for it to increase the ratio for the solvency of the business</w:t>
      </w:r>
      <w:r>
        <w:t xml:space="preserve"> </w:t>
      </w:r>
      <w:r>
        <w:t>(</w:t>
      </w:r>
      <w:r>
        <w:t>Situm</w:t>
      </w:r>
      <w:r>
        <w:t>, 2019)</w:t>
      </w:r>
      <w:r>
        <w:t>.</w:t>
      </w:r>
    </w:p>
    <w:p>
      <w:pPr>
        <w:pStyle w:val="style0"/>
        <w:rPr/>
      </w:pPr>
      <w:r>
        <w:rPr>
          <w:b/>
          <w:bCs/>
        </w:rPr>
        <w:t>Inverter Cover:</w:t>
      </w:r>
      <w:r>
        <w:t xml:space="preserve"> the inverter cover generally tells that whether the company has enough assets to settle the current liabilities or not. The positive amount of preferable here shows the company is enough solvent. </w:t>
      </w:r>
      <w:r>
        <w:t>Chocco</w:t>
      </w:r>
      <w:r>
        <w:t xml:space="preserve"> Plc. has </w:t>
      </w:r>
      <w:r>
        <w:t>an</w:t>
      </w:r>
      <w:r>
        <w:t xml:space="preserve"> inverter cover of 7,041 and 7,225 m UK pounds in the years 2019 and 2020 respectively. The result of both years </w:t>
      </w:r>
      <w:r>
        <w:t>is</w:t>
      </w:r>
      <w:r>
        <w:t xml:space="preserve"> positive which implies the company has enough solvency to settle the current liabilities with its total assets and the amount is growing which is a positive indication for the company to be financially solvent</w:t>
      </w:r>
      <w:r>
        <w:t xml:space="preserve"> </w:t>
      </w:r>
      <w:r>
        <w:t>(Gilbert, 2018)</w:t>
      </w:r>
      <w:r>
        <w:t xml:space="preserve">. </w:t>
      </w:r>
    </w:p>
    <w:p>
      <w:pPr>
        <w:pStyle w:val="style2"/>
        <w:rPr/>
        <w:sectPr>
          <w:pgSz w:w="12240" w:h="15840" w:orient="portrait"/>
          <w:pgMar w:top="1440" w:right="1440" w:bottom="1440" w:left="1440" w:header="720" w:footer="720" w:gutter="0"/>
          <w:cols w:space="720"/>
          <w:docGrid w:linePitch="360"/>
        </w:sectPr>
      </w:pPr>
    </w:p>
    <w:p>
      <w:pPr>
        <w:pStyle w:val="style2"/>
        <w:rPr/>
      </w:pPr>
      <w:r>
        <w:t>Conclusion</w:t>
      </w:r>
    </w:p>
    <w:p>
      <w:pPr>
        <w:pStyle w:val="style0"/>
        <w:rPr/>
      </w:pPr>
      <w:r>
        <w:t xml:space="preserve">The financial position statement will always be balanced as total assets of the company are equal to the combination of liabilities and </w:t>
      </w:r>
      <w:r>
        <w:t>owners</w:t>
      </w:r>
      <w:r>
        <w:t xml:space="preserve"> equities. The management should be </w:t>
      </w:r>
      <w:r>
        <w:t>carefull</w:t>
      </w:r>
      <w:r>
        <w:t xml:space="preserve"> at the time of conducting financial statements. Through the ratio analysis, it can be seen that, </w:t>
      </w:r>
      <w:r>
        <w:t>Chocco</w:t>
      </w:r>
      <w:r>
        <w:t xml:space="preserve"> Plc.</w:t>
      </w:r>
      <w:r>
        <w:t xml:space="preserve"> Has satisfactory financial position.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6" w:name="_Toc77793997"/>
    <w:p>
      <w:pPr>
        <w:pStyle w:val="style1"/>
        <w:rPr/>
        <w:sectPr>
          <w:pgSz w:w="12240" w:h="15840" w:orient="portrait"/>
          <w:pgMar w:top="1440" w:right="1440" w:bottom="1440" w:left="1440" w:header="720" w:footer="720" w:gutter="0"/>
          <w:cols w:space="720"/>
          <w:docGrid w:linePitch="360"/>
        </w:sectPr>
      </w:pPr>
    </w:p>
    <w:p>
      <w:pPr>
        <w:pStyle w:val="style1"/>
        <w:rPr/>
      </w:pPr>
      <w:r>
        <w:t>References</w:t>
      </w:r>
      <w:bookmarkEnd w:id="6"/>
    </w:p>
    <w:p>
      <w:pPr>
        <w:pStyle w:val="style0"/>
        <w:ind w:left="720" w:hanging="720"/>
        <w:rPr>
          <w:shd w:val="clear" w:color="auto" w:fill="ffffff"/>
        </w:rPr>
      </w:pPr>
      <w:r>
        <w:rPr>
          <w:shd w:val="clear" w:color="auto" w:fill="ffffff"/>
        </w:rPr>
        <w:t>Amir, E. and Kama, I., 2018. The Market Reaction to ROCE and ROCE Components. </w:t>
      </w:r>
      <w:r>
        <w:rPr>
          <w:i/>
          <w:iCs/>
          <w:shd w:val="clear" w:color="auto" w:fill="ffffff"/>
        </w:rPr>
        <w:t>SSRN Electronic Journal</w:t>
      </w:r>
      <w:r>
        <w:rPr>
          <w:shd w:val="clear" w:color="auto" w:fill="ffffff"/>
        </w:rPr>
        <w:t>, pp. 67.</w:t>
      </w:r>
    </w:p>
    <w:p>
      <w:pPr>
        <w:pStyle w:val="style0"/>
        <w:ind w:left="720" w:hanging="720"/>
        <w:rPr>
          <w:shd w:val="clear" w:color="auto" w:fill="ffffff"/>
        </w:rPr>
      </w:pPr>
      <w:r>
        <w:rPr>
          <w:shd w:val="clear" w:color="auto" w:fill="ffffff"/>
        </w:rPr>
        <w:t xml:space="preserve">Barnes, D. and Warman, N., 2019. Is </w:t>
      </w:r>
      <w:r>
        <w:rPr>
          <w:shd w:val="clear" w:color="auto" w:fill="ffffff"/>
        </w:rPr>
        <w:t>securitisation</w:t>
      </w:r>
      <w:r>
        <w:rPr>
          <w:shd w:val="clear" w:color="auto" w:fill="ffffff"/>
        </w:rPr>
        <w:t xml:space="preserve"> still a useful balance sheet </w:t>
      </w:r>
      <w:r>
        <w:rPr>
          <w:shd w:val="clear" w:color="auto" w:fill="ffffff"/>
        </w:rPr>
        <w:t>tool?.</w:t>
      </w:r>
      <w:r>
        <w:rPr>
          <w:shd w:val="clear" w:color="auto" w:fill="ffffff"/>
        </w:rPr>
        <w:t> </w:t>
      </w:r>
      <w:r>
        <w:rPr>
          <w:i/>
          <w:iCs/>
          <w:shd w:val="clear" w:color="auto" w:fill="ffffff"/>
        </w:rPr>
        <w:t>Balance Sheet</w:t>
      </w:r>
      <w:r>
        <w:rPr>
          <w:shd w:val="clear" w:color="auto" w:fill="ffffff"/>
        </w:rPr>
        <w:t>, 8(2), pp.14-18.</w:t>
      </w:r>
    </w:p>
    <w:p>
      <w:pPr>
        <w:pStyle w:val="style0"/>
        <w:ind w:left="720" w:hanging="720"/>
        <w:rPr>
          <w:shd w:val="clear" w:color="auto" w:fill="ffffff"/>
        </w:rPr>
      </w:pPr>
      <w:r>
        <w:rPr>
          <w:shd w:val="clear" w:color="auto" w:fill="ffffff"/>
        </w:rPr>
        <w:t>Consler</w:t>
      </w:r>
      <w:r>
        <w:rPr>
          <w:shd w:val="clear" w:color="auto" w:fill="ffffff"/>
        </w:rPr>
        <w:t>, J. and Lepak, G., 2019. Earnings per share versus cash flow per share as predictor of dividends per share. </w:t>
      </w:r>
      <w:r>
        <w:rPr>
          <w:i/>
          <w:iCs/>
          <w:shd w:val="clear" w:color="auto" w:fill="ffffff"/>
        </w:rPr>
        <w:t>Managerial Finance</w:t>
      </w:r>
      <w:r>
        <w:rPr>
          <w:shd w:val="clear" w:color="auto" w:fill="ffffff"/>
        </w:rPr>
        <w:t>, 37(5), pp.482-488.</w:t>
      </w:r>
    </w:p>
    <w:p>
      <w:pPr>
        <w:pStyle w:val="style0"/>
        <w:ind w:left="720" w:hanging="720"/>
        <w:rPr>
          <w:shd w:val="clear" w:color="auto" w:fill="ffffff"/>
        </w:rPr>
      </w:pPr>
      <w:r>
        <w:rPr>
          <w:shd w:val="clear" w:color="auto" w:fill="ffffff"/>
        </w:rPr>
        <w:t>Ferranti, K., 2020. Digging deep into derivatives: balance sheet management – making strategic decision</w:t>
      </w:r>
      <w:r>
        <w:rPr>
          <w:rFonts w:ascii="Cambria Math" w:cs="Cambria Math" w:hAnsi="Cambria Math"/>
          <w:shd w:val="clear" w:color="auto" w:fill="ffffff"/>
        </w:rPr>
        <w:t>‐</w:t>
      </w:r>
      <w:r>
        <w:rPr>
          <w:shd w:val="clear" w:color="auto" w:fill="ffffff"/>
        </w:rPr>
        <w:t>making better. </w:t>
      </w:r>
      <w:r>
        <w:rPr>
          <w:i/>
          <w:iCs/>
          <w:shd w:val="clear" w:color="auto" w:fill="ffffff"/>
        </w:rPr>
        <w:t>Balance Sheet</w:t>
      </w:r>
      <w:r>
        <w:rPr>
          <w:shd w:val="clear" w:color="auto" w:fill="ffffff"/>
        </w:rPr>
        <w:t>, 11(3), pp.20-22.</w:t>
      </w:r>
    </w:p>
    <w:p>
      <w:pPr>
        <w:pStyle w:val="style0"/>
        <w:ind w:left="720" w:hanging="720"/>
        <w:rPr>
          <w:shd w:val="clear" w:color="auto" w:fill="ffffff"/>
        </w:rPr>
      </w:pPr>
      <w:r>
        <w:rPr>
          <w:shd w:val="clear" w:color="auto" w:fill="ffffff"/>
        </w:rPr>
        <w:t>Gilbert, E., 2018. Time ratio regulation — A new inverter design technique. </w:t>
      </w:r>
      <w:r>
        <w:rPr>
          <w:i/>
          <w:iCs/>
          <w:shd w:val="clear" w:color="auto" w:fill="ffffff"/>
        </w:rPr>
        <w:t>IEEE Transactions on Vehicular Communications</w:t>
      </w:r>
      <w:r>
        <w:rPr>
          <w:shd w:val="clear" w:color="auto" w:fill="ffffff"/>
        </w:rPr>
        <w:t>, 12(1), pp.60-70.</w:t>
      </w:r>
    </w:p>
    <w:p>
      <w:pPr>
        <w:pStyle w:val="style0"/>
        <w:ind w:left="720" w:hanging="720"/>
        <w:rPr>
          <w:shd w:val="clear" w:color="auto" w:fill="ffffff"/>
        </w:rPr>
      </w:pPr>
      <w:r>
        <w:rPr>
          <w:shd w:val="clear" w:color="auto" w:fill="ffffff"/>
        </w:rPr>
        <w:t>Hirczy de Mino, W., 2019. How Do Discover Bank Debtors Fare in Trial Courts? An Empirical Investigation of Credit Card Collection Litigation in Texas. </w:t>
      </w:r>
      <w:r>
        <w:rPr>
          <w:i/>
          <w:iCs/>
          <w:shd w:val="clear" w:color="auto" w:fill="ffffff"/>
        </w:rPr>
        <w:t xml:space="preserve">SSRN Electronic </w:t>
      </w:r>
      <w:r>
        <w:rPr>
          <w:i/>
          <w:iCs/>
          <w:shd w:val="clear" w:color="auto" w:fill="ffffff"/>
        </w:rPr>
        <w:t>Journal</w:t>
      </w:r>
      <w:r>
        <w:rPr>
          <w:shd w:val="clear" w:color="auto" w:fill="ffffff"/>
        </w:rPr>
        <w:t>,.</w:t>
      </w:r>
    </w:p>
    <w:p>
      <w:pPr>
        <w:pStyle w:val="style0"/>
        <w:ind w:left="720" w:hanging="720"/>
        <w:rPr>
          <w:shd w:val="clear" w:color="auto" w:fill="ffffff"/>
        </w:rPr>
      </w:pPr>
      <w:r>
        <w:rPr>
          <w:shd w:val="clear" w:color="auto" w:fill="ffffff"/>
        </w:rPr>
        <w:t>Nariswari</w:t>
      </w:r>
      <w:r>
        <w:rPr>
          <w:shd w:val="clear" w:color="auto" w:fill="ffffff"/>
        </w:rPr>
        <w:t xml:space="preserve">, T. and </w:t>
      </w:r>
      <w:r>
        <w:rPr>
          <w:shd w:val="clear" w:color="auto" w:fill="ffffff"/>
        </w:rPr>
        <w:t>Nugraha</w:t>
      </w:r>
      <w:r>
        <w:rPr>
          <w:shd w:val="clear" w:color="auto" w:fill="ffffff"/>
        </w:rPr>
        <w:t xml:space="preserve">, N., 2020. Profit </w:t>
      </w:r>
      <w:r>
        <w:rPr>
          <w:shd w:val="clear" w:color="auto" w:fill="ffffff"/>
        </w:rPr>
        <w:t>Growth :</w:t>
      </w:r>
      <w:r>
        <w:rPr>
          <w:shd w:val="clear" w:color="auto" w:fill="ffffff"/>
        </w:rPr>
        <w:t xml:space="preserve"> Impact of Net Profit Margin, Gross Profit Margin and Total </w:t>
      </w:r>
      <w:r>
        <w:rPr>
          <w:shd w:val="clear" w:color="auto" w:fill="ffffff"/>
        </w:rPr>
        <w:t>Assests</w:t>
      </w:r>
      <w:r>
        <w:rPr>
          <w:shd w:val="clear" w:color="auto" w:fill="ffffff"/>
        </w:rPr>
        <w:t xml:space="preserve"> Turnover. </w:t>
      </w:r>
      <w:r>
        <w:rPr>
          <w:i/>
          <w:iCs/>
          <w:shd w:val="clear" w:color="auto" w:fill="ffffff"/>
        </w:rPr>
        <w:t>International Journal of Finance &amp; Banking Studies (2147-4486)</w:t>
      </w:r>
      <w:r>
        <w:rPr>
          <w:shd w:val="clear" w:color="auto" w:fill="ffffff"/>
        </w:rPr>
        <w:t>, 9(4), pp.87-96.</w:t>
      </w:r>
    </w:p>
    <w:p>
      <w:pPr>
        <w:pStyle w:val="style0"/>
        <w:ind w:left="720" w:hanging="720"/>
        <w:rPr>
          <w:shd w:val="clear" w:color="auto" w:fill="ffffff"/>
        </w:rPr>
      </w:pPr>
      <w:r>
        <w:rPr>
          <w:shd w:val="clear" w:color="auto" w:fill="ffffff"/>
        </w:rPr>
        <w:t>Park, C., 2020. The Stock Price Relevance of ROE and ROE Decomposition Factors according to Decomposition Methods. </w:t>
      </w:r>
      <w:r>
        <w:rPr>
          <w:i/>
          <w:iCs/>
          <w:shd w:val="clear" w:color="auto" w:fill="ffffff"/>
        </w:rPr>
        <w:t>Review of Accounting and Policy Studies</w:t>
      </w:r>
      <w:r>
        <w:rPr>
          <w:shd w:val="clear" w:color="auto" w:fill="ffffff"/>
        </w:rPr>
        <w:t>, 25(4), pp.193-222.</w:t>
      </w:r>
    </w:p>
    <w:p>
      <w:pPr>
        <w:pStyle w:val="style0"/>
        <w:ind w:left="720" w:hanging="720"/>
        <w:rPr>
          <w:shd w:val="clear" w:color="auto" w:fill="ffffff"/>
        </w:rPr>
      </w:pPr>
      <w:r>
        <w:rPr>
          <w:shd w:val="clear" w:color="auto" w:fill="ffffff"/>
        </w:rPr>
        <w:t xml:space="preserve">Purnomo, A., 2018. Influence of The Ratio of Profit Margin, Financial Leverage Ratio, Current Ratio, Quick Ratio Against </w:t>
      </w:r>
      <w:r>
        <w:rPr>
          <w:shd w:val="clear" w:color="auto" w:fill="ffffff"/>
        </w:rPr>
        <w:t>The</w:t>
      </w:r>
      <w:r>
        <w:rPr>
          <w:shd w:val="clear" w:color="auto" w:fill="ffffff"/>
        </w:rPr>
        <w:t xml:space="preserve"> Conditions and Financial Distress. </w:t>
      </w:r>
      <w:r>
        <w:rPr>
          <w:i/>
          <w:iCs/>
          <w:shd w:val="clear" w:color="auto" w:fill="ffffff"/>
        </w:rPr>
        <w:t>Indonesian Journal of Business, Accounting and Management</w:t>
      </w:r>
      <w:r>
        <w:rPr>
          <w:shd w:val="clear" w:color="auto" w:fill="ffffff"/>
        </w:rPr>
        <w:t>, 1(1).</w:t>
      </w:r>
    </w:p>
    <w:p>
      <w:pPr>
        <w:pStyle w:val="style0"/>
        <w:ind w:left="720" w:hanging="720"/>
        <w:rPr>
          <w:shd w:val="clear" w:color="auto" w:fill="ffffff"/>
        </w:rPr>
      </w:pPr>
      <w:r>
        <w:rPr>
          <w:shd w:val="clear" w:color="auto" w:fill="ffffff"/>
        </w:rPr>
        <w:t xml:space="preserve">Sari, W., 2020. </w:t>
      </w:r>
      <w:r>
        <w:rPr>
          <w:shd w:val="clear" w:color="auto" w:fill="ffffff"/>
        </w:rPr>
        <w:t>Pengaruh</w:t>
      </w:r>
      <w:r>
        <w:rPr>
          <w:shd w:val="clear" w:color="auto" w:fill="ffffff"/>
        </w:rPr>
        <w:t xml:space="preserve"> Fixed Asset Turnover, Inventory Turnover, Corporate </w:t>
      </w:r>
      <w:r>
        <w:rPr>
          <w:shd w:val="clear" w:color="auto" w:fill="ffffff"/>
        </w:rPr>
        <w:t>Sosial</w:t>
      </w:r>
      <w:r>
        <w:rPr>
          <w:shd w:val="clear" w:color="auto" w:fill="ffffff"/>
        </w:rPr>
        <w:t xml:space="preserve"> Responsibility </w:t>
      </w:r>
      <w:r>
        <w:rPr>
          <w:shd w:val="clear" w:color="auto" w:fill="ffffff"/>
        </w:rPr>
        <w:t>terhadap</w:t>
      </w:r>
      <w:r>
        <w:rPr>
          <w:shd w:val="clear" w:color="auto" w:fill="ffffff"/>
        </w:rPr>
        <w:t xml:space="preserve"> Harga Saham. </w:t>
      </w:r>
      <w:r>
        <w:rPr>
          <w:i/>
          <w:iCs/>
          <w:shd w:val="clear" w:color="auto" w:fill="ffffff"/>
        </w:rPr>
        <w:t>ISOQUANT :</w:t>
      </w:r>
      <w:r>
        <w:rPr>
          <w:i/>
          <w:iCs/>
          <w:shd w:val="clear" w:color="auto" w:fill="ffffff"/>
        </w:rPr>
        <w:t xml:space="preserve"> </w:t>
      </w:r>
      <w:r>
        <w:rPr>
          <w:i/>
          <w:iCs/>
          <w:shd w:val="clear" w:color="auto" w:fill="ffffff"/>
        </w:rPr>
        <w:t>Jurnal</w:t>
      </w:r>
      <w:r>
        <w:rPr>
          <w:i/>
          <w:iCs/>
          <w:shd w:val="clear" w:color="auto" w:fill="ffffff"/>
        </w:rPr>
        <w:t xml:space="preserve"> </w:t>
      </w:r>
      <w:r>
        <w:rPr>
          <w:i/>
          <w:iCs/>
          <w:shd w:val="clear" w:color="auto" w:fill="ffffff"/>
        </w:rPr>
        <w:t>Ekonomi</w:t>
      </w:r>
      <w:r>
        <w:rPr>
          <w:i/>
          <w:iCs/>
          <w:shd w:val="clear" w:color="auto" w:fill="ffffff"/>
        </w:rPr>
        <w:t xml:space="preserve">, </w:t>
      </w:r>
      <w:r>
        <w:rPr>
          <w:i/>
          <w:iCs/>
          <w:shd w:val="clear" w:color="auto" w:fill="ffffff"/>
        </w:rPr>
        <w:t>Manajemen</w:t>
      </w:r>
      <w:r>
        <w:rPr>
          <w:i/>
          <w:iCs/>
          <w:shd w:val="clear" w:color="auto" w:fill="ffffff"/>
        </w:rPr>
        <w:t xml:space="preserve"> dan </w:t>
      </w:r>
      <w:r>
        <w:rPr>
          <w:i/>
          <w:iCs/>
          <w:shd w:val="clear" w:color="auto" w:fill="ffffff"/>
        </w:rPr>
        <w:t>Akuntansi</w:t>
      </w:r>
      <w:r>
        <w:rPr>
          <w:shd w:val="clear" w:color="auto" w:fill="ffffff"/>
        </w:rPr>
        <w:t>, 4(2).</w:t>
      </w:r>
    </w:p>
    <w:p>
      <w:pPr>
        <w:pStyle w:val="style0"/>
        <w:ind w:left="720" w:hanging="720"/>
        <w:rPr>
          <w:shd w:val="clear" w:color="auto" w:fill="ffffff"/>
        </w:rPr>
      </w:pPr>
      <w:r>
        <w:rPr>
          <w:shd w:val="clear" w:color="auto" w:fill="ffffff"/>
        </w:rPr>
        <w:t>Schaub, M., 2020. Stock market timing effects on individual retirement plans: All holding period returns are not ‘average’. </w:t>
      </w:r>
      <w:r>
        <w:rPr>
          <w:i/>
          <w:iCs/>
          <w:shd w:val="clear" w:color="auto" w:fill="ffffff"/>
        </w:rPr>
        <w:t>Journal of Financial Services Marketing</w:t>
      </w:r>
      <w:r>
        <w:rPr>
          <w:shd w:val="clear" w:color="auto" w:fill="ffffff"/>
        </w:rPr>
        <w:t>, 7(3), pp.267-274.</w:t>
      </w:r>
    </w:p>
    <w:p>
      <w:pPr>
        <w:pStyle w:val="style0"/>
        <w:ind w:left="720" w:hanging="720"/>
        <w:rPr/>
      </w:pPr>
      <w:r>
        <w:rPr>
          <w:shd w:val="clear" w:color="auto" w:fill="ffffff"/>
        </w:rPr>
        <w:t>Situm</w:t>
      </w:r>
      <w:r>
        <w:rPr>
          <w:shd w:val="clear" w:color="auto" w:fill="ffffff"/>
        </w:rPr>
        <w:t>, M., 2019. Inability of Gearing-Ratio as Predictor for Early Warning Systems. </w:t>
      </w:r>
      <w:r>
        <w:rPr>
          <w:i/>
          <w:iCs/>
          <w:shd w:val="clear" w:color="auto" w:fill="ffffff"/>
        </w:rPr>
        <w:t>Business Systems Research Journal</w:t>
      </w:r>
      <w:r>
        <w:rPr>
          <w:shd w:val="clear" w:color="auto" w:fill="ffffff"/>
        </w:rPr>
        <w:t>, 5(2), pp.23-45.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altName w:val="Calibri Light"/>
    <w:panose1 w:val="020f0302020002030204"/>
    <w:charset w:val="00"/>
    <w:family w:val="swiss"/>
    <w:pitch w:val="variable"/>
    <w:sig w:usb0="E4002EFF" w:usb1="C000247B" w:usb2="00000009" w:usb3="00000000" w:csb0="000001F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p>
  <w:p>
    <w:pPr>
      <w:pStyle w:val="style32"/>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FD8FB14"/>
    <w:lvl w:ilvl="0" w:tplc="AB14AD9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B71E9324"/>
    <w:lvl w:ilvl="0" w:tplc="71DECD7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2"/>
    <w:multiLevelType w:val="hybridMultilevel"/>
    <w:tmpl w:val="923A3C10"/>
    <w:lvl w:ilvl="0" w:tplc="B3C2A12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0000003"/>
    <w:multiLevelType w:val="hybridMultilevel"/>
    <w:tmpl w:val="80DE29C2"/>
    <w:lvl w:ilvl="0" w:tplc="31C48F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before="240" w:after="400" w:lineRule="auto" w:line="360"/>
      <w:jc w:val="both"/>
    </w:pPr>
    <w:rPr>
      <w:rFonts w:ascii="Times New Roman" w:hAnsi="Times New Roman"/>
      <w:color w:val="000000"/>
      <w:sz w:val="24"/>
    </w:rPr>
  </w:style>
  <w:style w:type="paragraph" w:styleId="style1">
    <w:name w:val="heading 1"/>
    <w:basedOn w:val="style0"/>
    <w:next w:val="style0"/>
    <w:link w:val="style4098"/>
    <w:qFormat/>
    <w:uiPriority w:val="9"/>
    <w:pPr>
      <w:keepNext/>
      <w:keepLines/>
      <w:spacing w:before="0" w:after="0"/>
      <w:outlineLvl w:val="0"/>
    </w:pPr>
    <w:rPr>
      <w:rFonts w:cs="Vrinda" w:eastAsia="宋体"/>
      <w:b/>
      <w:color w:val="2f5496"/>
      <w:sz w:val="32"/>
      <w:szCs w:val="32"/>
    </w:rPr>
  </w:style>
  <w:style w:type="paragraph" w:styleId="style2">
    <w:name w:val="heading 2"/>
    <w:basedOn w:val="style0"/>
    <w:next w:val="style0"/>
    <w:link w:val="style4097"/>
    <w:qFormat/>
    <w:uiPriority w:val="9"/>
    <w:pPr>
      <w:keepNext/>
      <w:keepLines/>
      <w:spacing w:before="40" w:after="0"/>
      <w:outlineLvl w:val="1"/>
    </w:pPr>
    <w:rPr>
      <w:rFonts w:cs="Vrinda" w:eastAsia="宋体"/>
      <w:b/>
      <w:color w:val="4472c4"/>
      <w:sz w:val="28"/>
      <w:szCs w:val="26"/>
    </w:rPr>
  </w:style>
  <w:style w:type="paragraph" w:styleId="style3">
    <w:name w:val="heading 3"/>
    <w:basedOn w:val="style0"/>
    <w:next w:val="style0"/>
    <w:link w:val="style4099"/>
    <w:qFormat/>
    <w:uiPriority w:val="9"/>
    <w:pPr>
      <w:keepNext/>
      <w:keepLines/>
      <w:spacing w:before="40" w:after="0"/>
      <w:outlineLvl w:val="2"/>
    </w:pPr>
    <w:rPr>
      <w:rFonts w:cs="Vrinda" w:eastAsia="宋体"/>
      <w:b/>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2 Char_e13f0fbd-e169-4de0-9fdb-8f9ba23b7ab8"/>
    <w:basedOn w:val="style65"/>
    <w:next w:val="style4097"/>
    <w:link w:val="style2"/>
    <w:uiPriority w:val="9"/>
    <w:rPr>
      <w:rFonts w:ascii="Times New Roman" w:cs="Vrinda" w:eastAsia="宋体" w:hAnsi="Times New Roman"/>
      <w:b/>
      <w:color w:val="4472c4"/>
      <w:sz w:val="28"/>
      <w:szCs w:val="26"/>
    </w:rPr>
  </w:style>
  <w:style w:type="character" w:customStyle="1" w:styleId="style4098">
    <w:name w:val="Heading 1 Char_f36042bd-f3f4-4ad5-a718-e864220c1c3a"/>
    <w:basedOn w:val="style65"/>
    <w:next w:val="style4098"/>
    <w:link w:val="style1"/>
    <w:uiPriority w:val="9"/>
    <w:rPr>
      <w:rFonts w:ascii="Times New Roman" w:cs="Vrinda" w:eastAsia="宋体" w:hAnsi="Times New Roman"/>
      <w:b/>
      <w:color w:val="2f5496"/>
      <w:sz w:val="32"/>
      <w:szCs w:val="32"/>
    </w:rPr>
  </w:style>
  <w:style w:type="character" w:customStyle="1" w:styleId="style4099">
    <w:name w:val="Heading 3 Char_eee7afaa-6c85-4551-8126-3e7495fcf3d3"/>
    <w:basedOn w:val="style65"/>
    <w:next w:val="style4099"/>
    <w:link w:val="style3"/>
    <w:uiPriority w:val="9"/>
    <w:rPr>
      <w:rFonts w:ascii="Times New Roman" w:cs="Vrinda" w:eastAsia="宋体" w:hAnsi="Times New Roman"/>
      <w:b/>
      <w:sz w:val="24"/>
      <w:szCs w:val="24"/>
    </w:rPr>
  </w:style>
  <w:style w:type="paragraph" w:styleId="style62">
    <w:name w:val="Title"/>
    <w:basedOn w:val="style0"/>
    <w:next w:val="style0"/>
    <w:link w:val="style4100"/>
    <w:qFormat/>
    <w:uiPriority w:val="10"/>
    <w:pPr>
      <w:spacing w:after="0" w:lineRule="auto" w:line="240"/>
      <w:contextualSpacing/>
    </w:pPr>
    <w:rPr>
      <w:rFonts w:cs="Vrinda" w:eastAsia="宋体"/>
      <w:b/>
      <w:color w:val="002060"/>
      <w:spacing w:val="-10"/>
      <w:kern w:val="28"/>
      <w:sz w:val="56"/>
      <w:szCs w:val="56"/>
    </w:rPr>
  </w:style>
  <w:style w:type="character" w:customStyle="1" w:styleId="style4100">
    <w:name w:val="Title Char_2a0bfad9-f255-44e0-8522-f432b62473e7"/>
    <w:basedOn w:val="style65"/>
    <w:next w:val="style4100"/>
    <w:link w:val="style62"/>
    <w:uiPriority w:val="10"/>
    <w:rPr>
      <w:rFonts w:ascii="Times New Roman" w:cs="Vrinda" w:eastAsia="宋体" w:hAnsi="Times New Roman"/>
      <w:b/>
      <w:color w:val="002060"/>
      <w:spacing w:val="-10"/>
      <w:kern w:val="28"/>
      <w:sz w:val="56"/>
      <w:szCs w:val="56"/>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01"/>
    <w:uiPriority w:val="99"/>
    <w:pPr>
      <w:tabs>
        <w:tab w:val="center" w:leader="none" w:pos="4680"/>
        <w:tab w:val="right" w:leader="none" w:pos="9360"/>
      </w:tabs>
      <w:spacing w:before="0" w:after="0" w:lineRule="auto" w:line="240"/>
    </w:pPr>
    <w:rPr/>
  </w:style>
  <w:style w:type="character" w:customStyle="1" w:styleId="style4101">
    <w:name w:val="Header Char_8dcc82dc-88c8-43a3-be86-e6c3d0464335"/>
    <w:basedOn w:val="style65"/>
    <w:next w:val="style4101"/>
    <w:link w:val="style31"/>
    <w:uiPriority w:val="99"/>
    <w:rPr>
      <w:rFonts w:ascii="Times New Roman" w:hAnsi="Times New Roman"/>
      <w:color w:val="000000"/>
      <w:sz w:val="24"/>
    </w:rPr>
  </w:style>
  <w:style w:type="paragraph" w:styleId="style32">
    <w:name w:val="footer"/>
    <w:basedOn w:val="style0"/>
    <w:next w:val="style32"/>
    <w:link w:val="style4102"/>
    <w:uiPriority w:val="99"/>
    <w:pPr>
      <w:tabs>
        <w:tab w:val="center" w:leader="none" w:pos="4680"/>
        <w:tab w:val="right" w:leader="none" w:pos="9360"/>
      </w:tabs>
      <w:spacing w:before="0" w:after="0" w:lineRule="auto" w:line="240"/>
    </w:pPr>
    <w:rPr/>
  </w:style>
  <w:style w:type="character" w:customStyle="1" w:styleId="style4102">
    <w:name w:val="Footer Char_74397e93-a633-42c3-89ca-2fb111867cea"/>
    <w:basedOn w:val="style65"/>
    <w:next w:val="style4102"/>
    <w:link w:val="style32"/>
    <w:uiPriority w:val="99"/>
    <w:rPr>
      <w:rFonts w:ascii="Times New Roman" w:hAnsi="Times New Roman"/>
      <w:color w:val="000000"/>
      <w:sz w:val="24"/>
    </w:rPr>
  </w:style>
  <w:style w:type="paragraph" w:styleId="style266">
    <w:name w:val="TOC Heading"/>
    <w:basedOn w:val="style1"/>
    <w:next w:val="style0"/>
    <w:qFormat/>
    <w:uiPriority w:val="39"/>
    <w:pPr>
      <w:spacing w:before="240" w:lineRule="auto" w:line="259"/>
      <w:jc w:val="left"/>
      <w:outlineLvl w:val="9"/>
    </w:pPr>
    <w:rPr>
      <w:rFonts w:ascii="Calibri Light" w:hAnsi="Calibri Light"/>
      <w:b w:val="fals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100C59-EC88-40C1-B3A9-552F35295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Words>2425</Words>
  <Pages>20</Pages>
  <Characters>12302</Characters>
  <Application>WPS Office</Application>
  <DocSecurity>0</DocSecurity>
  <Paragraphs>358</Paragraphs>
  <ScaleCrop>false</ScaleCrop>
  <LinksUpToDate>false</LinksUpToDate>
  <CharactersWithSpaces>15403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2021-07-20T13:37:00Z</dcterms:created>
  <dc:creator>WPS Office</dc:creator>
  <lastModifiedBy>AGS3-W09</lastModifiedBy>
  <dcterms:modified xsi:type="dcterms:W3CDTF">2021-08-07T21:37:51Z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bf98174768b4460f9523da411aa5b0f4</vt:lpwstr>
  </property>
</Properties>
</file>