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156082" w:themeColor="accent1"/>
        </w:rPr>
        <w:id w:val="-1714264909"/>
        <w:docPartObj>
          <w:docPartGallery w:val="Cover Pages"/>
          <w:docPartUnique/>
        </w:docPartObj>
      </w:sdtPr>
      <w:sdtEndPr>
        <w:rPr>
          <w:rFonts w:ascii="Arial Black" w:eastAsiaTheme="minorHAnsi" w:hAnsi="Arial Black" w:cs="Arial"/>
          <w:color w:val="auto"/>
          <w:kern w:val="2"/>
          <w:sz w:val="24"/>
          <w:szCs w:val="24"/>
          <w:lang w:val="en-GB"/>
          <w14:ligatures w14:val="standardContextual"/>
        </w:rPr>
      </w:sdtEndPr>
      <w:sdtContent>
        <w:p w14:paraId="798A5CDB" w14:textId="17E87BFE" w:rsidR="00CF7B62" w:rsidRDefault="00CF7B62">
          <w:pPr>
            <w:pStyle w:val="NoSpacing"/>
            <w:spacing w:before="1540" w:after="240"/>
            <w:jc w:val="center"/>
            <w:rPr>
              <w:color w:val="156082" w:themeColor="accent1"/>
            </w:rPr>
          </w:pPr>
          <w:r>
            <w:rPr>
              <w:noProof/>
              <w:color w:val="156082" w:themeColor="accent1"/>
            </w:rPr>
            <w:drawing>
              <wp:inline distT="0" distB="0" distL="0" distR="0" wp14:anchorId="60332BB1" wp14:editId="26201DA3">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Black" w:eastAsiaTheme="majorEastAsia" w:hAnsi="Arial Black" w:cstheme="majorBidi"/>
              <w:caps/>
              <w:color w:val="156082" w:themeColor="accent1"/>
              <w:sz w:val="48"/>
              <w:szCs w:val="48"/>
            </w:rPr>
            <w:alias w:val="Title"/>
            <w:tag w:val=""/>
            <w:id w:val="1735040861"/>
            <w:placeholder>
              <w:docPart w:val="9E071A2606C24D1BABE93633A99DF143"/>
            </w:placeholder>
            <w:dataBinding w:prefixMappings="xmlns:ns0='http://purl.org/dc/elements/1.1/' xmlns:ns1='http://schemas.openxmlformats.org/package/2006/metadata/core-properties' " w:xpath="/ns1:coreProperties[1]/ns0:title[1]" w:storeItemID="{6C3C8BC8-F283-45AE-878A-BAB7291924A1}"/>
            <w:text/>
          </w:sdtPr>
          <w:sdtContent>
            <w:p w14:paraId="7D94687B" w14:textId="0D14B014" w:rsidR="00CF7B62" w:rsidRPr="00CF7B62" w:rsidRDefault="00CF7B62" w:rsidP="00CF7B62">
              <w:pPr>
                <w:pStyle w:val="NoSpacing"/>
                <w:pBdr>
                  <w:top w:val="single" w:sz="6" w:space="6" w:color="156082" w:themeColor="accent1"/>
                  <w:bottom w:val="single" w:sz="6" w:space="6" w:color="156082" w:themeColor="accent1"/>
                </w:pBdr>
                <w:spacing w:after="240"/>
                <w:jc w:val="center"/>
                <w:rPr>
                  <w:rFonts w:ascii="Arial Black" w:eastAsiaTheme="majorEastAsia" w:hAnsi="Arial Black" w:cstheme="majorBidi"/>
                  <w:caps/>
                  <w:color w:val="156082" w:themeColor="accent1"/>
                  <w:sz w:val="48"/>
                  <w:szCs w:val="48"/>
                </w:rPr>
              </w:pPr>
              <w:r w:rsidRPr="00CF7B62">
                <w:rPr>
                  <w:rFonts w:ascii="Arial Black" w:eastAsiaTheme="majorEastAsia" w:hAnsi="Arial Black" w:cstheme="majorBidi"/>
                  <w:caps/>
                  <w:color w:val="156082" w:themeColor="accent1"/>
                  <w:sz w:val="48"/>
                  <w:szCs w:val="48"/>
                </w:rPr>
                <w:t>Opportunities and Challenges Facing Social Enterprises: A SWOT Analysis</w:t>
              </w:r>
            </w:p>
          </w:sdtContent>
        </w:sdt>
        <w:p w14:paraId="41792953" w14:textId="77777777" w:rsidR="00CF7B62" w:rsidRDefault="00CF7B62">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391DC51D" wp14:editId="461FCDA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hAnsi="Arial Black"/>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11-10T00:00:00Z">
                                    <w:dateFormat w:val="MMMM d, yyyy"/>
                                    <w:lid w:val="en-US"/>
                                    <w:storeMappedDataAs w:val="dateTime"/>
                                    <w:calendar w:val="gregorian"/>
                                  </w:date>
                                </w:sdtPr>
                                <w:sdtContent>
                                  <w:p w14:paraId="2D5AD6A7" w14:textId="0623CB1B" w:rsidR="00CF7B62" w:rsidRPr="00CF7B62" w:rsidRDefault="00CF7B62">
                                    <w:pPr>
                                      <w:pStyle w:val="NoSpacing"/>
                                      <w:spacing w:after="40"/>
                                      <w:jc w:val="center"/>
                                      <w:rPr>
                                        <w:rFonts w:ascii="Arial Black" w:hAnsi="Arial Black"/>
                                        <w:caps/>
                                        <w:color w:val="156082" w:themeColor="accent1"/>
                                        <w:sz w:val="28"/>
                                        <w:szCs w:val="28"/>
                                      </w:rPr>
                                    </w:pPr>
                                    <w:r w:rsidRPr="00CF7B62">
                                      <w:rPr>
                                        <w:rFonts w:ascii="Arial Black" w:hAnsi="Arial Black"/>
                                        <w:caps/>
                                        <w:color w:val="156082" w:themeColor="accent1"/>
                                        <w:sz w:val="28"/>
                                        <w:szCs w:val="28"/>
                                      </w:rPr>
                                      <w:t>November 10, 2024</w:t>
                                    </w:r>
                                  </w:p>
                                </w:sdtContent>
                              </w:sdt>
                              <w:p w14:paraId="10E9A1BB" w14:textId="7A91FD27" w:rsidR="00CF7B62" w:rsidRPr="00CF7B62" w:rsidRDefault="00CF7B62">
                                <w:pPr>
                                  <w:pStyle w:val="NoSpacing"/>
                                  <w:jc w:val="center"/>
                                  <w:rPr>
                                    <w:rFonts w:ascii="Arial Black" w:hAnsi="Arial Black"/>
                                    <w:color w:val="156082" w:themeColor="accent1"/>
                                  </w:rPr>
                                </w:pPr>
                                <w:sdt>
                                  <w:sdtPr>
                                    <w:rPr>
                                      <w:rFonts w:ascii="Arial Black" w:hAnsi="Arial Black"/>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CF7B62">
                                      <w:rPr>
                                        <w:rFonts w:ascii="Arial Black" w:hAnsi="Arial Black"/>
                                        <w:caps/>
                                        <w:color w:val="156082" w:themeColor="accent1"/>
                                      </w:rPr>
                                      <w:t>Social Enterprise: Theory and Practise</w:t>
                                    </w:r>
                                    <w:r w:rsidRPr="00CF7B62">
                                      <w:rPr>
                                        <w:rFonts w:ascii="Arial Black" w:hAnsi="Arial Black"/>
                                        <w:caps/>
                                        <w:color w:val="156082" w:themeColor="accent1"/>
                                      </w:rPr>
                                      <w:t xml:space="preserve"> </w:t>
                                    </w:r>
                                    <w:r w:rsidRPr="00CF7B62">
                                      <w:rPr>
                                        <w:rFonts w:ascii="Arial Black" w:hAnsi="Arial Black"/>
                                        <w:caps/>
                                        <w:color w:val="156082" w:themeColor="accent1"/>
                                      </w:rPr>
                                      <w:t>BMSE4009D</w:t>
                                    </w:r>
                                  </w:sdtContent>
                                </w:sdt>
                              </w:p>
                              <w:p w14:paraId="6DEE4D56" w14:textId="2807EEA3" w:rsidR="00CF7B62" w:rsidRDefault="00CF7B62">
                                <w:pPr>
                                  <w:pStyle w:val="NoSpacing"/>
                                  <w:jc w:val="center"/>
                                  <w:rPr>
                                    <w:color w:val="156082" w:themeColor="accent1"/>
                                  </w:rPr>
                                </w:pPr>
                                <w:sdt>
                                  <w:sdtPr>
                                    <w:rPr>
                                      <w:rFonts w:ascii="Arial Black" w:hAnsi="Arial Black"/>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Pr="00CF7B62">
                                      <w:rPr>
                                        <w:rFonts w:ascii="Arial Black" w:hAnsi="Arial Black"/>
                                        <w:color w:val="156082" w:themeColor="accent1"/>
                                      </w:rPr>
                                      <w:t>Maria Laura Nita (2414599)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91DC51D"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Arial Black" w:hAnsi="Arial Black"/>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11-10T00:00:00Z">
                              <w:dateFormat w:val="MMMM d, yyyy"/>
                              <w:lid w:val="en-US"/>
                              <w:storeMappedDataAs w:val="dateTime"/>
                              <w:calendar w:val="gregorian"/>
                            </w:date>
                          </w:sdtPr>
                          <w:sdtContent>
                            <w:p w14:paraId="2D5AD6A7" w14:textId="0623CB1B" w:rsidR="00CF7B62" w:rsidRPr="00CF7B62" w:rsidRDefault="00CF7B62">
                              <w:pPr>
                                <w:pStyle w:val="NoSpacing"/>
                                <w:spacing w:after="40"/>
                                <w:jc w:val="center"/>
                                <w:rPr>
                                  <w:rFonts w:ascii="Arial Black" w:hAnsi="Arial Black"/>
                                  <w:caps/>
                                  <w:color w:val="156082" w:themeColor="accent1"/>
                                  <w:sz w:val="28"/>
                                  <w:szCs w:val="28"/>
                                </w:rPr>
                              </w:pPr>
                              <w:r w:rsidRPr="00CF7B62">
                                <w:rPr>
                                  <w:rFonts w:ascii="Arial Black" w:hAnsi="Arial Black"/>
                                  <w:caps/>
                                  <w:color w:val="156082" w:themeColor="accent1"/>
                                  <w:sz w:val="28"/>
                                  <w:szCs w:val="28"/>
                                </w:rPr>
                                <w:t>November 10, 2024</w:t>
                              </w:r>
                            </w:p>
                          </w:sdtContent>
                        </w:sdt>
                        <w:p w14:paraId="10E9A1BB" w14:textId="7A91FD27" w:rsidR="00CF7B62" w:rsidRPr="00CF7B62" w:rsidRDefault="00CF7B62">
                          <w:pPr>
                            <w:pStyle w:val="NoSpacing"/>
                            <w:jc w:val="center"/>
                            <w:rPr>
                              <w:rFonts w:ascii="Arial Black" w:hAnsi="Arial Black"/>
                              <w:color w:val="156082" w:themeColor="accent1"/>
                            </w:rPr>
                          </w:pPr>
                          <w:sdt>
                            <w:sdtPr>
                              <w:rPr>
                                <w:rFonts w:ascii="Arial Black" w:hAnsi="Arial Black"/>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CF7B62">
                                <w:rPr>
                                  <w:rFonts w:ascii="Arial Black" w:hAnsi="Arial Black"/>
                                  <w:caps/>
                                  <w:color w:val="156082" w:themeColor="accent1"/>
                                </w:rPr>
                                <w:t>Social Enterprise: Theory and Practise</w:t>
                              </w:r>
                              <w:r w:rsidRPr="00CF7B62">
                                <w:rPr>
                                  <w:rFonts w:ascii="Arial Black" w:hAnsi="Arial Black"/>
                                  <w:caps/>
                                  <w:color w:val="156082" w:themeColor="accent1"/>
                                </w:rPr>
                                <w:t xml:space="preserve"> </w:t>
                              </w:r>
                              <w:r w:rsidRPr="00CF7B62">
                                <w:rPr>
                                  <w:rFonts w:ascii="Arial Black" w:hAnsi="Arial Black"/>
                                  <w:caps/>
                                  <w:color w:val="156082" w:themeColor="accent1"/>
                                </w:rPr>
                                <w:t>BMSE4009D</w:t>
                              </w:r>
                            </w:sdtContent>
                          </w:sdt>
                        </w:p>
                        <w:p w14:paraId="6DEE4D56" w14:textId="2807EEA3" w:rsidR="00CF7B62" w:rsidRDefault="00CF7B62">
                          <w:pPr>
                            <w:pStyle w:val="NoSpacing"/>
                            <w:jc w:val="center"/>
                            <w:rPr>
                              <w:color w:val="156082" w:themeColor="accent1"/>
                            </w:rPr>
                          </w:pPr>
                          <w:sdt>
                            <w:sdtPr>
                              <w:rPr>
                                <w:rFonts w:ascii="Arial Black" w:hAnsi="Arial Black"/>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Pr="00CF7B62">
                                <w:rPr>
                                  <w:rFonts w:ascii="Arial Black" w:hAnsi="Arial Black"/>
                                  <w:color w:val="156082" w:themeColor="accent1"/>
                                </w:rPr>
                                <w:t>Maria Laura Nita (2414599)</w:t>
                              </w:r>
                            </w:sdtContent>
                          </w:sdt>
                        </w:p>
                      </w:txbxContent>
                    </v:textbox>
                    <w10:wrap anchorx="margin" anchory="page"/>
                  </v:shape>
                </w:pict>
              </mc:Fallback>
            </mc:AlternateContent>
          </w:r>
          <w:r>
            <w:rPr>
              <w:noProof/>
              <w:color w:val="156082" w:themeColor="accent1"/>
            </w:rPr>
            <w:drawing>
              <wp:inline distT="0" distB="0" distL="0" distR="0" wp14:anchorId="4D20D9D4" wp14:editId="00517E46">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05DDAA3" w14:textId="488CAC8E" w:rsidR="00CF7B62" w:rsidRDefault="00CF7B62">
          <w:pPr>
            <w:rPr>
              <w:rFonts w:ascii="Arial Black" w:hAnsi="Arial Black" w:cs="Arial"/>
            </w:rPr>
          </w:pPr>
          <w:r>
            <w:rPr>
              <w:rFonts w:ascii="Arial Black" w:hAnsi="Arial Black" w:cs="Arial"/>
            </w:rPr>
            <w:br w:type="page"/>
          </w:r>
        </w:p>
      </w:sdtContent>
    </w:sdt>
    <w:p w14:paraId="7AB01115" w14:textId="35A0AEC7" w:rsidR="00AD367F" w:rsidRDefault="00AD367F" w:rsidP="00AD367F">
      <w:pPr>
        <w:spacing w:line="480" w:lineRule="auto"/>
        <w:rPr>
          <w:rFonts w:ascii="Arial Black" w:hAnsi="Arial Black" w:cs="Arial"/>
        </w:rPr>
      </w:pPr>
      <w:r w:rsidRPr="00AD367F">
        <w:rPr>
          <w:rFonts w:ascii="Arial Black" w:hAnsi="Arial Black" w:cs="Arial"/>
        </w:rPr>
        <w:lastRenderedPageBreak/>
        <w:t xml:space="preserve">Introduction </w:t>
      </w:r>
    </w:p>
    <w:p w14:paraId="53CF5D6B" w14:textId="25D515BF" w:rsidR="00AD367F" w:rsidRPr="00AD367F" w:rsidRDefault="00AD367F" w:rsidP="00AD367F">
      <w:pPr>
        <w:spacing w:line="480" w:lineRule="auto"/>
        <w:rPr>
          <w:rFonts w:ascii="Arial" w:hAnsi="Arial" w:cs="Arial"/>
        </w:rPr>
      </w:pPr>
      <w:r w:rsidRPr="00AD367F">
        <w:rPr>
          <w:rFonts w:ascii="Arial" w:hAnsi="Arial" w:cs="Arial"/>
        </w:rPr>
        <w:t xml:space="preserve">Social enterprises have grown into powerful forces for good in a time of critical social and environmental issues. </w:t>
      </w:r>
      <w:r w:rsidRPr="00AD367F">
        <w:rPr>
          <w:rFonts w:ascii="Arial" w:hAnsi="Arial" w:cs="Arial"/>
        </w:rPr>
        <w:t>To</w:t>
      </w:r>
      <w:r w:rsidRPr="00AD367F">
        <w:rPr>
          <w:rFonts w:ascii="Arial" w:hAnsi="Arial" w:cs="Arial"/>
        </w:rPr>
        <w:t xml:space="preserve"> solve social problems and stay viable financially, these groups combine commercial techniques with social goals. Using academic theories and industrial examples, this essay carefully analyses the SWOT (strengths, weaknesses, opportunities, and threats) factors that social enterprises </w:t>
      </w:r>
      <w:r w:rsidRPr="00AD367F">
        <w:rPr>
          <w:rFonts w:ascii="Arial" w:hAnsi="Arial" w:cs="Arial"/>
        </w:rPr>
        <w:t>must</w:t>
      </w:r>
      <w:r w:rsidRPr="00AD367F">
        <w:rPr>
          <w:rFonts w:ascii="Arial" w:hAnsi="Arial" w:cs="Arial"/>
        </w:rPr>
        <w:t xml:space="preserve"> deal with.</w:t>
      </w:r>
    </w:p>
    <w:p w14:paraId="553FA5A4" w14:textId="77777777" w:rsidR="00AD367F" w:rsidRPr="00AD367F" w:rsidRDefault="00AD367F" w:rsidP="00AD367F">
      <w:pPr>
        <w:spacing w:line="480" w:lineRule="auto"/>
        <w:rPr>
          <w:rFonts w:ascii="Arial" w:hAnsi="Arial" w:cs="Arial"/>
        </w:rPr>
      </w:pPr>
    </w:p>
    <w:p w14:paraId="05C26145" w14:textId="77777777" w:rsidR="00AD367F" w:rsidRPr="00AD367F" w:rsidRDefault="00AD367F" w:rsidP="00AD367F">
      <w:pPr>
        <w:spacing w:line="480" w:lineRule="auto"/>
        <w:rPr>
          <w:rFonts w:ascii="Arial Black" w:hAnsi="Arial Black" w:cs="Arial"/>
        </w:rPr>
      </w:pPr>
      <w:r w:rsidRPr="00AD367F">
        <w:rPr>
          <w:rFonts w:ascii="Arial Black" w:hAnsi="Arial Black" w:cs="Arial"/>
        </w:rPr>
        <w:t>Strengths</w:t>
      </w:r>
    </w:p>
    <w:p w14:paraId="0D1A3BA2" w14:textId="77777777" w:rsidR="00AD367F" w:rsidRPr="00AD367F" w:rsidRDefault="00AD367F" w:rsidP="00AD367F">
      <w:pPr>
        <w:spacing w:line="480" w:lineRule="auto"/>
        <w:rPr>
          <w:rFonts w:ascii="Arial" w:hAnsi="Arial" w:cs="Arial"/>
        </w:rPr>
      </w:pPr>
    </w:p>
    <w:p w14:paraId="426E65BB" w14:textId="5B574308" w:rsidR="00AD367F" w:rsidRPr="00AD367F" w:rsidRDefault="00AD367F" w:rsidP="00AD367F">
      <w:pPr>
        <w:spacing w:line="480" w:lineRule="auto"/>
        <w:rPr>
          <w:rFonts w:ascii="Arial" w:hAnsi="Arial" w:cs="Arial"/>
        </w:rPr>
      </w:pPr>
      <w:r w:rsidRPr="00AD367F">
        <w:rPr>
          <w:rFonts w:ascii="Arial" w:hAnsi="Arial" w:cs="Arial"/>
        </w:rPr>
        <w:t xml:space="preserve">Social enterprises' ability to harmoniously combine mission and market objectives is one of their main assets. Social enterprises, as proposed by Julie Battilana and Matthew Lee in their Hybrid Organisational Theory, skilfully navigate the challenges that arise while trying to fulfil both their social mission and their financial goals. By dividing their attention in two directions, they </w:t>
      </w:r>
      <w:r w:rsidRPr="00AD367F">
        <w:rPr>
          <w:rFonts w:ascii="Arial" w:hAnsi="Arial" w:cs="Arial"/>
        </w:rPr>
        <w:t>can</w:t>
      </w:r>
      <w:r w:rsidRPr="00AD367F">
        <w:rPr>
          <w:rFonts w:ascii="Arial" w:hAnsi="Arial" w:cs="Arial"/>
        </w:rPr>
        <w:t xml:space="preserve"> build distinctive value propositions that set them apart from more conventional companies. Outdoor apparel brand Patagonia, for example, caters to eco-conscious shoppers by making environmental protection an integral part of its operations.</w:t>
      </w:r>
    </w:p>
    <w:p w14:paraId="0EC06914" w14:textId="277377A3" w:rsidR="00AD367F" w:rsidRPr="00AD367F" w:rsidRDefault="00AD367F" w:rsidP="00AD367F">
      <w:pPr>
        <w:spacing w:line="480" w:lineRule="auto"/>
        <w:rPr>
          <w:rFonts w:ascii="Arial" w:hAnsi="Arial" w:cs="Arial"/>
        </w:rPr>
      </w:pPr>
      <w:r w:rsidRPr="00AD367F">
        <w:rPr>
          <w:rFonts w:ascii="Arial" w:hAnsi="Arial" w:cs="Arial"/>
        </w:rPr>
        <w:t xml:space="preserve">Additionally, in line with R. Edward Freeman's Stakeholder Theory, social companies frequently cultivate robust ties with stakeholders. Trust and loyalty are fostered by these organisations by </w:t>
      </w:r>
      <w:r w:rsidRPr="00AD367F">
        <w:rPr>
          <w:rFonts w:ascii="Arial" w:hAnsi="Arial" w:cs="Arial"/>
        </w:rPr>
        <w:t>considering</w:t>
      </w:r>
      <w:r w:rsidRPr="00AD367F">
        <w:rPr>
          <w:rFonts w:ascii="Arial" w:hAnsi="Arial" w:cs="Arial"/>
        </w:rPr>
        <w:t xml:space="preserve"> the interests of all stakeholders, including customers, employees, suppliers, community members, and the environment. They may boost their reputation and potentially get more support and participation by </w:t>
      </w:r>
      <w:r w:rsidRPr="00AD367F">
        <w:rPr>
          <w:rFonts w:ascii="Arial" w:hAnsi="Arial" w:cs="Arial"/>
        </w:rPr>
        <w:lastRenderedPageBreak/>
        <w:t>taking this inclusive approach. Microfinance services provided by Bangladesh's Grameen Bank enable low-income individuals to take charge of their own financial futures, which in turn promotes community development and stakeholder participation.</w:t>
      </w:r>
    </w:p>
    <w:p w14:paraId="3F30B691" w14:textId="77777777" w:rsidR="00AD367F" w:rsidRPr="00AD367F" w:rsidRDefault="00AD367F" w:rsidP="00AD367F">
      <w:pPr>
        <w:spacing w:line="480" w:lineRule="auto"/>
        <w:rPr>
          <w:rFonts w:ascii="Arial" w:hAnsi="Arial" w:cs="Arial"/>
        </w:rPr>
      </w:pPr>
      <w:r w:rsidRPr="00AD367F">
        <w:rPr>
          <w:rFonts w:ascii="Arial" w:hAnsi="Arial" w:cs="Arial"/>
        </w:rPr>
        <w:t>One of their strongest points is their capacity to generate mixed value, as described by Jed Emerson's theory of blended value. In contrast to the conventional wisdom, which holds that social impact and financial returns are inherently incompatible, social enterprises create value for all three at the same time. Impact investors and customers with a social conscience are drawn to this comprehensive value generation. As an example, the eyewear firm Warby Parker uses a buy-one-give-one approach to generate profits while also making a positive impact on global eye care.</w:t>
      </w:r>
    </w:p>
    <w:p w14:paraId="4AD89C43" w14:textId="77777777" w:rsidR="00AD367F" w:rsidRPr="00AD367F" w:rsidRDefault="00AD367F" w:rsidP="00AD367F">
      <w:pPr>
        <w:spacing w:line="480" w:lineRule="auto"/>
        <w:rPr>
          <w:rFonts w:ascii="Arial" w:hAnsi="Arial" w:cs="Arial"/>
        </w:rPr>
      </w:pPr>
    </w:p>
    <w:p w14:paraId="72EF8A08" w14:textId="77777777" w:rsidR="00AD367F" w:rsidRPr="00AD367F" w:rsidRDefault="00AD367F" w:rsidP="00AD367F">
      <w:pPr>
        <w:spacing w:line="480" w:lineRule="auto"/>
        <w:rPr>
          <w:rFonts w:ascii="Arial Black" w:hAnsi="Arial Black" w:cs="Arial"/>
        </w:rPr>
      </w:pPr>
      <w:r w:rsidRPr="00AD367F">
        <w:rPr>
          <w:rFonts w:ascii="Arial Black" w:hAnsi="Arial Black" w:cs="Arial"/>
        </w:rPr>
        <w:t>Weaknesses</w:t>
      </w:r>
    </w:p>
    <w:p w14:paraId="6A8F50FC" w14:textId="77777777" w:rsidR="00AD367F" w:rsidRPr="00AD367F" w:rsidRDefault="00AD367F" w:rsidP="00AD367F">
      <w:pPr>
        <w:spacing w:line="480" w:lineRule="auto"/>
        <w:rPr>
          <w:rFonts w:ascii="Arial" w:hAnsi="Arial" w:cs="Arial"/>
        </w:rPr>
      </w:pPr>
    </w:p>
    <w:p w14:paraId="1722CBF6" w14:textId="77777777" w:rsidR="00AD367F" w:rsidRPr="00AD367F" w:rsidRDefault="00AD367F" w:rsidP="00AD367F">
      <w:pPr>
        <w:spacing w:line="480" w:lineRule="auto"/>
        <w:rPr>
          <w:rFonts w:ascii="Arial" w:hAnsi="Arial" w:cs="Arial"/>
        </w:rPr>
      </w:pPr>
      <w:r w:rsidRPr="00AD367F">
        <w:rPr>
          <w:rFonts w:ascii="Arial" w:hAnsi="Arial" w:cs="Arial"/>
        </w:rPr>
        <w:t xml:space="preserve">There are intrinsic flaws in social companies that might reduce their efficacy, even while they have positives. According to the Resource Dependency Theory put forward by Gerald R. </w:t>
      </w:r>
      <w:proofErr w:type="spellStart"/>
      <w:r w:rsidRPr="00AD367F">
        <w:rPr>
          <w:rFonts w:ascii="Arial" w:hAnsi="Arial" w:cs="Arial"/>
        </w:rPr>
        <w:t>Salancik</w:t>
      </w:r>
      <w:proofErr w:type="spellEnd"/>
      <w:r w:rsidRPr="00AD367F">
        <w:rPr>
          <w:rFonts w:ascii="Arial" w:hAnsi="Arial" w:cs="Arial"/>
        </w:rPr>
        <w:t xml:space="preserve"> and Jeffrey Pfeffer, resource limits are a common problem. There is a risk of financial instability for social enterprises because their funding comes from a variety of sources, such as grants, contributions, and earned money. Their capacity to expand and invest in critical infrastructure may be hindered if they have limited access to funding. For example, a lack of capital makes it hard for many small social firms to grow.</w:t>
      </w:r>
    </w:p>
    <w:p w14:paraId="2CF74BE0" w14:textId="77777777" w:rsidR="00AD367F" w:rsidRPr="00AD367F" w:rsidRDefault="00AD367F" w:rsidP="00AD367F">
      <w:pPr>
        <w:spacing w:line="480" w:lineRule="auto"/>
        <w:rPr>
          <w:rFonts w:ascii="Arial" w:hAnsi="Arial" w:cs="Arial"/>
        </w:rPr>
      </w:pPr>
    </w:p>
    <w:p w14:paraId="262689FF" w14:textId="77777777" w:rsidR="00AD367F" w:rsidRPr="00AD367F" w:rsidRDefault="00AD367F" w:rsidP="00AD367F">
      <w:pPr>
        <w:spacing w:line="480" w:lineRule="auto"/>
        <w:rPr>
          <w:rFonts w:ascii="Arial" w:hAnsi="Arial" w:cs="Arial"/>
        </w:rPr>
      </w:pPr>
      <w:r w:rsidRPr="00AD367F">
        <w:rPr>
          <w:rFonts w:ascii="Arial" w:hAnsi="Arial" w:cs="Arial"/>
        </w:rPr>
        <w:lastRenderedPageBreak/>
        <w:t>Mission drift is an additional serious vulnerability. Keeping social goals and financial constraints in check is a constant struggle for social entrepreneurs, according to Kim Alter's Mission Drift Theory. In their pursuit of profit, these groups run the risk of watering down their social goal in favour of more commercial pursuits. The effectiveness of TOMS Shoes' one-for-one approach was called into doubt, leading to criticism that raised concerns about the long-term benefits to recipient communities.</w:t>
      </w:r>
    </w:p>
    <w:p w14:paraId="2D9DF013" w14:textId="77777777" w:rsidR="00AD367F" w:rsidRPr="00AD367F" w:rsidRDefault="00AD367F" w:rsidP="00AD367F">
      <w:pPr>
        <w:spacing w:line="480" w:lineRule="auto"/>
        <w:rPr>
          <w:rFonts w:ascii="Arial" w:hAnsi="Arial" w:cs="Arial"/>
        </w:rPr>
      </w:pPr>
      <w:r w:rsidRPr="00AD367F">
        <w:rPr>
          <w:rFonts w:ascii="Arial" w:hAnsi="Arial" w:cs="Arial"/>
        </w:rPr>
        <w:t>There are further obstacles to overcome when trying to measure social impact. Roberts Enterprise Development Fund and Jed Emerson's Social Return on Investment (SROI) paradigm offers a way to measure social value, but it's still complicated and requires a lot of resources. Many nonprofits lack the resources necessary to gather and analyse data effectively, which is a major barrier to accurate assessment. Because of this, they could have trouble convincing stakeholders and investors of their value.</w:t>
      </w:r>
    </w:p>
    <w:p w14:paraId="1F0FCF7D" w14:textId="77777777" w:rsidR="00AD367F" w:rsidRPr="00AD367F" w:rsidRDefault="00AD367F" w:rsidP="00AD367F">
      <w:pPr>
        <w:spacing w:line="480" w:lineRule="auto"/>
        <w:rPr>
          <w:rFonts w:ascii="Arial" w:hAnsi="Arial" w:cs="Arial"/>
        </w:rPr>
      </w:pPr>
    </w:p>
    <w:p w14:paraId="3C97A5EF" w14:textId="77777777" w:rsidR="00AD367F" w:rsidRPr="00AD367F" w:rsidRDefault="00AD367F" w:rsidP="00AD367F">
      <w:pPr>
        <w:spacing w:line="480" w:lineRule="auto"/>
        <w:rPr>
          <w:rFonts w:ascii="Arial Black" w:hAnsi="Arial Black" w:cs="Arial"/>
        </w:rPr>
      </w:pPr>
      <w:r w:rsidRPr="00AD367F">
        <w:rPr>
          <w:rFonts w:ascii="Arial Black" w:hAnsi="Arial Black" w:cs="Arial"/>
        </w:rPr>
        <w:t>Opportunities</w:t>
      </w:r>
    </w:p>
    <w:p w14:paraId="20C58C28" w14:textId="77777777" w:rsidR="00AD367F" w:rsidRPr="00AD367F" w:rsidRDefault="00AD367F" w:rsidP="00AD367F">
      <w:pPr>
        <w:spacing w:line="480" w:lineRule="auto"/>
        <w:rPr>
          <w:rFonts w:ascii="Arial" w:hAnsi="Arial" w:cs="Arial"/>
        </w:rPr>
      </w:pPr>
    </w:p>
    <w:p w14:paraId="559E9533" w14:textId="77777777" w:rsidR="00AD367F" w:rsidRPr="00AD367F" w:rsidRDefault="00AD367F" w:rsidP="00AD367F">
      <w:pPr>
        <w:spacing w:line="480" w:lineRule="auto"/>
        <w:rPr>
          <w:rFonts w:ascii="Arial" w:hAnsi="Arial" w:cs="Arial"/>
        </w:rPr>
      </w:pPr>
      <w:r w:rsidRPr="00AD367F">
        <w:rPr>
          <w:rFonts w:ascii="Arial" w:hAnsi="Arial" w:cs="Arial"/>
        </w:rPr>
        <w:t xml:space="preserve">Opportunities abound for social enterprises to increase their impact and longevity in the ever-changing marketplace. More and more money </w:t>
      </w:r>
      <w:proofErr w:type="gramStart"/>
      <w:r w:rsidRPr="00AD367F">
        <w:rPr>
          <w:rFonts w:ascii="Arial" w:hAnsi="Arial" w:cs="Arial"/>
        </w:rPr>
        <w:t>is</w:t>
      </w:r>
      <w:proofErr w:type="gramEnd"/>
      <w:r w:rsidRPr="00AD367F">
        <w:rPr>
          <w:rFonts w:ascii="Arial" w:hAnsi="Arial" w:cs="Arial"/>
        </w:rPr>
        <w:t xml:space="preserve"> becoming available through the impact investment industry. Capital is now flowing into initiatives that create social and environmental benefits in addition to financial rewards, thanks to the Rockefeller Foundation's promotion of Impact Investing Theory and other groups like GIIN and B Lab. Social enterprises can take advantage of this trend to attract investors and expand their operations.</w:t>
      </w:r>
    </w:p>
    <w:p w14:paraId="3FCEA7FC" w14:textId="77777777" w:rsidR="00AD367F" w:rsidRPr="00AD367F" w:rsidRDefault="00AD367F" w:rsidP="00AD367F">
      <w:pPr>
        <w:spacing w:line="480" w:lineRule="auto"/>
        <w:rPr>
          <w:rFonts w:ascii="Arial" w:hAnsi="Arial" w:cs="Arial"/>
        </w:rPr>
      </w:pPr>
    </w:p>
    <w:p w14:paraId="760F3BF2" w14:textId="77777777" w:rsidR="00AD367F" w:rsidRPr="00AD367F" w:rsidRDefault="00AD367F" w:rsidP="00AD367F">
      <w:pPr>
        <w:spacing w:line="480" w:lineRule="auto"/>
        <w:rPr>
          <w:rFonts w:ascii="Arial" w:hAnsi="Arial" w:cs="Arial"/>
        </w:rPr>
      </w:pPr>
      <w:r w:rsidRPr="00AD367F">
        <w:rPr>
          <w:rFonts w:ascii="Arial" w:hAnsi="Arial" w:cs="Arial"/>
        </w:rPr>
        <w:t xml:space="preserve">In addition, following in the footsteps of Gregory </w:t>
      </w:r>
      <w:proofErr w:type="spellStart"/>
      <w:r w:rsidRPr="00AD367F">
        <w:rPr>
          <w:rFonts w:ascii="Arial" w:hAnsi="Arial" w:cs="Arial"/>
        </w:rPr>
        <w:t>Dees's</w:t>
      </w:r>
      <w:proofErr w:type="spellEnd"/>
      <w:r w:rsidRPr="00AD367F">
        <w:rPr>
          <w:rFonts w:ascii="Arial" w:hAnsi="Arial" w:cs="Arial"/>
        </w:rPr>
        <w:t xml:space="preserve"> Social Innovation Theory, social enterprises can provide novel approaches to vexing societal issues. Unmet demands and systemic change can be addressed </w:t>
      </w:r>
      <w:proofErr w:type="gramStart"/>
      <w:r w:rsidRPr="00AD367F">
        <w:rPr>
          <w:rFonts w:ascii="Arial" w:hAnsi="Arial" w:cs="Arial"/>
        </w:rPr>
        <w:t>through the use of</w:t>
      </w:r>
      <w:proofErr w:type="gramEnd"/>
      <w:r w:rsidRPr="00AD367F">
        <w:rPr>
          <w:rFonts w:ascii="Arial" w:hAnsi="Arial" w:cs="Arial"/>
        </w:rPr>
        <w:t xml:space="preserve"> creative approaches and technology. Kiva and other fintech social enterprises are showing how innovation can help underprivileged people get access to microloans and other financial services.</w:t>
      </w:r>
    </w:p>
    <w:p w14:paraId="3F79CFC1" w14:textId="77777777" w:rsidR="00AD367F" w:rsidRPr="00AD367F" w:rsidRDefault="00AD367F" w:rsidP="00AD367F">
      <w:pPr>
        <w:spacing w:line="480" w:lineRule="auto"/>
        <w:rPr>
          <w:rFonts w:ascii="Arial" w:hAnsi="Arial" w:cs="Arial"/>
        </w:rPr>
      </w:pPr>
      <w:r w:rsidRPr="00AD367F">
        <w:rPr>
          <w:rFonts w:ascii="Arial" w:hAnsi="Arial" w:cs="Arial"/>
        </w:rPr>
        <w:t>There is also a great chance to scale social impact. Scaling Social Impact Theory, developed by Paul Bloom and J. Gregory Dees, places an emphasis on what makes it possible for social enterprises to increase the scope and impact of their work. Social enterprises can grow their impact by introducing new products or services or by emulating existing successful models. The services of One Acre Fund, an organisation that helps smallholder farmers in Africa, have been expanded to other nations, allowing them to improve agricultural output and livelihoods for more people.</w:t>
      </w:r>
    </w:p>
    <w:p w14:paraId="62829544" w14:textId="17ECC63E" w:rsidR="00AD367F" w:rsidRPr="00AD367F" w:rsidRDefault="005965E0" w:rsidP="00AD367F">
      <w:pPr>
        <w:spacing w:line="480" w:lineRule="auto"/>
        <w:rPr>
          <w:rFonts w:ascii="Arial" w:hAnsi="Arial" w:cs="Arial"/>
        </w:rPr>
      </w:pPr>
      <w:r w:rsidRPr="00AD367F">
        <w:rPr>
          <w:rFonts w:ascii="Arial" w:hAnsi="Arial" w:cs="Arial"/>
        </w:rPr>
        <w:t>Finally</w:t>
      </w:r>
      <w:r w:rsidR="00AD367F" w:rsidRPr="00AD367F">
        <w:rPr>
          <w:rFonts w:ascii="Arial" w:hAnsi="Arial" w:cs="Arial"/>
        </w:rPr>
        <w:t>, chances for expansion arise when social enterprises are recognised and validated more. According to Paul DiMaggio and Walter Powell's Institutional Theory, an organization's chances of survival improve when it conforms to societal standards and gains legitimacy. Businesses with a social mission and environmental focus will have an advantage in today's market because of the growing number of ecologically and socially conscious consumers and governments. Businesses that have earned certifications such as B Corp status have proven that they are serious about improving society and the environment through increased openness and responsibility.</w:t>
      </w:r>
    </w:p>
    <w:p w14:paraId="46A54A30" w14:textId="77777777" w:rsidR="00AD367F" w:rsidRPr="00AD367F" w:rsidRDefault="00AD367F" w:rsidP="00AD367F">
      <w:pPr>
        <w:spacing w:line="480" w:lineRule="auto"/>
        <w:rPr>
          <w:rFonts w:ascii="Arial" w:hAnsi="Arial" w:cs="Arial"/>
        </w:rPr>
      </w:pPr>
    </w:p>
    <w:p w14:paraId="4E1BF046" w14:textId="77777777" w:rsidR="00AD367F" w:rsidRPr="005965E0" w:rsidRDefault="00AD367F" w:rsidP="00AD367F">
      <w:pPr>
        <w:spacing w:line="480" w:lineRule="auto"/>
        <w:rPr>
          <w:rFonts w:ascii="Arial Black" w:hAnsi="Arial Black" w:cs="Arial"/>
        </w:rPr>
      </w:pPr>
      <w:r w:rsidRPr="005965E0">
        <w:rPr>
          <w:rFonts w:ascii="Arial Black" w:hAnsi="Arial Black" w:cs="Arial"/>
        </w:rPr>
        <w:lastRenderedPageBreak/>
        <w:t>Threats</w:t>
      </w:r>
    </w:p>
    <w:p w14:paraId="20DD894B" w14:textId="77777777" w:rsidR="00AD367F" w:rsidRPr="00AD367F" w:rsidRDefault="00AD367F" w:rsidP="00AD367F">
      <w:pPr>
        <w:spacing w:line="480" w:lineRule="auto"/>
        <w:rPr>
          <w:rFonts w:ascii="Arial" w:hAnsi="Arial" w:cs="Arial"/>
        </w:rPr>
      </w:pPr>
    </w:p>
    <w:p w14:paraId="6DE8D03E" w14:textId="7B688140" w:rsidR="00AD367F" w:rsidRPr="00AD367F" w:rsidRDefault="00AD367F" w:rsidP="00AD367F">
      <w:pPr>
        <w:spacing w:line="480" w:lineRule="auto"/>
        <w:rPr>
          <w:rFonts w:ascii="Arial" w:hAnsi="Arial" w:cs="Arial"/>
        </w:rPr>
      </w:pPr>
      <w:r w:rsidRPr="00AD367F">
        <w:rPr>
          <w:rFonts w:ascii="Arial" w:hAnsi="Arial" w:cs="Arial"/>
        </w:rPr>
        <w:t xml:space="preserve">There are still major risks that social </w:t>
      </w:r>
      <w:r w:rsidR="005965E0">
        <w:rPr>
          <w:rFonts w:ascii="Arial" w:hAnsi="Arial" w:cs="Arial"/>
        </w:rPr>
        <w:t>enterprises</w:t>
      </w:r>
      <w:r w:rsidRPr="00AD367F">
        <w:rPr>
          <w:rFonts w:ascii="Arial" w:hAnsi="Arial" w:cs="Arial"/>
        </w:rPr>
        <w:t xml:space="preserve"> must contend with if they are to take advantage of these prospects. The distinct selling point of social enterprises may be diminished by competitive challenges from more conventional firms that embrace socially responsible activities. Distinction based on social effect is becoming less significant as more corporations incorporate corporate social responsibility (CSR) efforts. For instance, social companies that use ethical sourcing to set themselves apart face competition from big corporations that are getting into the fair-trade sector.</w:t>
      </w:r>
    </w:p>
    <w:p w14:paraId="1F1A3D6D" w14:textId="77777777" w:rsidR="00AD367F" w:rsidRPr="00AD367F" w:rsidRDefault="00AD367F" w:rsidP="00AD367F">
      <w:pPr>
        <w:spacing w:line="480" w:lineRule="auto"/>
        <w:rPr>
          <w:rFonts w:ascii="Arial" w:hAnsi="Arial" w:cs="Arial"/>
        </w:rPr>
      </w:pPr>
      <w:r w:rsidRPr="00AD367F">
        <w:rPr>
          <w:rFonts w:ascii="Arial" w:hAnsi="Arial" w:cs="Arial"/>
        </w:rPr>
        <w:t>Additional dangers come from institutional obstacles and difficulties with regulations. Particularly for social companies functioning in various jurisdictions, complying with intricate regulatory requirements can be a strain. According to Institutional Theory, it takes a lot of resources to deal with these external forces. Negative policies and a lack of enabling laws might also impede their operations. As an example, social companies may find it challenging to produce revenue in nations with strict nonprofit restrictions.</w:t>
      </w:r>
    </w:p>
    <w:p w14:paraId="1277EA5C" w14:textId="77777777" w:rsidR="00AD367F" w:rsidRPr="00AD367F" w:rsidRDefault="00AD367F" w:rsidP="00AD367F">
      <w:pPr>
        <w:spacing w:line="480" w:lineRule="auto"/>
        <w:rPr>
          <w:rFonts w:ascii="Arial" w:hAnsi="Arial" w:cs="Arial"/>
        </w:rPr>
      </w:pPr>
      <w:r w:rsidRPr="00AD367F">
        <w:rPr>
          <w:rFonts w:ascii="Arial" w:hAnsi="Arial" w:cs="Arial"/>
        </w:rPr>
        <w:t>According to Resource Dependency Theory, relying on outside sources for finance is still a major risk. Social enterprises are at risk of being unable to continue operations in the event of a financial crisis or a change in donor priorities. Giving and investment in social enterprises can take a nosedive when people are worried about their financial future, as the 2008 financial crisis proved. It may be difficult for social enterprises that depend on this type of finance to continue operating during these times.</w:t>
      </w:r>
    </w:p>
    <w:p w14:paraId="1D669228" w14:textId="77777777" w:rsidR="00AD367F" w:rsidRPr="00AD367F" w:rsidRDefault="00AD367F" w:rsidP="00AD367F">
      <w:pPr>
        <w:spacing w:line="480" w:lineRule="auto"/>
        <w:rPr>
          <w:rFonts w:ascii="Arial" w:hAnsi="Arial" w:cs="Arial"/>
        </w:rPr>
      </w:pPr>
    </w:p>
    <w:p w14:paraId="0301CDFE" w14:textId="154FB730" w:rsidR="00AD367F" w:rsidRPr="00AD367F" w:rsidRDefault="00AD367F" w:rsidP="00AD367F">
      <w:pPr>
        <w:spacing w:line="480" w:lineRule="auto"/>
        <w:rPr>
          <w:rFonts w:ascii="Arial" w:hAnsi="Arial" w:cs="Arial"/>
        </w:rPr>
      </w:pPr>
      <w:r w:rsidRPr="00AD367F">
        <w:rPr>
          <w:rFonts w:ascii="Arial" w:hAnsi="Arial" w:cs="Arial"/>
        </w:rPr>
        <w:lastRenderedPageBreak/>
        <w:t xml:space="preserve">Lastly, as social companies expand and encounter demands to boost profits, the risk of mission drift continues to loom. The increasing difficulty of striking a balance between social effect and financial performance raises concerns about the possibility of ethical compromises or a loss of focus on the fundamental objective. It is essential to stay vigilant and ensure that all stakeholders are aligned around the mission </w:t>
      </w:r>
      <w:r w:rsidR="005965E0" w:rsidRPr="00AD367F">
        <w:rPr>
          <w:rFonts w:ascii="Arial" w:hAnsi="Arial" w:cs="Arial"/>
        </w:rPr>
        <w:t>to</w:t>
      </w:r>
      <w:r w:rsidRPr="00AD367F">
        <w:rPr>
          <w:rFonts w:ascii="Arial" w:hAnsi="Arial" w:cs="Arial"/>
        </w:rPr>
        <w:t xml:space="preserve"> maintain the integrity of the organisation.</w:t>
      </w:r>
    </w:p>
    <w:p w14:paraId="2B7FEA35" w14:textId="63F116E3" w:rsidR="00AD367F" w:rsidRDefault="00AD367F" w:rsidP="00AD367F">
      <w:pPr>
        <w:spacing w:line="480" w:lineRule="auto"/>
        <w:rPr>
          <w:rFonts w:ascii="Arial" w:hAnsi="Arial" w:cs="Arial"/>
        </w:rPr>
      </w:pPr>
    </w:p>
    <w:p w14:paraId="52CBC947" w14:textId="3F3BCABB" w:rsidR="005965E0" w:rsidRPr="005965E0" w:rsidRDefault="005965E0" w:rsidP="00AD367F">
      <w:pPr>
        <w:spacing w:line="480" w:lineRule="auto"/>
        <w:rPr>
          <w:rFonts w:ascii="Arial Black" w:hAnsi="Arial Black" w:cs="Arial"/>
        </w:rPr>
      </w:pPr>
      <w:r w:rsidRPr="005965E0">
        <w:rPr>
          <w:rFonts w:ascii="Arial Black" w:hAnsi="Arial Black" w:cs="Arial"/>
        </w:rPr>
        <w:t>Conclusion</w:t>
      </w:r>
    </w:p>
    <w:p w14:paraId="6548BF4E" w14:textId="77777777" w:rsidR="00AD367F" w:rsidRPr="00AD367F" w:rsidRDefault="00AD367F" w:rsidP="00AD367F">
      <w:pPr>
        <w:spacing w:line="480" w:lineRule="auto"/>
        <w:rPr>
          <w:rFonts w:ascii="Arial" w:hAnsi="Arial" w:cs="Arial"/>
        </w:rPr>
      </w:pPr>
    </w:p>
    <w:p w14:paraId="32DFFB30" w14:textId="77777777" w:rsidR="00AD367F" w:rsidRPr="00AD367F" w:rsidRDefault="00AD367F" w:rsidP="00AD367F">
      <w:pPr>
        <w:spacing w:line="480" w:lineRule="auto"/>
        <w:rPr>
          <w:rFonts w:ascii="Arial" w:hAnsi="Arial" w:cs="Arial"/>
        </w:rPr>
      </w:pPr>
      <w:r w:rsidRPr="00AD367F">
        <w:rPr>
          <w:rFonts w:ascii="Arial" w:hAnsi="Arial" w:cs="Arial"/>
        </w:rPr>
        <w:t>When it comes to finding long-term solutions to pressing social problems, social enterprises play a key role. They are powerful agents of change because of their abilities to integrate mission and market goals, build relationships with stakeholders, and create integrated value. Their challenges in navigating complexities are highlighted by disadvantages such as limited resources, risks of mission drift, and problems in quantifying impact. Opportunities for innovation, scaling, and legitimacy are on the rise, and the impact investing industry is developing, so there are many possibilities to grow and have a bigger effect. However, there are still major worries about competition, institutional hurdles, financing dependency, and mission drift.</w:t>
      </w:r>
    </w:p>
    <w:p w14:paraId="538DCA91" w14:textId="16CBE4F1" w:rsidR="00AD367F" w:rsidRDefault="00AD367F" w:rsidP="00AD367F">
      <w:pPr>
        <w:spacing w:line="480" w:lineRule="auto"/>
        <w:rPr>
          <w:rFonts w:ascii="Arial" w:hAnsi="Arial" w:cs="Arial"/>
        </w:rPr>
      </w:pPr>
      <w:r w:rsidRPr="00AD367F">
        <w:rPr>
          <w:rFonts w:ascii="Arial" w:hAnsi="Arial" w:cs="Arial"/>
        </w:rPr>
        <w:t xml:space="preserve">It takes strategic management and staying true to principles to keep these things under check. Social enterprises can improve their effectiveness and sustainability by playing to their strengths, fixing their shortcomings, capitalising on opportunities, and avoiding dangers. These dynamics can be better understood and practiced with the help of a framework that is based on academic theories. </w:t>
      </w:r>
      <w:r w:rsidR="005965E0" w:rsidRPr="00AD367F">
        <w:rPr>
          <w:rFonts w:ascii="Arial" w:hAnsi="Arial" w:cs="Arial"/>
        </w:rPr>
        <w:t>To</w:t>
      </w:r>
      <w:r w:rsidRPr="00AD367F">
        <w:rPr>
          <w:rFonts w:ascii="Arial" w:hAnsi="Arial" w:cs="Arial"/>
        </w:rPr>
        <w:t xml:space="preserve"> achieve both their social </w:t>
      </w:r>
      <w:r w:rsidRPr="00AD367F">
        <w:rPr>
          <w:rFonts w:ascii="Arial" w:hAnsi="Arial" w:cs="Arial"/>
        </w:rPr>
        <w:lastRenderedPageBreak/>
        <w:t>impact goals and financial viability, social enterprises must be able to adapt and innovate as they progress.</w:t>
      </w:r>
    </w:p>
    <w:p w14:paraId="5F019346" w14:textId="77777777" w:rsidR="00CF7B62" w:rsidRDefault="00CF7B62" w:rsidP="00AD367F">
      <w:pPr>
        <w:spacing w:line="480" w:lineRule="auto"/>
        <w:rPr>
          <w:rFonts w:ascii="Arial" w:hAnsi="Arial" w:cs="Arial"/>
        </w:rPr>
      </w:pPr>
    </w:p>
    <w:p w14:paraId="5A6715E8" w14:textId="77777777" w:rsidR="00CF7B62" w:rsidRDefault="00CF7B62" w:rsidP="00AD367F">
      <w:pPr>
        <w:spacing w:line="480" w:lineRule="auto"/>
        <w:rPr>
          <w:rFonts w:ascii="Arial" w:hAnsi="Arial" w:cs="Arial"/>
        </w:rPr>
      </w:pPr>
    </w:p>
    <w:p w14:paraId="4F5901E1" w14:textId="77777777" w:rsidR="00CF7B62" w:rsidRDefault="00CF7B62" w:rsidP="00AD367F">
      <w:pPr>
        <w:spacing w:line="480" w:lineRule="auto"/>
        <w:rPr>
          <w:rFonts w:ascii="Arial" w:hAnsi="Arial" w:cs="Arial"/>
        </w:rPr>
      </w:pPr>
    </w:p>
    <w:p w14:paraId="263DF4EC" w14:textId="77777777" w:rsidR="00CF7B62" w:rsidRDefault="00CF7B62" w:rsidP="00AD367F">
      <w:pPr>
        <w:spacing w:line="480" w:lineRule="auto"/>
        <w:rPr>
          <w:rFonts w:ascii="Arial" w:hAnsi="Arial" w:cs="Arial"/>
        </w:rPr>
      </w:pPr>
    </w:p>
    <w:p w14:paraId="710FC54D" w14:textId="77777777" w:rsidR="00CF7B62" w:rsidRDefault="00CF7B62" w:rsidP="00AD367F">
      <w:pPr>
        <w:spacing w:line="480" w:lineRule="auto"/>
        <w:rPr>
          <w:rFonts w:ascii="Arial" w:hAnsi="Arial" w:cs="Arial"/>
        </w:rPr>
      </w:pPr>
    </w:p>
    <w:p w14:paraId="78138FB8" w14:textId="77777777" w:rsidR="00CF7B62" w:rsidRDefault="00CF7B62" w:rsidP="00AD367F">
      <w:pPr>
        <w:spacing w:line="480" w:lineRule="auto"/>
        <w:rPr>
          <w:rFonts w:ascii="Arial" w:hAnsi="Arial" w:cs="Arial"/>
        </w:rPr>
      </w:pPr>
    </w:p>
    <w:p w14:paraId="65058947" w14:textId="77777777" w:rsidR="00CF7B62" w:rsidRDefault="00CF7B62" w:rsidP="00AD367F">
      <w:pPr>
        <w:spacing w:line="480" w:lineRule="auto"/>
        <w:rPr>
          <w:rFonts w:ascii="Arial" w:hAnsi="Arial" w:cs="Arial"/>
        </w:rPr>
      </w:pPr>
    </w:p>
    <w:p w14:paraId="10B88FFF" w14:textId="77777777" w:rsidR="00CF7B62" w:rsidRDefault="00CF7B62" w:rsidP="00AD367F">
      <w:pPr>
        <w:spacing w:line="480" w:lineRule="auto"/>
        <w:rPr>
          <w:rFonts w:ascii="Arial" w:hAnsi="Arial" w:cs="Arial"/>
        </w:rPr>
      </w:pPr>
    </w:p>
    <w:p w14:paraId="208ABEE8" w14:textId="77777777" w:rsidR="00CF7B62" w:rsidRDefault="00CF7B62" w:rsidP="00AD367F">
      <w:pPr>
        <w:spacing w:line="480" w:lineRule="auto"/>
        <w:rPr>
          <w:rFonts w:ascii="Arial" w:hAnsi="Arial" w:cs="Arial"/>
        </w:rPr>
      </w:pPr>
    </w:p>
    <w:p w14:paraId="44FC6500" w14:textId="77777777" w:rsidR="00CF7B62" w:rsidRDefault="00CF7B62" w:rsidP="00AD367F">
      <w:pPr>
        <w:spacing w:line="480" w:lineRule="auto"/>
        <w:rPr>
          <w:rFonts w:ascii="Arial" w:hAnsi="Arial" w:cs="Arial"/>
        </w:rPr>
      </w:pPr>
    </w:p>
    <w:p w14:paraId="340EFD2A" w14:textId="77777777" w:rsidR="00CF7B62" w:rsidRDefault="00CF7B62" w:rsidP="00AD367F">
      <w:pPr>
        <w:spacing w:line="480" w:lineRule="auto"/>
        <w:rPr>
          <w:rFonts w:ascii="Arial" w:hAnsi="Arial" w:cs="Arial"/>
        </w:rPr>
      </w:pPr>
    </w:p>
    <w:p w14:paraId="7B3350B5" w14:textId="77777777" w:rsidR="00CF7B62" w:rsidRDefault="00CF7B62" w:rsidP="00AD367F">
      <w:pPr>
        <w:spacing w:line="480" w:lineRule="auto"/>
        <w:rPr>
          <w:rFonts w:ascii="Arial" w:hAnsi="Arial" w:cs="Arial"/>
        </w:rPr>
      </w:pPr>
    </w:p>
    <w:p w14:paraId="3C36EA7A" w14:textId="77777777" w:rsidR="00CF7B62" w:rsidRDefault="00CF7B62" w:rsidP="00AD367F">
      <w:pPr>
        <w:spacing w:line="480" w:lineRule="auto"/>
        <w:rPr>
          <w:rFonts w:ascii="Arial" w:hAnsi="Arial" w:cs="Arial"/>
        </w:rPr>
      </w:pPr>
    </w:p>
    <w:p w14:paraId="7A991E38" w14:textId="77777777" w:rsidR="00CF7B62" w:rsidRDefault="00CF7B62" w:rsidP="00AD367F">
      <w:pPr>
        <w:spacing w:line="480" w:lineRule="auto"/>
        <w:rPr>
          <w:rFonts w:ascii="Arial" w:hAnsi="Arial" w:cs="Arial"/>
        </w:rPr>
      </w:pPr>
    </w:p>
    <w:p w14:paraId="4FEF59A8" w14:textId="77777777" w:rsidR="00CF7B62" w:rsidRDefault="00CF7B62" w:rsidP="00AD367F">
      <w:pPr>
        <w:spacing w:line="480" w:lineRule="auto"/>
        <w:rPr>
          <w:rFonts w:ascii="Arial" w:hAnsi="Arial" w:cs="Arial"/>
        </w:rPr>
      </w:pPr>
    </w:p>
    <w:p w14:paraId="7A2E3B12" w14:textId="77777777" w:rsidR="00CF7B62" w:rsidRDefault="00CF7B62" w:rsidP="00AD367F">
      <w:pPr>
        <w:spacing w:line="480" w:lineRule="auto"/>
        <w:rPr>
          <w:rFonts w:ascii="Arial" w:hAnsi="Arial" w:cs="Arial"/>
        </w:rPr>
      </w:pPr>
    </w:p>
    <w:p w14:paraId="57D3F6FA" w14:textId="77777777" w:rsidR="00CF7B62" w:rsidRDefault="00CF7B62" w:rsidP="00AD367F">
      <w:pPr>
        <w:spacing w:line="480" w:lineRule="auto"/>
        <w:rPr>
          <w:rFonts w:ascii="Arial" w:hAnsi="Arial" w:cs="Arial"/>
        </w:rPr>
      </w:pPr>
    </w:p>
    <w:p w14:paraId="2CCFC664" w14:textId="77777777" w:rsidR="00CF7B62" w:rsidRDefault="00CF7B62" w:rsidP="00AD367F">
      <w:pPr>
        <w:spacing w:line="480" w:lineRule="auto"/>
        <w:rPr>
          <w:rFonts w:ascii="Arial" w:hAnsi="Arial" w:cs="Arial"/>
        </w:rPr>
      </w:pPr>
    </w:p>
    <w:p w14:paraId="64D710B2" w14:textId="6C6BB12B" w:rsidR="00CF7B62" w:rsidRDefault="00B827EC" w:rsidP="00AD367F">
      <w:pPr>
        <w:spacing w:line="480" w:lineRule="auto"/>
        <w:rPr>
          <w:rFonts w:ascii="Arial Black" w:hAnsi="Arial Black" w:cs="Arial"/>
        </w:rPr>
      </w:pPr>
      <w:r w:rsidRPr="00941A55">
        <w:rPr>
          <w:rFonts w:ascii="Arial Black" w:hAnsi="Arial Black" w:cs="Arial"/>
        </w:rPr>
        <w:lastRenderedPageBreak/>
        <w:t xml:space="preserve">References </w:t>
      </w:r>
    </w:p>
    <w:p w14:paraId="487C0438" w14:textId="77777777" w:rsidR="00941A55" w:rsidRPr="00941A55" w:rsidRDefault="00941A55" w:rsidP="00AD367F">
      <w:pPr>
        <w:spacing w:line="480" w:lineRule="auto"/>
        <w:rPr>
          <w:rFonts w:ascii="Arial Black" w:hAnsi="Arial Black" w:cs="Arial"/>
        </w:rPr>
      </w:pPr>
    </w:p>
    <w:p w14:paraId="6B03BC4A" w14:textId="77777777" w:rsidR="00B827EC" w:rsidRPr="00B827EC" w:rsidRDefault="00B827EC" w:rsidP="00B827EC">
      <w:pPr>
        <w:spacing w:line="480" w:lineRule="auto"/>
        <w:rPr>
          <w:rFonts w:ascii="Arial" w:hAnsi="Arial" w:cs="Arial"/>
        </w:rPr>
      </w:pPr>
      <w:r w:rsidRPr="00B827EC">
        <w:rPr>
          <w:rFonts w:ascii="Arial" w:hAnsi="Arial" w:cs="Arial"/>
        </w:rPr>
        <w:t xml:space="preserve">Battilana, J., &amp; Lee, M. (2014). Advancing research on hybrid organizing: Insights from the study of social enterprises. </w:t>
      </w:r>
      <w:r w:rsidRPr="00B827EC">
        <w:rPr>
          <w:rFonts w:ascii="Arial" w:hAnsi="Arial" w:cs="Arial"/>
          <w:i/>
          <w:iCs/>
        </w:rPr>
        <w:t>Academy of Management Annals, 8(</w:t>
      </w:r>
      <w:r w:rsidRPr="00B827EC">
        <w:rPr>
          <w:rFonts w:ascii="Arial" w:hAnsi="Arial" w:cs="Arial"/>
        </w:rPr>
        <w:t>1), 397–441.</w:t>
      </w:r>
    </w:p>
    <w:p w14:paraId="12179331" w14:textId="77777777" w:rsidR="00B827EC" w:rsidRPr="00B827EC" w:rsidRDefault="00B827EC" w:rsidP="00B827EC">
      <w:pPr>
        <w:spacing w:line="480" w:lineRule="auto"/>
        <w:rPr>
          <w:rFonts w:ascii="Arial" w:hAnsi="Arial" w:cs="Arial"/>
        </w:rPr>
      </w:pPr>
      <w:r w:rsidRPr="00B827EC">
        <w:rPr>
          <w:rFonts w:ascii="Arial" w:hAnsi="Arial" w:cs="Arial"/>
        </w:rPr>
        <w:t xml:space="preserve">Bloom, P. N., &amp; Dees, J. G. (2008). Cultivate your ecosystem. </w:t>
      </w:r>
      <w:r w:rsidRPr="00B827EC">
        <w:rPr>
          <w:rFonts w:ascii="Arial" w:hAnsi="Arial" w:cs="Arial"/>
          <w:i/>
          <w:iCs/>
        </w:rPr>
        <w:t>Stanford Social Innovation Review, 6</w:t>
      </w:r>
      <w:r w:rsidRPr="00B827EC">
        <w:rPr>
          <w:rFonts w:ascii="Arial" w:hAnsi="Arial" w:cs="Arial"/>
        </w:rPr>
        <w:t>(1), 47–53.</w:t>
      </w:r>
    </w:p>
    <w:p w14:paraId="660EDA27" w14:textId="748E5CA7" w:rsidR="00B827EC" w:rsidRPr="00B827EC" w:rsidRDefault="00B827EC" w:rsidP="00B827EC">
      <w:pPr>
        <w:spacing w:line="480" w:lineRule="auto"/>
        <w:rPr>
          <w:rFonts w:ascii="Arial" w:hAnsi="Arial" w:cs="Arial"/>
        </w:rPr>
      </w:pPr>
      <w:r w:rsidRPr="00B827EC">
        <w:rPr>
          <w:rFonts w:ascii="Arial" w:hAnsi="Arial" w:cs="Arial"/>
        </w:rPr>
        <w:t xml:space="preserve">Dees, J. G. (1998). </w:t>
      </w:r>
      <w:r w:rsidRPr="00B827EC">
        <w:rPr>
          <w:rFonts w:ascii="Arial" w:hAnsi="Arial" w:cs="Arial"/>
          <w:i/>
          <w:iCs/>
        </w:rPr>
        <w:t xml:space="preserve">The meaning of social entrepreneurship. </w:t>
      </w:r>
      <w:r w:rsidRPr="00B827EC">
        <w:rPr>
          <w:rFonts w:ascii="Arial" w:hAnsi="Arial" w:cs="Arial"/>
        </w:rPr>
        <w:t xml:space="preserve">Draft report for the Kauffman </w:t>
      </w:r>
      <w:r w:rsidRPr="00B827EC">
        <w:rPr>
          <w:rFonts w:ascii="Arial" w:hAnsi="Arial" w:cs="Arial"/>
        </w:rPr>
        <w:t>Centre</w:t>
      </w:r>
      <w:r w:rsidRPr="00B827EC">
        <w:rPr>
          <w:rFonts w:ascii="Arial" w:hAnsi="Arial" w:cs="Arial"/>
        </w:rPr>
        <w:t xml:space="preserve"> for Entrepreneurial Leadership, Stanford University.</w:t>
      </w:r>
    </w:p>
    <w:p w14:paraId="62D3F397" w14:textId="77777777" w:rsidR="00B827EC" w:rsidRPr="00B827EC" w:rsidRDefault="00B827EC" w:rsidP="00B827EC">
      <w:pPr>
        <w:spacing w:line="480" w:lineRule="auto"/>
        <w:rPr>
          <w:rFonts w:ascii="Arial" w:hAnsi="Arial" w:cs="Arial"/>
        </w:rPr>
      </w:pPr>
      <w:r w:rsidRPr="00B827EC">
        <w:rPr>
          <w:rFonts w:ascii="Arial" w:hAnsi="Arial" w:cs="Arial"/>
        </w:rPr>
        <w:t xml:space="preserve">Emerson, J. (2003). The blended value proposition: Integrating social and financial returns. </w:t>
      </w:r>
      <w:r w:rsidRPr="00B827EC">
        <w:rPr>
          <w:rFonts w:ascii="Arial" w:hAnsi="Arial" w:cs="Arial"/>
          <w:i/>
          <w:iCs/>
        </w:rPr>
        <w:t>California Management Review, 45</w:t>
      </w:r>
      <w:r w:rsidRPr="00B827EC">
        <w:rPr>
          <w:rFonts w:ascii="Arial" w:hAnsi="Arial" w:cs="Arial"/>
        </w:rPr>
        <w:t>(4), 35–51.</w:t>
      </w:r>
    </w:p>
    <w:p w14:paraId="1E3C15B4" w14:textId="77777777" w:rsidR="00B827EC" w:rsidRDefault="00B827EC" w:rsidP="00B827EC">
      <w:pPr>
        <w:spacing w:line="480" w:lineRule="auto"/>
        <w:rPr>
          <w:rFonts w:ascii="Arial" w:hAnsi="Arial" w:cs="Arial"/>
        </w:rPr>
      </w:pPr>
      <w:r w:rsidRPr="00B827EC">
        <w:rPr>
          <w:rFonts w:ascii="Arial" w:hAnsi="Arial" w:cs="Arial"/>
        </w:rPr>
        <w:t xml:space="preserve">Freeman, R. E. (1984). </w:t>
      </w:r>
      <w:r w:rsidRPr="00B827EC">
        <w:rPr>
          <w:rFonts w:ascii="Arial" w:hAnsi="Arial" w:cs="Arial"/>
          <w:i/>
          <w:iCs/>
        </w:rPr>
        <w:t>Strategic management: A stakeholder approach</w:t>
      </w:r>
      <w:r w:rsidRPr="00B827EC">
        <w:rPr>
          <w:rFonts w:ascii="Arial" w:hAnsi="Arial" w:cs="Arial"/>
        </w:rPr>
        <w:t>. Pitman.</w:t>
      </w:r>
    </w:p>
    <w:p w14:paraId="56D77D9B" w14:textId="77777777" w:rsidR="00B827EC" w:rsidRPr="00B827EC" w:rsidRDefault="00B827EC" w:rsidP="00B827EC">
      <w:pPr>
        <w:spacing w:line="480" w:lineRule="auto"/>
        <w:rPr>
          <w:rFonts w:ascii="Arial" w:hAnsi="Arial" w:cs="Arial"/>
        </w:rPr>
      </w:pPr>
      <w:r w:rsidRPr="00B827EC">
        <w:rPr>
          <w:rFonts w:ascii="Arial" w:hAnsi="Arial" w:cs="Arial"/>
        </w:rPr>
        <w:t xml:space="preserve">Liang, C. T., Peng, L. P., Yao, S. N., &amp; Liang, C. (2015). Developing a social enterprise performance scale and examining the relationship between entrepreneurs’ personality traits and their perceived enterprise performance. </w:t>
      </w:r>
      <w:r w:rsidRPr="00B827EC">
        <w:rPr>
          <w:rFonts w:ascii="Arial" w:hAnsi="Arial" w:cs="Arial"/>
          <w:i/>
          <w:iCs/>
        </w:rPr>
        <w:t>Journal of Entrepreneurship, Management and Innovation, 11</w:t>
      </w:r>
      <w:r w:rsidRPr="00B827EC">
        <w:rPr>
          <w:rFonts w:ascii="Arial" w:hAnsi="Arial" w:cs="Arial"/>
        </w:rPr>
        <w:t>(3), 89–116.</w:t>
      </w:r>
    </w:p>
    <w:p w14:paraId="5DFC4DB0" w14:textId="5E3ACE79" w:rsidR="00B827EC" w:rsidRPr="00B827EC" w:rsidRDefault="00B827EC" w:rsidP="00B827EC">
      <w:pPr>
        <w:spacing w:line="480" w:lineRule="auto"/>
        <w:rPr>
          <w:rFonts w:ascii="Arial" w:hAnsi="Arial" w:cs="Arial"/>
        </w:rPr>
      </w:pPr>
      <w:r w:rsidRPr="00B827EC">
        <w:rPr>
          <w:rFonts w:ascii="Arial" w:hAnsi="Arial" w:cs="Arial"/>
        </w:rPr>
        <w:t>Newman, A., Neesham, C., Manville, G., &amp; Tse, H. H. M. (2018). Examining the influence of servant and entrepreneurial leadership on the work outcomes of employees in social enterprises</w:t>
      </w:r>
      <w:r w:rsidRPr="00B827EC">
        <w:rPr>
          <w:rFonts w:ascii="Arial" w:hAnsi="Arial" w:cs="Arial"/>
          <w:i/>
          <w:iCs/>
        </w:rPr>
        <w:t>. International Journal of Human Resource Management, 29</w:t>
      </w:r>
      <w:r w:rsidRPr="00B827EC">
        <w:rPr>
          <w:rFonts w:ascii="Arial" w:hAnsi="Arial" w:cs="Arial"/>
        </w:rPr>
        <w:t>(20), 2905–2926.</w:t>
      </w:r>
    </w:p>
    <w:p w14:paraId="24001EF4" w14:textId="77777777" w:rsidR="00B827EC" w:rsidRPr="00B827EC" w:rsidRDefault="00B827EC" w:rsidP="00B827EC">
      <w:pPr>
        <w:spacing w:line="480" w:lineRule="auto"/>
        <w:rPr>
          <w:rFonts w:ascii="Arial" w:hAnsi="Arial" w:cs="Arial"/>
        </w:rPr>
      </w:pPr>
      <w:r w:rsidRPr="00B827EC">
        <w:rPr>
          <w:rFonts w:ascii="Arial" w:hAnsi="Arial" w:cs="Arial"/>
        </w:rPr>
        <w:t xml:space="preserve">Pfeffer, J., &amp; </w:t>
      </w:r>
      <w:proofErr w:type="spellStart"/>
      <w:r w:rsidRPr="00B827EC">
        <w:rPr>
          <w:rFonts w:ascii="Arial" w:hAnsi="Arial" w:cs="Arial"/>
        </w:rPr>
        <w:t>Salancik</w:t>
      </w:r>
      <w:proofErr w:type="spellEnd"/>
      <w:r w:rsidRPr="00B827EC">
        <w:rPr>
          <w:rFonts w:ascii="Arial" w:hAnsi="Arial" w:cs="Arial"/>
        </w:rPr>
        <w:t xml:space="preserve">, G. R. (1978). </w:t>
      </w:r>
      <w:r w:rsidRPr="00B827EC">
        <w:rPr>
          <w:rFonts w:ascii="Arial" w:hAnsi="Arial" w:cs="Arial"/>
          <w:i/>
          <w:iCs/>
        </w:rPr>
        <w:t>The external control of organizations: A resource dependence perspective.</w:t>
      </w:r>
      <w:r w:rsidRPr="00B827EC">
        <w:rPr>
          <w:rFonts w:ascii="Arial" w:hAnsi="Arial" w:cs="Arial"/>
        </w:rPr>
        <w:t xml:space="preserve"> Harper &amp; Row.</w:t>
      </w:r>
    </w:p>
    <w:p w14:paraId="0CF873C7" w14:textId="6DD3FA23" w:rsidR="00B827EC" w:rsidRPr="00B827EC" w:rsidRDefault="00B827EC" w:rsidP="00B827EC">
      <w:pPr>
        <w:spacing w:line="480" w:lineRule="auto"/>
        <w:rPr>
          <w:rFonts w:ascii="Arial" w:hAnsi="Arial" w:cs="Arial"/>
        </w:rPr>
      </w:pPr>
      <w:r w:rsidRPr="00B827EC">
        <w:rPr>
          <w:rFonts w:ascii="Arial" w:hAnsi="Arial" w:cs="Arial"/>
        </w:rPr>
        <w:lastRenderedPageBreak/>
        <w:t xml:space="preserve">Roberts Enterprise Development Fund (REDF). (2000). </w:t>
      </w:r>
      <w:r w:rsidRPr="00B827EC">
        <w:rPr>
          <w:rFonts w:ascii="Arial" w:hAnsi="Arial" w:cs="Arial"/>
          <w:i/>
          <w:iCs/>
        </w:rPr>
        <w:t xml:space="preserve">SROI methodology: </w:t>
      </w:r>
      <w:r w:rsidRPr="00B827EC">
        <w:rPr>
          <w:rFonts w:ascii="Arial" w:hAnsi="Arial" w:cs="Arial"/>
          <w:i/>
          <w:iCs/>
        </w:rPr>
        <w:t>Analysing</w:t>
      </w:r>
      <w:r w:rsidRPr="00B827EC">
        <w:rPr>
          <w:rFonts w:ascii="Arial" w:hAnsi="Arial" w:cs="Arial"/>
          <w:i/>
          <w:iCs/>
        </w:rPr>
        <w:t xml:space="preserve"> the value of social purpose enterprise within a social return on investment framework.</w:t>
      </w:r>
      <w:r w:rsidRPr="00B827EC">
        <w:rPr>
          <w:rFonts w:ascii="Arial" w:hAnsi="Arial" w:cs="Arial"/>
        </w:rPr>
        <w:t xml:space="preserve"> REDF.</w:t>
      </w:r>
    </w:p>
    <w:p w14:paraId="0032D08C" w14:textId="32B2CEF9" w:rsidR="00B827EC" w:rsidRDefault="00B827EC" w:rsidP="00B827EC">
      <w:pPr>
        <w:spacing w:line="480" w:lineRule="auto"/>
        <w:rPr>
          <w:rFonts w:ascii="Arial" w:hAnsi="Arial" w:cs="Arial"/>
        </w:rPr>
      </w:pPr>
      <w:r w:rsidRPr="00B827EC">
        <w:rPr>
          <w:rFonts w:ascii="Arial" w:hAnsi="Arial" w:cs="Arial"/>
        </w:rPr>
        <w:t>Rockefeller Foundation. (2007</w:t>
      </w:r>
      <w:r w:rsidRPr="00B827EC">
        <w:rPr>
          <w:rFonts w:ascii="Arial" w:hAnsi="Arial" w:cs="Arial"/>
          <w:i/>
          <w:iCs/>
        </w:rPr>
        <w:t>). Impact investing: Transforming how we make money while making a difference</w:t>
      </w:r>
      <w:r w:rsidRPr="00B827EC">
        <w:rPr>
          <w:rFonts w:ascii="Arial" w:hAnsi="Arial" w:cs="Arial"/>
        </w:rPr>
        <w:t>. Rockefeller Philanthropy Advisors.</w:t>
      </w:r>
    </w:p>
    <w:p w14:paraId="79FEE4D1" w14:textId="484FCFAF" w:rsidR="00941A55" w:rsidRPr="00AD367F" w:rsidRDefault="00941A55" w:rsidP="00B827EC">
      <w:pPr>
        <w:spacing w:line="480" w:lineRule="auto"/>
        <w:rPr>
          <w:rFonts w:ascii="Arial" w:hAnsi="Arial" w:cs="Arial"/>
        </w:rPr>
      </w:pPr>
      <w:r w:rsidRPr="00941A55">
        <w:rPr>
          <w:rFonts w:ascii="Arial" w:hAnsi="Arial" w:cs="Arial"/>
        </w:rPr>
        <w:t xml:space="preserve">Weisbrod, B. A. (Ed.). (1998). </w:t>
      </w:r>
      <w:r w:rsidRPr="00941A55">
        <w:rPr>
          <w:rFonts w:ascii="Arial" w:hAnsi="Arial" w:cs="Arial"/>
          <w:i/>
          <w:iCs/>
        </w:rPr>
        <w:t>To profit or not to profit: The commercial transformation of the nonprofit sector.</w:t>
      </w:r>
      <w:r w:rsidRPr="00941A55">
        <w:rPr>
          <w:rFonts w:ascii="Arial" w:hAnsi="Arial" w:cs="Arial"/>
        </w:rPr>
        <w:t xml:space="preserve"> Cambridge University Press.</w:t>
      </w:r>
    </w:p>
    <w:sectPr w:rsidR="00941A55" w:rsidRPr="00AD367F" w:rsidSect="00CF7B6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67F"/>
    <w:rsid w:val="005965E0"/>
    <w:rsid w:val="00930CF1"/>
    <w:rsid w:val="00941A55"/>
    <w:rsid w:val="00AD367F"/>
    <w:rsid w:val="00B827EC"/>
    <w:rsid w:val="00CF7B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5008C"/>
  <w15:chartTrackingRefBased/>
  <w15:docId w15:val="{4D945875-5E84-4956-9BE9-C8FBCAC86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36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36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36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36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36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36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36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36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36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36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36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36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36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36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36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36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36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367F"/>
    <w:rPr>
      <w:rFonts w:eastAsiaTheme="majorEastAsia" w:cstheme="majorBidi"/>
      <w:color w:val="272727" w:themeColor="text1" w:themeTint="D8"/>
    </w:rPr>
  </w:style>
  <w:style w:type="paragraph" w:styleId="Title">
    <w:name w:val="Title"/>
    <w:basedOn w:val="Normal"/>
    <w:next w:val="Normal"/>
    <w:link w:val="TitleChar"/>
    <w:uiPriority w:val="10"/>
    <w:qFormat/>
    <w:rsid w:val="00AD36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36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36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36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367F"/>
    <w:pPr>
      <w:spacing w:before="160"/>
      <w:jc w:val="center"/>
    </w:pPr>
    <w:rPr>
      <w:i/>
      <w:iCs/>
      <w:color w:val="404040" w:themeColor="text1" w:themeTint="BF"/>
    </w:rPr>
  </w:style>
  <w:style w:type="character" w:customStyle="1" w:styleId="QuoteChar">
    <w:name w:val="Quote Char"/>
    <w:basedOn w:val="DefaultParagraphFont"/>
    <w:link w:val="Quote"/>
    <w:uiPriority w:val="29"/>
    <w:rsid w:val="00AD367F"/>
    <w:rPr>
      <w:i/>
      <w:iCs/>
      <w:color w:val="404040" w:themeColor="text1" w:themeTint="BF"/>
    </w:rPr>
  </w:style>
  <w:style w:type="paragraph" w:styleId="ListParagraph">
    <w:name w:val="List Paragraph"/>
    <w:basedOn w:val="Normal"/>
    <w:uiPriority w:val="34"/>
    <w:qFormat/>
    <w:rsid w:val="00AD367F"/>
    <w:pPr>
      <w:ind w:left="720"/>
      <w:contextualSpacing/>
    </w:pPr>
  </w:style>
  <w:style w:type="character" w:styleId="IntenseEmphasis">
    <w:name w:val="Intense Emphasis"/>
    <w:basedOn w:val="DefaultParagraphFont"/>
    <w:uiPriority w:val="21"/>
    <w:qFormat/>
    <w:rsid w:val="00AD367F"/>
    <w:rPr>
      <w:i/>
      <w:iCs/>
      <w:color w:val="0F4761" w:themeColor="accent1" w:themeShade="BF"/>
    </w:rPr>
  </w:style>
  <w:style w:type="paragraph" w:styleId="IntenseQuote">
    <w:name w:val="Intense Quote"/>
    <w:basedOn w:val="Normal"/>
    <w:next w:val="Normal"/>
    <w:link w:val="IntenseQuoteChar"/>
    <w:uiPriority w:val="30"/>
    <w:qFormat/>
    <w:rsid w:val="00AD36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367F"/>
    <w:rPr>
      <w:i/>
      <w:iCs/>
      <w:color w:val="0F4761" w:themeColor="accent1" w:themeShade="BF"/>
    </w:rPr>
  </w:style>
  <w:style w:type="character" w:styleId="IntenseReference">
    <w:name w:val="Intense Reference"/>
    <w:basedOn w:val="DefaultParagraphFont"/>
    <w:uiPriority w:val="32"/>
    <w:qFormat/>
    <w:rsid w:val="00AD367F"/>
    <w:rPr>
      <w:b/>
      <w:bCs/>
      <w:smallCaps/>
      <w:color w:val="0F4761" w:themeColor="accent1" w:themeShade="BF"/>
      <w:spacing w:val="5"/>
    </w:rPr>
  </w:style>
  <w:style w:type="paragraph" w:styleId="NoSpacing">
    <w:name w:val="No Spacing"/>
    <w:link w:val="NoSpacingChar"/>
    <w:uiPriority w:val="1"/>
    <w:qFormat/>
    <w:rsid w:val="00CF7B6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F7B62"/>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7123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9E071A2606C24D1BABE93633A99DF143"/>
        <w:category>
          <w:name w:val="General"/>
          <w:gallery w:val="placeholder"/>
        </w:category>
        <w:types>
          <w:type w:val="bbPlcHdr"/>
        </w:types>
        <w:behaviors>
          <w:behavior w:val="content"/>
        </w:behaviors>
        <w:guid w:val="{D2D18CFB-8A81-4989-A0B3-65C7C6DF66F9}"/>
      </w:docPartPr>
      <w:docPartBody>
        <w:p w:rsidR="00000000" w:rsidRDefault="00032E4B" w:rsidP="00032E4B">
          <w:pPr>
            <w:pStyle w:val="9E071A2606C24D1BABE93633A99DF143"/>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E4B"/>
    <w:rsid w:val="00032E4B"/>
    <w:rsid w:val="0027118A"/>
    <w:rsid w:val="00930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E071A2606C24D1BABE93633A99DF143">
    <w:name w:val="9E071A2606C24D1BABE93633A99DF143"/>
    <w:rsid w:val="00032E4B"/>
  </w:style>
  <w:style w:type="paragraph" w:customStyle="1" w:styleId="C2E781E74A37438C83EC0E36A4F2D0D4">
    <w:name w:val="C2E781E74A37438C83EC0E36A4F2D0D4"/>
    <w:rsid w:val="00032E4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2024-11-10T00:00:00</PublishDate>
  <Abstract/>
  <CompanyAddress>Maria Laura Nita (2414599)</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1711</Words>
  <Characters>9756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Social Enterprise: Theory and Practise BMSE4009D</Company>
  <LinksUpToDate>false</LinksUpToDate>
  <CharactersWithSpaces>11445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Opportunities and Challenges Facing Social Enterprises: A SWOT Analysis</dc:title>
  <dc:subject/>
  <dc:creator>Mirabela Voican (1907947)</dc:creator>
  <cp:keywords/>
  <dc:description/>
  <cp:lastModifiedBy>Mirabela Voican (1907947)</cp:lastModifiedBy>
  <cp:revision>2</cp:revision>
  <dcterms:created xsi:type="dcterms:W3CDTF">2024-11-06T03:35:00Z</dcterms:created>
  <dcterms:modified xsi:type="dcterms:W3CDTF">2024-11-06T03:35:00Z</dcterms:modified>
</cp:coreProperties>
</file>