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1EC14B" w14:textId="06C935D9" w:rsidR="008E4A15" w:rsidRPr="006525C1" w:rsidRDefault="006242B4" w:rsidP="006525C1">
      <w:pPr>
        <w:pStyle w:val="Body"/>
        <w:spacing w:line="360" w:lineRule="auto"/>
        <w:jc w:val="center"/>
        <w:rPr>
          <w:rFonts w:ascii="Arial" w:hAnsi="Arial" w:cs="Arial"/>
          <w:b/>
          <w:bCs/>
          <w:sz w:val="32"/>
          <w:szCs w:val="32"/>
          <w:lang w:val="en-GB"/>
        </w:rPr>
      </w:pPr>
      <w:r w:rsidRPr="006525C1">
        <w:rPr>
          <w:rFonts w:ascii="Arial" w:hAnsi="Arial" w:cs="Arial"/>
          <w:b/>
          <w:bCs/>
          <w:sz w:val="32"/>
          <w:szCs w:val="32"/>
          <w:lang w:val="en-GB"/>
        </w:rPr>
        <w:t>Social policy</w:t>
      </w:r>
    </w:p>
    <w:p w14:paraId="4462C44E" w14:textId="0907E679" w:rsidR="008E4A15" w:rsidRPr="006525C1" w:rsidRDefault="006242B4" w:rsidP="006525C1">
      <w:pPr>
        <w:pStyle w:val="Body"/>
        <w:spacing w:line="360" w:lineRule="auto"/>
        <w:jc w:val="center"/>
        <w:rPr>
          <w:rFonts w:ascii="Arial" w:hAnsi="Arial" w:cs="Arial"/>
          <w:b/>
          <w:bCs/>
          <w:sz w:val="26"/>
          <w:szCs w:val="26"/>
          <w:lang w:val="en-GB"/>
        </w:rPr>
      </w:pPr>
      <w:r w:rsidRPr="006525C1">
        <w:rPr>
          <w:rFonts w:ascii="Arial" w:hAnsi="Arial" w:cs="Arial"/>
          <w:b/>
          <w:bCs/>
          <w:sz w:val="26"/>
          <w:szCs w:val="26"/>
          <w:lang w:val="en-GB"/>
        </w:rPr>
        <w:t>The Educational System</w:t>
      </w:r>
    </w:p>
    <w:p w14:paraId="0F21695B" w14:textId="0FD380C8" w:rsidR="006525C1" w:rsidRDefault="006525C1" w:rsidP="006525C1">
      <w:pPr>
        <w:pStyle w:val="Body"/>
        <w:spacing w:line="360" w:lineRule="auto"/>
        <w:rPr>
          <w:rFonts w:ascii="Arial" w:hAnsi="Arial" w:cs="Arial"/>
          <w:b/>
          <w:bCs/>
          <w:sz w:val="24"/>
          <w:szCs w:val="24"/>
          <w:lang w:val="en-GB"/>
        </w:rPr>
      </w:pPr>
    </w:p>
    <w:p w14:paraId="40003F64" w14:textId="77777777" w:rsidR="006525C1" w:rsidRPr="006525C1" w:rsidRDefault="006525C1" w:rsidP="006525C1">
      <w:pPr>
        <w:pStyle w:val="Body"/>
        <w:spacing w:line="360" w:lineRule="auto"/>
        <w:rPr>
          <w:rFonts w:ascii="Arial" w:hAnsi="Arial" w:cs="Arial"/>
          <w:b/>
          <w:bCs/>
          <w:sz w:val="24"/>
          <w:szCs w:val="24"/>
          <w:lang w:val="en-GB"/>
        </w:rPr>
      </w:pPr>
    </w:p>
    <w:p w14:paraId="1C11CF90" w14:textId="2950C4EF" w:rsidR="008E4A15" w:rsidRPr="006525C1" w:rsidRDefault="006242B4" w:rsidP="006525C1">
      <w:pPr>
        <w:pStyle w:val="Body"/>
        <w:spacing w:line="360" w:lineRule="auto"/>
        <w:rPr>
          <w:rFonts w:ascii="Arial" w:hAnsi="Arial" w:cs="Arial"/>
          <w:sz w:val="24"/>
          <w:szCs w:val="24"/>
          <w:lang w:val="en-GB"/>
        </w:rPr>
      </w:pPr>
      <w:r w:rsidRPr="006525C1">
        <w:rPr>
          <w:rFonts w:ascii="Arial" w:hAnsi="Arial" w:cs="Arial"/>
          <w:sz w:val="24"/>
          <w:szCs w:val="24"/>
          <w:lang w:val="en-GB"/>
        </w:rPr>
        <w:t>According to Macarov (1995) the roots of state involvement in providing social welfare to individuals date</w:t>
      </w:r>
      <w:r w:rsidR="00A506F2" w:rsidRPr="006525C1">
        <w:rPr>
          <w:rFonts w:ascii="Arial" w:hAnsi="Arial" w:cs="Arial"/>
          <w:sz w:val="24"/>
          <w:szCs w:val="24"/>
          <w:lang w:val="en-GB"/>
        </w:rPr>
        <w:t>s</w:t>
      </w:r>
      <w:r w:rsidRPr="006525C1">
        <w:rPr>
          <w:rFonts w:ascii="Arial" w:hAnsi="Arial" w:cs="Arial"/>
          <w:sz w:val="24"/>
          <w:szCs w:val="24"/>
          <w:lang w:val="en-GB"/>
        </w:rPr>
        <w:t xml:space="preserve"> back to the prehistoric times; but later, </w:t>
      </w:r>
      <w:r w:rsidR="00A506F2" w:rsidRPr="006525C1">
        <w:rPr>
          <w:rFonts w:ascii="Arial" w:hAnsi="Arial" w:cs="Arial"/>
          <w:sz w:val="24"/>
          <w:szCs w:val="24"/>
          <w:lang w:val="en-GB"/>
        </w:rPr>
        <w:t>it is</w:t>
      </w:r>
      <w:r w:rsidRPr="006525C1">
        <w:rPr>
          <w:rFonts w:ascii="Arial" w:hAnsi="Arial" w:cs="Arial"/>
          <w:sz w:val="24"/>
          <w:szCs w:val="24"/>
          <w:lang w:val="en-GB"/>
        </w:rPr>
        <w:t xml:space="preserve"> emphasised that two historical moments marked the beginning of the modern state's involvement in producing world welfare for helpless citizens. Thus, in Great Britain</w:t>
      </w:r>
      <w:r w:rsidR="00A506F2" w:rsidRPr="006525C1">
        <w:rPr>
          <w:rFonts w:ascii="Arial" w:hAnsi="Arial" w:cs="Arial"/>
          <w:sz w:val="24"/>
          <w:szCs w:val="24"/>
          <w:lang w:val="en-GB"/>
        </w:rPr>
        <w:t xml:space="preserve"> it</w:t>
      </w:r>
      <w:r w:rsidRPr="006525C1">
        <w:rPr>
          <w:rFonts w:ascii="Arial" w:hAnsi="Arial" w:cs="Arial"/>
          <w:sz w:val="24"/>
          <w:szCs w:val="24"/>
          <w:lang w:val="en-GB"/>
        </w:rPr>
        <w:t xml:space="preserve"> is considered to be The Elizabethan Poor Law (1601) in addition to helping citizens with poverty these laws also helped children and those with disabilities, and the introduction of The Bismarck's Social Insurance Program (1880) which led to a plan that provided to citizens an insurance program that protect</w:t>
      </w:r>
      <w:r w:rsidR="00981E11" w:rsidRPr="006525C1">
        <w:rPr>
          <w:rFonts w:ascii="Arial" w:hAnsi="Arial" w:cs="Arial"/>
          <w:sz w:val="24"/>
          <w:szCs w:val="24"/>
          <w:lang w:val="en-GB"/>
        </w:rPr>
        <w:t>s</w:t>
      </w:r>
      <w:r w:rsidRPr="006525C1">
        <w:rPr>
          <w:rFonts w:ascii="Arial" w:hAnsi="Arial" w:cs="Arial"/>
          <w:sz w:val="24"/>
          <w:szCs w:val="24"/>
          <w:lang w:val="en-GB"/>
        </w:rPr>
        <w:t xml:space="preserve"> people against the unforeseen exigencies of life, referred to as " The Beveridge Plan".</w:t>
      </w:r>
    </w:p>
    <w:p w14:paraId="72547803" w14:textId="77777777" w:rsidR="008E4A15" w:rsidRPr="006525C1" w:rsidRDefault="008E4A15" w:rsidP="006525C1">
      <w:pPr>
        <w:pStyle w:val="Body"/>
        <w:spacing w:line="360" w:lineRule="auto"/>
        <w:rPr>
          <w:rFonts w:ascii="Arial" w:hAnsi="Arial" w:cs="Arial"/>
          <w:sz w:val="24"/>
          <w:szCs w:val="24"/>
          <w:lang w:val="en-GB"/>
        </w:rPr>
      </w:pPr>
    </w:p>
    <w:p w14:paraId="2D8D0DD7" w14:textId="735A1E33" w:rsidR="008E4A15" w:rsidRPr="006525C1" w:rsidRDefault="006242B4" w:rsidP="006525C1">
      <w:pPr>
        <w:pStyle w:val="Body"/>
        <w:spacing w:line="360" w:lineRule="auto"/>
        <w:rPr>
          <w:rFonts w:ascii="Arial" w:hAnsi="Arial" w:cs="Arial"/>
          <w:sz w:val="24"/>
          <w:szCs w:val="24"/>
          <w:lang w:val="en-GB"/>
        </w:rPr>
      </w:pPr>
      <w:r w:rsidRPr="006525C1">
        <w:rPr>
          <w:rFonts w:ascii="Arial" w:hAnsi="Arial" w:cs="Arial"/>
          <w:sz w:val="24"/>
          <w:szCs w:val="24"/>
          <w:lang w:val="en-GB"/>
        </w:rPr>
        <w:t>From this perspective, Lavalette and Pratt (1997) mentions that social policy can be seen as</w:t>
      </w:r>
      <w:r w:rsidR="00981E11" w:rsidRPr="006525C1">
        <w:rPr>
          <w:rFonts w:ascii="Arial" w:hAnsi="Arial" w:cs="Arial"/>
          <w:sz w:val="24"/>
          <w:szCs w:val="24"/>
          <w:lang w:val="en-GB"/>
        </w:rPr>
        <w:t xml:space="preserve"> a</w:t>
      </w:r>
      <w:r w:rsidRPr="006525C1">
        <w:rPr>
          <w:rFonts w:ascii="Arial" w:hAnsi="Arial" w:cs="Arial"/>
          <w:sz w:val="24"/>
          <w:szCs w:val="24"/>
          <w:lang w:val="en-GB"/>
        </w:rPr>
        <w:t xml:space="preserve"> set of policies that seek to achieve social protection and welfare using concepts and methods from the public, private, voluntary sectors and other related activities such as health care, education, housing</w:t>
      </w:r>
      <w:r w:rsidR="00981E11" w:rsidRPr="006525C1">
        <w:rPr>
          <w:rFonts w:ascii="Arial" w:hAnsi="Arial" w:cs="Arial"/>
          <w:sz w:val="24"/>
          <w:szCs w:val="24"/>
          <w:lang w:val="en-GB"/>
        </w:rPr>
        <w:t xml:space="preserve"> and</w:t>
      </w:r>
      <w:r w:rsidRPr="006525C1">
        <w:rPr>
          <w:rFonts w:ascii="Arial" w:hAnsi="Arial" w:cs="Arial"/>
          <w:sz w:val="24"/>
          <w:szCs w:val="24"/>
          <w:lang w:val="en-GB"/>
        </w:rPr>
        <w:t xml:space="preserve"> social security that was called the 'welfare state'.</w:t>
      </w:r>
    </w:p>
    <w:p w14:paraId="1758C999" w14:textId="77777777" w:rsidR="008E4A15" w:rsidRPr="006525C1" w:rsidRDefault="008E4A15" w:rsidP="006525C1">
      <w:pPr>
        <w:pStyle w:val="Body"/>
        <w:spacing w:line="360" w:lineRule="auto"/>
        <w:rPr>
          <w:rFonts w:ascii="Arial" w:hAnsi="Arial" w:cs="Arial"/>
          <w:sz w:val="24"/>
          <w:szCs w:val="24"/>
          <w:lang w:val="en-GB"/>
        </w:rPr>
      </w:pPr>
    </w:p>
    <w:p w14:paraId="443AB9EA" w14:textId="5EF23A4A" w:rsidR="008E4A15" w:rsidRPr="006525C1" w:rsidRDefault="006242B4" w:rsidP="006525C1">
      <w:pPr>
        <w:pStyle w:val="Body"/>
        <w:spacing w:line="360" w:lineRule="auto"/>
        <w:rPr>
          <w:rFonts w:ascii="Arial" w:hAnsi="Arial" w:cs="Arial"/>
          <w:sz w:val="24"/>
          <w:szCs w:val="24"/>
          <w:lang w:val="en-GB"/>
        </w:rPr>
      </w:pPr>
      <w:r w:rsidRPr="006525C1">
        <w:rPr>
          <w:rFonts w:ascii="Arial" w:hAnsi="Arial" w:cs="Arial"/>
          <w:sz w:val="24"/>
          <w:szCs w:val="24"/>
          <w:lang w:val="en-GB"/>
        </w:rPr>
        <w:t>The implementation of social policy differs depending on the provision of the social services, for example, before 1870 the educational system was limited by resources</w:t>
      </w:r>
      <w:r w:rsidR="00CB5C6A" w:rsidRPr="006525C1">
        <w:rPr>
          <w:rFonts w:ascii="Arial" w:hAnsi="Arial" w:cs="Arial"/>
          <w:sz w:val="24"/>
          <w:szCs w:val="24"/>
          <w:lang w:val="en-GB"/>
        </w:rPr>
        <w:t xml:space="preserve"> and</w:t>
      </w:r>
      <w:r w:rsidRPr="006525C1">
        <w:rPr>
          <w:rFonts w:ascii="Arial" w:hAnsi="Arial" w:cs="Arial"/>
          <w:sz w:val="24"/>
          <w:szCs w:val="24"/>
          <w:lang w:val="en-GB"/>
        </w:rPr>
        <w:t xml:space="preserve"> by the number of teachers, although it was not compulsory, only the middle and upper social class could afford to be educated in church, private or voluntary schools ( Trowler, 2003). Compulsory education was introduced in 1880, but only in 1891 fees for elementary education were abolished. The Education Act made local authorities responsible for schools, and under the Local Government Act the County Councils and County Borough Councils were nominated in 1888. In 1918 The Education Act </w:t>
      </w:r>
      <w:r w:rsidR="00CB5C6A" w:rsidRPr="006525C1">
        <w:rPr>
          <w:rFonts w:ascii="Arial" w:hAnsi="Arial" w:cs="Arial"/>
          <w:sz w:val="24"/>
          <w:szCs w:val="24"/>
          <w:lang w:val="en-GB"/>
        </w:rPr>
        <w:t xml:space="preserve">increased the age of compulsory </w:t>
      </w:r>
      <w:r w:rsidRPr="006525C1">
        <w:rPr>
          <w:rFonts w:ascii="Arial" w:hAnsi="Arial" w:cs="Arial"/>
          <w:sz w:val="24"/>
          <w:szCs w:val="24"/>
          <w:lang w:val="en-GB"/>
        </w:rPr>
        <w:t>education</w:t>
      </w:r>
      <w:r w:rsidR="00CB5C6A" w:rsidRPr="006525C1">
        <w:rPr>
          <w:rFonts w:ascii="Arial" w:hAnsi="Arial" w:cs="Arial"/>
          <w:sz w:val="24"/>
          <w:szCs w:val="24"/>
          <w:lang w:val="en-GB"/>
        </w:rPr>
        <w:t xml:space="preserve"> from 13 to 14 years of age. </w:t>
      </w:r>
      <w:r w:rsidRPr="006525C1">
        <w:rPr>
          <w:rFonts w:ascii="Arial" w:hAnsi="Arial" w:cs="Arial"/>
          <w:sz w:val="24"/>
          <w:szCs w:val="24"/>
          <w:lang w:val="en-GB"/>
        </w:rPr>
        <w:t xml:space="preserve">Free secondary education for all was established by Butler's 1944 Education Act ensuring compulsory and free state education from 5 to 15 years, setting up the primary between </w:t>
      </w:r>
      <w:r w:rsidR="006525C1" w:rsidRPr="006525C1">
        <w:rPr>
          <w:rFonts w:ascii="Arial" w:hAnsi="Arial" w:cs="Arial"/>
          <w:sz w:val="24"/>
          <w:szCs w:val="24"/>
          <w:lang w:val="en-GB"/>
        </w:rPr>
        <w:t>5-11</w:t>
      </w:r>
      <w:r w:rsidR="006525C1">
        <w:rPr>
          <w:rFonts w:ascii="Arial" w:hAnsi="Arial" w:cs="Arial"/>
          <w:sz w:val="24"/>
          <w:szCs w:val="24"/>
          <w:lang w:val="en-GB"/>
        </w:rPr>
        <w:t xml:space="preserve"> </w:t>
      </w:r>
      <w:r w:rsidR="006525C1" w:rsidRPr="006525C1">
        <w:rPr>
          <w:rFonts w:ascii="Arial" w:hAnsi="Arial" w:cs="Arial"/>
          <w:sz w:val="24"/>
          <w:szCs w:val="24"/>
          <w:lang w:val="en-GB"/>
        </w:rPr>
        <w:t>year</w:t>
      </w:r>
      <w:r w:rsidRPr="006525C1">
        <w:rPr>
          <w:rFonts w:ascii="Arial" w:hAnsi="Arial" w:cs="Arial"/>
          <w:sz w:val="24"/>
          <w:szCs w:val="24"/>
          <w:lang w:val="en-GB"/>
        </w:rPr>
        <w:t xml:space="preserve"> olds, secondary aged 11 to 15 and further schools or colleges aged 16-18 or plus; these being based on three reports: </w:t>
      </w:r>
    </w:p>
    <w:p w14:paraId="1BFB1CDA" w14:textId="77777777" w:rsidR="008E4A15" w:rsidRPr="006525C1" w:rsidRDefault="006242B4" w:rsidP="006525C1">
      <w:pPr>
        <w:pStyle w:val="Body"/>
        <w:numPr>
          <w:ilvl w:val="0"/>
          <w:numId w:val="2"/>
        </w:numPr>
        <w:spacing w:line="360" w:lineRule="auto"/>
        <w:rPr>
          <w:rFonts w:ascii="Arial" w:hAnsi="Arial" w:cs="Arial"/>
          <w:sz w:val="24"/>
          <w:szCs w:val="24"/>
          <w:lang w:val="en-GB"/>
        </w:rPr>
      </w:pPr>
      <w:r w:rsidRPr="006525C1">
        <w:rPr>
          <w:rFonts w:ascii="Arial" w:hAnsi="Arial" w:cs="Arial"/>
          <w:sz w:val="24"/>
          <w:szCs w:val="24"/>
          <w:lang w:val="en-GB"/>
        </w:rPr>
        <w:t>The 1926 Hadow Report</w:t>
      </w:r>
    </w:p>
    <w:p w14:paraId="0B8E9EAE" w14:textId="77777777" w:rsidR="008E4A15" w:rsidRPr="006525C1" w:rsidRDefault="006242B4" w:rsidP="006525C1">
      <w:pPr>
        <w:pStyle w:val="Body"/>
        <w:numPr>
          <w:ilvl w:val="0"/>
          <w:numId w:val="2"/>
        </w:numPr>
        <w:spacing w:line="360" w:lineRule="auto"/>
        <w:rPr>
          <w:rFonts w:ascii="Arial" w:hAnsi="Arial" w:cs="Arial"/>
          <w:sz w:val="24"/>
          <w:szCs w:val="24"/>
          <w:lang w:val="en-GB"/>
        </w:rPr>
      </w:pPr>
      <w:r w:rsidRPr="006525C1">
        <w:rPr>
          <w:rFonts w:ascii="Arial" w:hAnsi="Arial" w:cs="Arial"/>
          <w:sz w:val="24"/>
          <w:szCs w:val="24"/>
          <w:lang w:val="en-GB"/>
        </w:rPr>
        <w:t>The 1938 Spens Report</w:t>
      </w:r>
    </w:p>
    <w:p w14:paraId="796A379F" w14:textId="77777777" w:rsidR="008E4A15" w:rsidRPr="006525C1" w:rsidRDefault="006242B4" w:rsidP="006525C1">
      <w:pPr>
        <w:pStyle w:val="Body"/>
        <w:numPr>
          <w:ilvl w:val="0"/>
          <w:numId w:val="2"/>
        </w:numPr>
        <w:spacing w:line="360" w:lineRule="auto"/>
        <w:rPr>
          <w:rFonts w:ascii="Arial" w:hAnsi="Arial" w:cs="Arial"/>
          <w:sz w:val="24"/>
          <w:szCs w:val="24"/>
          <w:lang w:val="en-GB"/>
        </w:rPr>
      </w:pPr>
      <w:r w:rsidRPr="006525C1">
        <w:rPr>
          <w:rFonts w:ascii="Arial" w:hAnsi="Arial" w:cs="Arial"/>
          <w:sz w:val="24"/>
          <w:szCs w:val="24"/>
          <w:lang w:val="en-GB"/>
        </w:rPr>
        <w:t>The 1943 Norwood Report.</w:t>
      </w:r>
    </w:p>
    <w:p w14:paraId="7AE4DAB9" w14:textId="77777777" w:rsidR="008E4A15" w:rsidRPr="006525C1" w:rsidRDefault="008E4A15" w:rsidP="006525C1">
      <w:pPr>
        <w:pStyle w:val="Body"/>
        <w:spacing w:line="360" w:lineRule="auto"/>
        <w:rPr>
          <w:rFonts w:ascii="Arial" w:hAnsi="Arial" w:cs="Arial"/>
          <w:sz w:val="24"/>
          <w:szCs w:val="24"/>
          <w:lang w:val="en-GB"/>
        </w:rPr>
      </w:pPr>
    </w:p>
    <w:p w14:paraId="28A420F0" w14:textId="77777777" w:rsidR="006525C1" w:rsidRDefault="006525C1" w:rsidP="006525C1">
      <w:pPr>
        <w:pStyle w:val="Body"/>
        <w:spacing w:line="360" w:lineRule="auto"/>
        <w:rPr>
          <w:rFonts w:ascii="Arial" w:hAnsi="Arial" w:cs="Arial"/>
          <w:sz w:val="24"/>
          <w:szCs w:val="24"/>
          <w:lang w:val="en-GB"/>
        </w:rPr>
      </w:pPr>
    </w:p>
    <w:p w14:paraId="38A7F719" w14:textId="0DB30A70" w:rsidR="008E4A15" w:rsidRPr="006525C1" w:rsidRDefault="006242B4" w:rsidP="006525C1">
      <w:pPr>
        <w:pStyle w:val="Body"/>
        <w:spacing w:line="360" w:lineRule="auto"/>
        <w:rPr>
          <w:rFonts w:ascii="Arial" w:hAnsi="Arial" w:cs="Arial"/>
          <w:sz w:val="24"/>
          <w:szCs w:val="24"/>
          <w:lang w:val="en-GB"/>
        </w:rPr>
      </w:pPr>
      <w:r w:rsidRPr="006525C1">
        <w:rPr>
          <w:rFonts w:ascii="Arial" w:hAnsi="Arial" w:cs="Arial"/>
          <w:sz w:val="24"/>
          <w:szCs w:val="24"/>
          <w:lang w:val="en-GB"/>
        </w:rPr>
        <w:t>Tomlinson (2008) highlights that after 1999, Wales took control of its own education system, Scotland controlled a separate system after the 1945 Education (Scotland) Act, as does Northern Ireland.</w:t>
      </w:r>
    </w:p>
    <w:p w14:paraId="1EBF58B8" w14:textId="77777777" w:rsidR="008E4A15" w:rsidRPr="006525C1" w:rsidRDefault="008E4A15" w:rsidP="006525C1">
      <w:pPr>
        <w:pStyle w:val="Body"/>
        <w:spacing w:line="360" w:lineRule="auto"/>
        <w:rPr>
          <w:rFonts w:ascii="Arial" w:hAnsi="Arial" w:cs="Arial"/>
          <w:sz w:val="24"/>
          <w:szCs w:val="24"/>
          <w:lang w:val="en-GB"/>
        </w:rPr>
      </w:pPr>
    </w:p>
    <w:p w14:paraId="2DBB4E21" w14:textId="77777777" w:rsidR="008E4A15" w:rsidRPr="006525C1" w:rsidRDefault="006242B4" w:rsidP="006525C1">
      <w:pPr>
        <w:pStyle w:val="Body"/>
        <w:spacing w:line="360" w:lineRule="auto"/>
        <w:rPr>
          <w:rFonts w:ascii="Arial" w:hAnsi="Arial" w:cs="Arial"/>
          <w:sz w:val="24"/>
          <w:szCs w:val="24"/>
          <w:lang w:val="en-GB"/>
        </w:rPr>
      </w:pPr>
      <w:r w:rsidRPr="006525C1">
        <w:rPr>
          <w:rFonts w:ascii="Arial" w:hAnsi="Arial" w:cs="Arial"/>
          <w:sz w:val="24"/>
          <w:szCs w:val="24"/>
          <w:lang w:val="en-GB"/>
        </w:rPr>
        <w:t>By the early 21st century education in Britain needed to become clearer as to its principles, propose and content because in the 2000s by political decision it was encourage labour migration and there still was hostility from British citizens towards immigrants; to settled immigrant citizens and to support immigration control legislation education has a duty and a key role in clarifying and tackling the basis and manifestation of inequality, racism and discrimination in its own practices and institutions.</w:t>
      </w:r>
    </w:p>
    <w:p w14:paraId="05B1262D" w14:textId="77777777" w:rsidR="008E4A15" w:rsidRPr="006525C1" w:rsidRDefault="008E4A15" w:rsidP="006525C1">
      <w:pPr>
        <w:pStyle w:val="Body"/>
        <w:spacing w:line="360" w:lineRule="auto"/>
        <w:rPr>
          <w:rFonts w:ascii="Arial" w:hAnsi="Arial" w:cs="Arial"/>
          <w:sz w:val="24"/>
          <w:szCs w:val="24"/>
          <w:lang w:val="en-GB"/>
        </w:rPr>
      </w:pPr>
    </w:p>
    <w:p w14:paraId="78124C2F" w14:textId="77777777" w:rsidR="008E4A15" w:rsidRPr="006525C1" w:rsidRDefault="008E4A15" w:rsidP="006525C1">
      <w:pPr>
        <w:pStyle w:val="Body"/>
        <w:spacing w:line="360" w:lineRule="auto"/>
        <w:rPr>
          <w:rFonts w:ascii="Arial" w:hAnsi="Arial" w:cs="Arial"/>
          <w:sz w:val="24"/>
          <w:szCs w:val="24"/>
          <w:lang w:val="en-GB"/>
        </w:rPr>
      </w:pPr>
    </w:p>
    <w:p w14:paraId="71019DFC" w14:textId="77777777" w:rsidR="008E4A15" w:rsidRPr="006525C1" w:rsidRDefault="008E4A15" w:rsidP="006525C1">
      <w:pPr>
        <w:pStyle w:val="Body"/>
        <w:spacing w:line="360" w:lineRule="auto"/>
        <w:rPr>
          <w:rFonts w:ascii="Arial" w:hAnsi="Arial" w:cs="Arial"/>
          <w:sz w:val="24"/>
          <w:szCs w:val="24"/>
          <w:lang w:val="en-GB"/>
        </w:rPr>
      </w:pPr>
    </w:p>
    <w:p w14:paraId="6616B093" w14:textId="77777777" w:rsidR="008E4A15" w:rsidRPr="006525C1" w:rsidRDefault="008E4A15" w:rsidP="006525C1">
      <w:pPr>
        <w:pStyle w:val="Body"/>
        <w:spacing w:line="360" w:lineRule="auto"/>
        <w:rPr>
          <w:rFonts w:ascii="Arial" w:hAnsi="Arial" w:cs="Arial"/>
          <w:sz w:val="24"/>
          <w:szCs w:val="24"/>
          <w:lang w:val="en-GB"/>
        </w:rPr>
      </w:pPr>
    </w:p>
    <w:p w14:paraId="0F80E420" w14:textId="77777777" w:rsidR="008E4A15" w:rsidRPr="006525C1" w:rsidRDefault="008E4A15" w:rsidP="006525C1">
      <w:pPr>
        <w:pStyle w:val="Body"/>
        <w:spacing w:line="360" w:lineRule="auto"/>
        <w:rPr>
          <w:rFonts w:ascii="Arial" w:hAnsi="Arial" w:cs="Arial"/>
          <w:sz w:val="24"/>
          <w:szCs w:val="24"/>
          <w:lang w:val="en-GB"/>
        </w:rPr>
      </w:pPr>
    </w:p>
    <w:p w14:paraId="5EBC689B" w14:textId="77777777" w:rsidR="008E4A15" w:rsidRPr="006525C1" w:rsidRDefault="008E4A15" w:rsidP="006525C1">
      <w:pPr>
        <w:pStyle w:val="Body"/>
        <w:spacing w:line="360" w:lineRule="auto"/>
        <w:rPr>
          <w:rFonts w:ascii="Arial" w:hAnsi="Arial" w:cs="Arial"/>
          <w:sz w:val="24"/>
          <w:szCs w:val="24"/>
          <w:lang w:val="en-GB"/>
        </w:rPr>
      </w:pPr>
    </w:p>
    <w:p w14:paraId="7D05D8FF" w14:textId="77777777" w:rsidR="008E4A15" w:rsidRPr="006525C1" w:rsidRDefault="008E4A15" w:rsidP="006525C1">
      <w:pPr>
        <w:pStyle w:val="Body"/>
        <w:spacing w:line="360" w:lineRule="auto"/>
        <w:rPr>
          <w:rFonts w:ascii="Arial" w:hAnsi="Arial" w:cs="Arial"/>
          <w:sz w:val="24"/>
          <w:szCs w:val="24"/>
          <w:lang w:val="en-GB"/>
        </w:rPr>
      </w:pPr>
    </w:p>
    <w:p w14:paraId="6462B4E8" w14:textId="77777777" w:rsidR="008E4A15" w:rsidRPr="006525C1" w:rsidRDefault="008E4A15" w:rsidP="006525C1">
      <w:pPr>
        <w:pStyle w:val="Body"/>
        <w:spacing w:line="360" w:lineRule="auto"/>
        <w:rPr>
          <w:rFonts w:ascii="Arial" w:hAnsi="Arial" w:cs="Arial"/>
          <w:sz w:val="24"/>
          <w:szCs w:val="24"/>
          <w:lang w:val="en-GB"/>
        </w:rPr>
      </w:pPr>
    </w:p>
    <w:p w14:paraId="39C3154D" w14:textId="77777777" w:rsidR="008E4A15" w:rsidRPr="006525C1" w:rsidRDefault="008E4A15" w:rsidP="006525C1">
      <w:pPr>
        <w:pStyle w:val="Body"/>
        <w:spacing w:line="360" w:lineRule="auto"/>
        <w:rPr>
          <w:rFonts w:ascii="Arial" w:hAnsi="Arial" w:cs="Arial"/>
          <w:sz w:val="24"/>
          <w:szCs w:val="24"/>
          <w:lang w:val="en-GB"/>
        </w:rPr>
      </w:pPr>
    </w:p>
    <w:p w14:paraId="1E5D741B" w14:textId="023BFABE" w:rsidR="006525C1" w:rsidRPr="006525C1" w:rsidRDefault="006525C1" w:rsidP="006525C1">
      <w:pPr>
        <w:pStyle w:val="Body"/>
        <w:spacing w:line="360" w:lineRule="auto"/>
        <w:rPr>
          <w:rFonts w:ascii="Arial" w:hAnsi="Arial" w:cs="Arial"/>
          <w:sz w:val="24"/>
          <w:szCs w:val="24"/>
          <w:lang w:val="en-GB"/>
        </w:rPr>
      </w:pPr>
    </w:p>
    <w:p w14:paraId="520EF0B6" w14:textId="22355DF9" w:rsidR="006525C1" w:rsidRPr="006525C1" w:rsidRDefault="006525C1" w:rsidP="006525C1">
      <w:pPr>
        <w:pStyle w:val="Body"/>
        <w:spacing w:line="360" w:lineRule="auto"/>
        <w:rPr>
          <w:rFonts w:ascii="Arial" w:hAnsi="Arial" w:cs="Arial"/>
          <w:sz w:val="24"/>
          <w:szCs w:val="24"/>
          <w:lang w:val="en-GB"/>
        </w:rPr>
      </w:pPr>
    </w:p>
    <w:p w14:paraId="7462DA7E" w14:textId="0F650717" w:rsidR="006525C1" w:rsidRPr="006525C1" w:rsidRDefault="006525C1" w:rsidP="006525C1">
      <w:pPr>
        <w:pStyle w:val="Body"/>
        <w:spacing w:line="360" w:lineRule="auto"/>
        <w:rPr>
          <w:rFonts w:ascii="Arial" w:hAnsi="Arial" w:cs="Arial"/>
          <w:sz w:val="24"/>
          <w:szCs w:val="24"/>
          <w:lang w:val="en-GB"/>
        </w:rPr>
      </w:pPr>
    </w:p>
    <w:p w14:paraId="31CDC5D0" w14:textId="77777777" w:rsidR="006525C1" w:rsidRPr="006525C1" w:rsidRDefault="006525C1" w:rsidP="006525C1">
      <w:pPr>
        <w:pStyle w:val="Body"/>
        <w:spacing w:line="360" w:lineRule="auto"/>
        <w:rPr>
          <w:rFonts w:ascii="Arial" w:hAnsi="Arial" w:cs="Arial"/>
          <w:sz w:val="24"/>
          <w:szCs w:val="24"/>
          <w:lang w:val="en-GB"/>
        </w:rPr>
      </w:pPr>
    </w:p>
    <w:p w14:paraId="52CFD00D" w14:textId="77777777" w:rsidR="008E4A15" w:rsidRPr="006525C1" w:rsidRDefault="008E4A15" w:rsidP="006525C1">
      <w:pPr>
        <w:pStyle w:val="Body"/>
        <w:spacing w:line="360" w:lineRule="auto"/>
        <w:rPr>
          <w:rFonts w:ascii="Arial" w:hAnsi="Arial" w:cs="Arial"/>
          <w:sz w:val="24"/>
          <w:szCs w:val="24"/>
          <w:lang w:val="en-GB"/>
        </w:rPr>
      </w:pPr>
    </w:p>
    <w:p w14:paraId="31C65675" w14:textId="77777777" w:rsidR="006525C1" w:rsidRDefault="006525C1" w:rsidP="006525C1">
      <w:pPr>
        <w:pStyle w:val="Body"/>
        <w:spacing w:line="360" w:lineRule="auto"/>
        <w:rPr>
          <w:rFonts w:ascii="Arial" w:hAnsi="Arial" w:cs="Arial"/>
          <w:b/>
          <w:bCs/>
          <w:sz w:val="24"/>
          <w:szCs w:val="24"/>
          <w:lang w:val="en-GB"/>
        </w:rPr>
      </w:pPr>
    </w:p>
    <w:p w14:paraId="2282B1AE" w14:textId="77777777" w:rsidR="006525C1" w:rsidRDefault="006525C1" w:rsidP="006525C1">
      <w:pPr>
        <w:pStyle w:val="Body"/>
        <w:spacing w:line="360" w:lineRule="auto"/>
        <w:rPr>
          <w:rFonts w:ascii="Arial" w:hAnsi="Arial" w:cs="Arial"/>
          <w:b/>
          <w:bCs/>
          <w:sz w:val="24"/>
          <w:szCs w:val="24"/>
          <w:lang w:val="en-GB"/>
        </w:rPr>
      </w:pPr>
    </w:p>
    <w:p w14:paraId="5FB1442D" w14:textId="77777777" w:rsidR="006525C1" w:rsidRDefault="006525C1" w:rsidP="006525C1">
      <w:pPr>
        <w:pStyle w:val="Body"/>
        <w:spacing w:line="360" w:lineRule="auto"/>
        <w:rPr>
          <w:rFonts w:ascii="Arial" w:hAnsi="Arial" w:cs="Arial"/>
          <w:b/>
          <w:bCs/>
          <w:sz w:val="24"/>
          <w:szCs w:val="24"/>
          <w:lang w:val="en-GB"/>
        </w:rPr>
      </w:pPr>
    </w:p>
    <w:p w14:paraId="173B9E14" w14:textId="77777777" w:rsidR="006525C1" w:rsidRDefault="006525C1" w:rsidP="006525C1">
      <w:pPr>
        <w:pStyle w:val="Body"/>
        <w:spacing w:line="360" w:lineRule="auto"/>
        <w:rPr>
          <w:rFonts w:ascii="Arial" w:hAnsi="Arial" w:cs="Arial"/>
          <w:b/>
          <w:bCs/>
          <w:sz w:val="24"/>
          <w:szCs w:val="24"/>
          <w:lang w:val="en-GB"/>
        </w:rPr>
      </w:pPr>
    </w:p>
    <w:p w14:paraId="687BBA28" w14:textId="77777777" w:rsidR="006525C1" w:rsidRDefault="006525C1" w:rsidP="006525C1">
      <w:pPr>
        <w:pStyle w:val="Body"/>
        <w:spacing w:line="360" w:lineRule="auto"/>
        <w:rPr>
          <w:rFonts w:ascii="Arial" w:hAnsi="Arial" w:cs="Arial"/>
          <w:b/>
          <w:bCs/>
          <w:sz w:val="24"/>
          <w:szCs w:val="24"/>
          <w:lang w:val="en-GB"/>
        </w:rPr>
      </w:pPr>
    </w:p>
    <w:p w14:paraId="69A4D4B1" w14:textId="77777777" w:rsidR="006525C1" w:rsidRDefault="006525C1" w:rsidP="006525C1">
      <w:pPr>
        <w:pStyle w:val="Body"/>
        <w:spacing w:line="360" w:lineRule="auto"/>
        <w:rPr>
          <w:rFonts w:ascii="Arial" w:hAnsi="Arial" w:cs="Arial"/>
          <w:b/>
          <w:bCs/>
          <w:sz w:val="24"/>
          <w:szCs w:val="24"/>
          <w:lang w:val="en-GB"/>
        </w:rPr>
      </w:pPr>
    </w:p>
    <w:p w14:paraId="22E16479" w14:textId="77777777" w:rsidR="006525C1" w:rsidRDefault="006525C1" w:rsidP="006525C1">
      <w:pPr>
        <w:pStyle w:val="Body"/>
        <w:spacing w:line="360" w:lineRule="auto"/>
        <w:rPr>
          <w:rFonts w:ascii="Arial" w:hAnsi="Arial" w:cs="Arial"/>
          <w:b/>
          <w:bCs/>
          <w:sz w:val="24"/>
          <w:szCs w:val="24"/>
          <w:lang w:val="en-GB"/>
        </w:rPr>
      </w:pPr>
    </w:p>
    <w:p w14:paraId="6FD9CC10" w14:textId="77777777" w:rsidR="006525C1" w:rsidRDefault="006525C1" w:rsidP="006525C1">
      <w:pPr>
        <w:pStyle w:val="Body"/>
        <w:spacing w:line="360" w:lineRule="auto"/>
        <w:rPr>
          <w:rFonts w:ascii="Arial" w:hAnsi="Arial" w:cs="Arial"/>
          <w:b/>
          <w:bCs/>
          <w:sz w:val="24"/>
          <w:szCs w:val="24"/>
          <w:lang w:val="en-GB"/>
        </w:rPr>
      </w:pPr>
    </w:p>
    <w:p w14:paraId="06111720" w14:textId="77777777" w:rsidR="006525C1" w:rsidRDefault="006525C1" w:rsidP="006525C1">
      <w:pPr>
        <w:pStyle w:val="Body"/>
        <w:spacing w:line="360" w:lineRule="auto"/>
        <w:rPr>
          <w:rFonts w:ascii="Arial" w:hAnsi="Arial" w:cs="Arial"/>
          <w:b/>
          <w:bCs/>
          <w:sz w:val="24"/>
          <w:szCs w:val="24"/>
          <w:lang w:val="en-GB"/>
        </w:rPr>
      </w:pPr>
    </w:p>
    <w:p w14:paraId="1192614E" w14:textId="77777777" w:rsidR="006525C1" w:rsidRDefault="006525C1" w:rsidP="006525C1">
      <w:pPr>
        <w:pStyle w:val="Body"/>
        <w:spacing w:line="360" w:lineRule="auto"/>
        <w:rPr>
          <w:rFonts w:ascii="Arial" w:hAnsi="Arial" w:cs="Arial"/>
          <w:b/>
          <w:bCs/>
          <w:sz w:val="24"/>
          <w:szCs w:val="24"/>
          <w:lang w:val="en-GB"/>
        </w:rPr>
      </w:pPr>
    </w:p>
    <w:p w14:paraId="164CC6EC" w14:textId="3B905E25" w:rsidR="006525C1" w:rsidRDefault="006525C1" w:rsidP="006525C1">
      <w:pPr>
        <w:pStyle w:val="Body"/>
        <w:spacing w:line="360" w:lineRule="auto"/>
        <w:rPr>
          <w:rFonts w:ascii="Arial" w:hAnsi="Arial" w:cs="Arial"/>
          <w:b/>
          <w:bCs/>
          <w:sz w:val="24"/>
          <w:szCs w:val="24"/>
          <w:lang w:val="en-GB"/>
        </w:rPr>
      </w:pPr>
    </w:p>
    <w:p w14:paraId="2C788BCE" w14:textId="77777777" w:rsidR="006525C1" w:rsidRDefault="006525C1" w:rsidP="006525C1">
      <w:pPr>
        <w:pStyle w:val="Body"/>
        <w:spacing w:line="360" w:lineRule="auto"/>
        <w:rPr>
          <w:rFonts w:ascii="Arial" w:hAnsi="Arial" w:cs="Arial"/>
          <w:b/>
          <w:bCs/>
          <w:sz w:val="24"/>
          <w:szCs w:val="24"/>
          <w:lang w:val="en-GB"/>
        </w:rPr>
      </w:pPr>
    </w:p>
    <w:p w14:paraId="4E0C66CD" w14:textId="69F1654A" w:rsidR="008E4A15" w:rsidRPr="006525C1" w:rsidRDefault="006242B4" w:rsidP="006525C1">
      <w:pPr>
        <w:pStyle w:val="Body"/>
        <w:spacing w:line="360" w:lineRule="auto"/>
        <w:rPr>
          <w:rFonts w:ascii="Arial" w:hAnsi="Arial" w:cs="Arial"/>
          <w:b/>
          <w:bCs/>
          <w:sz w:val="26"/>
          <w:szCs w:val="26"/>
          <w:lang w:val="en-GB"/>
        </w:rPr>
      </w:pPr>
      <w:r w:rsidRPr="006525C1">
        <w:rPr>
          <w:rFonts w:ascii="Arial" w:hAnsi="Arial" w:cs="Arial"/>
          <w:b/>
          <w:bCs/>
          <w:sz w:val="26"/>
          <w:szCs w:val="26"/>
          <w:lang w:val="en-GB"/>
        </w:rPr>
        <w:t>Reference list</w:t>
      </w:r>
    </w:p>
    <w:p w14:paraId="6CC7AE4F" w14:textId="4021C601" w:rsidR="006525C1" w:rsidRDefault="006525C1" w:rsidP="006525C1">
      <w:pPr>
        <w:pStyle w:val="Body"/>
        <w:spacing w:line="360" w:lineRule="auto"/>
        <w:rPr>
          <w:rFonts w:ascii="Arial" w:hAnsi="Arial" w:cs="Arial"/>
          <w:b/>
          <w:bCs/>
          <w:sz w:val="24"/>
          <w:szCs w:val="24"/>
          <w:lang w:val="en-GB"/>
        </w:rPr>
      </w:pPr>
    </w:p>
    <w:p w14:paraId="5FEA9949" w14:textId="77777777" w:rsidR="00A71E57" w:rsidRDefault="00A71E57" w:rsidP="00A71E57">
      <w:pPr>
        <w:pStyle w:val="Body"/>
        <w:spacing w:line="360" w:lineRule="auto"/>
        <w:rPr>
          <w:rFonts w:ascii="Arial" w:hAnsi="Arial" w:cs="Arial"/>
          <w:sz w:val="24"/>
          <w:szCs w:val="24"/>
          <w:lang w:val="en-GB"/>
        </w:rPr>
      </w:pPr>
      <w:r w:rsidRPr="006525C1">
        <w:rPr>
          <w:rFonts w:ascii="Arial" w:hAnsi="Arial" w:cs="Arial"/>
          <w:sz w:val="24"/>
          <w:szCs w:val="24"/>
          <w:lang w:val="en-GB"/>
        </w:rPr>
        <w:t>Lavalette</w:t>
      </w:r>
      <w:r>
        <w:rPr>
          <w:rFonts w:ascii="Arial" w:hAnsi="Arial" w:cs="Arial"/>
          <w:sz w:val="24"/>
          <w:szCs w:val="24"/>
          <w:lang w:val="en-GB"/>
        </w:rPr>
        <w:t>, M.</w:t>
      </w:r>
      <w:r w:rsidRPr="006525C1">
        <w:rPr>
          <w:rFonts w:ascii="Arial" w:hAnsi="Arial" w:cs="Arial"/>
          <w:sz w:val="24"/>
          <w:szCs w:val="24"/>
          <w:lang w:val="en-GB"/>
        </w:rPr>
        <w:t xml:space="preserve"> and Pratt</w:t>
      </w:r>
      <w:r>
        <w:rPr>
          <w:rFonts w:ascii="Arial" w:hAnsi="Arial" w:cs="Arial"/>
          <w:sz w:val="24"/>
          <w:szCs w:val="24"/>
          <w:lang w:val="en-GB"/>
        </w:rPr>
        <w:t>, A.</w:t>
      </w:r>
      <w:r w:rsidRPr="006525C1">
        <w:rPr>
          <w:rFonts w:ascii="Arial" w:hAnsi="Arial" w:cs="Arial"/>
          <w:sz w:val="24"/>
          <w:szCs w:val="24"/>
          <w:lang w:val="en-GB"/>
        </w:rPr>
        <w:t xml:space="preserve"> (1997)</w:t>
      </w:r>
      <w:r>
        <w:rPr>
          <w:rFonts w:ascii="Arial" w:hAnsi="Arial" w:cs="Arial"/>
          <w:sz w:val="24"/>
          <w:szCs w:val="24"/>
          <w:lang w:val="en-GB"/>
        </w:rPr>
        <w:t>,</w:t>
      </w:r>
      <w:r w:rsidRPr="006525C1">
        <w:rPr>
          <w:rFonts w:ascii="Arial" w:hAnsi="Arial" w:cs="Arial"/>
          <w:sz w:val="24"/>
          <w:szCs w:val="24"/>
          <w:lang w:val="en-GB"/>
        </w:rPr>
        <w:t xml:space="preserve"> </w:t>
      </w:r>
      <w:r w:rsidRPr="006525C1">
        <w:rPr>
          <w:rFonts w:ascii="Arial" w:hAnsi="Arial" w:cs="Arial"/>
          <w:i/>
          <w:iCs/>
          <w:sz w:val="24"/>
          <w:szCs w:val="24"/>
          <w:lang w:val="en-GB"/>
        </w:rPr>
        <w:t>Social Policy, A Conceptual and Theoretical Introduction</w:t>
      </w:r>
      <w:r w:rsidRPr="006525C1">
        <w:rPr>
          <w:rFonts w:ascii="Arial" w:hAnsi="Arial" w:cs="Arial"/>
          <w:sz w:val="24"/>
          <w:szCs w:val="24"/>
          <w:lang w:val="en-GB"/>
        </w:rPr>
        <w:t>, Sage Publications Ltd. London.</w:t>
      </w:r>
    </w:p>
    <w:p w14:paraId="6AB5EA4E" w14:textId="77777777" w:rsidR="00A71E57" w:rsidRPr="006525C1" w:rsidRDefault="00A71E57" w:rsidP="006525C1">
      <w:pPr>
        <w:pStyle w:val="Body"/>
        <w:spacing w:line="360" w:lineRule="auto"/>
        <w:rPr>
          <w:rFonts w:ascii="Arial" w:hAnsi="Arial" w:cs="Arial"/>
          <w:b/>
          <w:bCs/>
          <w:sz w:val="24"/>
          <w:szCs w:val="24"/>
          <w:lang w:val="en-GB"/>
        </w:rPr>
      </w:pPr>
    </w:p>
    <w:p w14:paraId="7960FD37" w14:textId="7AF422A7" w:rsidR="008E4A15" w:rsidRDefault="006242B4" w:rsidP="006525C1">
      <w:pPr>
        <w:pStyle w:val="Body"/>
        <w:spacing w:line="360" w:lineRule="auto"/>
        <w:rPr>
          <w:rFonts w:ascii="Arial" w:hAnsi="Arial" w:cs="Arial"/>
          <w:sz w:val="24"/>
          <w:szCs w:val="24"/>
          <w:lang w:val="en-GB"/>
        </w:rPr>
      </w:pPr>
      <w:r w:rsidRPr="006525C1">
        <w:rPr>
          <w:rFonts w:ascii="Arial" w:hAnsi="Arial" w:cs="Arial"/>
          <w:sz w:val="24"/>
          <w:szCs w:val="24"/>
          <w:lang w:val="en-GB"/>
        </w:rPr>
        <w:t>Macarov</w:t>
      </w:r>
      <w:r w:rsidR="00A71E57">
        <w:rPr>
          <w:rFonts w:ascii="Arial" w:hAnsi="Arial" w:cs="Arial"/>
          <w:sz w:val="24"/>
          <w:szCs w:val="24"/>
          <w:lang w:val="en-GB"/>
        </w:rPr>
        <w:t>, D.</w:t>
      </w:r>
      <w:r w:rsidRPr="006525C1">
        <w:rPr>
          <w:rFonts w:ascii="Arial" w:hAnsi="Arial" w:cs="Arial"/>
          <w:sz w:val="24"/>
          <w:szCs w:val="24"/>
          <w:lang w:val="en-GB"/>
        </w:rPr>
        <w:t xml:space="preserve"> (1995)</w:t>
      </w:r>
      <w:r w:rsidR="00A71E57">
        <w:rPr>
          <w:rFonts w:ascii="Arial" w:hAnsi="Arial" w:cs="Arial"/>
          <w:sz w:val="24"/>
          <w:szCs w:val="24"/>
          <w:lang w:val="en-GB"/>
        </w:rPr>
        <w:t>,</w:t>
      </w:r>
      <w:r w:rsidRPr="006525C1">
        <w:rPr>
          <w:rFonts w:ascii="Arial" w:hAnsi="Arial" w:cs="Arial"/>
          <w:sz w:val="24"/>
          <w:szCs w:val="24"/>
          <w:lang w:val="en-GB"/>
        </w:rPr>
        <w:t xml:space="preserve"> </w:t>
      </w:r>
      <w:r w:rsidRPr="006525C1">
        <w:rPr>
          <w:rFonts w:ascii="Arial" w:hAnsi="Arial" w:cs="Arial"/>
          <w:i/>
          <w:iCs/>
          <w:sz w:val="24"/>
          <w:szCs w:val="24"/>
          <w:lang w:val="en-GB"/>
        </w:rPr>
        <w:t>Social Welfare, Structure and Practice</w:t>
      </w:r>
      <w:r w:rsidRPr="006525C1">
        <w:rPr>
          <w:rFonts w:ascii="Arial" w:hAnsi="Arial" w:cs="Arial"/>
          <w:sz w:val="24"/>
          <w:szCs w:val="24"/>
          <w:lang w:val="en-GB"/>
        </w:rPr>
        <w:t>, Sage Publications Ltd. London.</w:t>
      </w:r>
    </w:p>
    <w:p w14:paraId="47D620EF" w14:textId="76D225B7" w:rsidR="00A71E57" w:rsidRDefault="00A71E57" w:rsidP="006525C1">
      <w:pPr>
        <w:pStyle w:val="Body"/>
        <w:spacing w:line="360" w:lineRule="auto"/>
        <w:rPr>
          <w:rFonts w:ascii="Arial" w:hAnsi="Arial" w:cs="Arial"/>
          <w:sz w:val="24"/>
          <w:szCs w:val="24"/>
          <w:lang w:val="en-GB"/>
        </w:rPr>
      </w:pPr>
    </w:p>
    <w:p w14:paraId="00180366" w14:textId="77777777" w:rsidR="00A71E57" w:rsidRPr="006525C1" w:rsidRDefault="00A71E57" w:rsidP="00A71E57">
      <w:pPr>
        <w:pStyle w:val="Body"/>
        <w:spacing w:line="360" w:lineRule="auto"/>
        <w:rPr>
          <w:rFonts w:ascii="Arial" w:hAnsi="Arial" w:cs="Arial"/>
          <w:sz w:val="24"/>
          <w:szCs w:val="24"/>
          <w:lang w:val="en-GB"/>
        </w:rPr>
      </w:pPr>
      <w:r w:rsidRPr="006525C1">
        <w:rPr>
          <w:rFonts w:ascii="Arial" w:hAnsi="Arial" w:cs="Arial"/>
          <w:sz w:val="24"/>
          <w:szCs w:val="24"/>
          <w:lang w:val="en-GB"/>
        </w:rPr>
        <w:t>Tomlinson</w:t>
      </w:r>
      <w:r>
        <w:rPr>
          <w:rFonts w:ascii="Arial" w:hAnsi="Arial" w:cs="Arial"/>
          <w:sz w:val="24"/>
          <w:szCs w:val="24"/>
          <w:lang w:val="en-GB"/>
        </w:rPr>
        <w:t>, S.</w:t>
      </w:r>
      <w:r w:rsidRPr="006525C1">
        <w:rPr>
          <w:rFonts w:ascii="Arial" w:hAnsi="Arial" w:cs="Arial"/>
          <w:sz w:val="24"/>
          <w:szCs w:val="24"/>
          <w:lang w:val="en-GB"/>
        </w:rPr>
        <w:t xml:space="preserve"> (2008)</w:t>
      </w:r>
      <w:r>
        <w:rPr>
          <w:rFonts w:ascii="Arial" w:hAnsi="Arial" w:cs="Arial"/>
          <w:sz w:val="24"/>
          <w:szCs w:val="24"/>
          <w:lang w:val="en-GB"/>
        </w:rPr>
        <w:t>,</w:t>
      </w:r>
      <w:r w:rsidRPr="006525C1">
        <w:rPr>
          <w:rFonts w:ascii="Arial" w:hAnsi="Arial" w:cs="Arial"/>
          <w:sz w:val="24"/>
          <w:szCs w:val="24"/>
          <w:lang w:val="en-GB"/>
        </w:rPr>
        <w:t xml:space="preserve"> </w:t>
      </w:r>
      <w:r w:rsidRPr="006525C1">
        <w:rPr>
          <w:rFonts w:ascii="Arial" w:hAnsi="Arial" w:cs="Arial"/>
          <w:i/>
          <w:iCs/>
          <w:sz w:val="24"/>
          <w:szCs w:val="24"/>
          <w:lang w:val="en-GB"/>
        </w:rPr>
        <w:t>Race and Education, Policy and Politics in Britain</w:t>
      </w:r>
      <w:r w:rsidRPr="006525C1">
        <w:rPr>
          <w:rFonts w:ascii="Arial" w:hAnsi="Arial" w:cs="Arial"/>
          <w:sz w:val="24"/>
          <w:szCs w:val="24"/>
          <w:lang w:val="en-GB"/>
        </w:rPr>
        <w:t>, Open University Press, available from the British Library.</w:t>
      </w:r>
    </w:p>
    <w:p w14:paraId="76FDC268" w14:textId="77777777" w:rsidR="00A71E57" w:rsidRPr="00A71E57" w:rsidRDefault="00A71E57" w:rsidP="006525C1">
      <w:pPr>
        <w:pStyle w:val="Body"/>
        <w:spacing w:line="360" w:lineRule="auto"/>
        <w:rPr>
          <w:rFonts w:ascii="Arial" w:hAnsi="Arial" w:cs="Arial"/>
          <w:b/>
          <w:bCs/>
          <w:sz w:val="24"/>
          <w:szCs w:val="24"/>
          <w:lang w:val="en-GB"/>
        </w:rPr>
      </w:pPr>
    </w:p>
    <w:p w14:paraId="623BEEF6" w14:textId="7CF8FB6B" w:rsidR="008E4A15" w:rsidRPr="006525C1" w:rsidRDefault="006242B4" w:rsidP="006525C1">
      <w:pPr>
        <w:pStyle w:val="Body"/>
        <w:spacing w:line="360" w:lineRule="auto"/>
        <w:rPr>
          <w:rFonts w:ascii="Arial" w:hAnsi="Arial" w:cs="Arial"/>
          <w:sz w:val="24"/>
          <w:szCs w:val="24"/>
          <w:lang w:val="en-GB"/>
        </w:rPr>
      </w:pPr>
      <w:r w:rsidRPr="006525C1">
        <w:rPr>
          <w:rFonts w:ascii="Arial" w:hAnsi="Arial" w:cs="Arial"/>
          <w:sz w:val="24"/>
          <w:szCs w:val="24"/>
          <w:lang w:val="en-GB"/>
        </w:rPr>
        <w:t>Trowler</w:t>
      </w:r>
      <w:r w:rsidR="00A71E57">
        <w:rPr>
          <w:rFonts w:ascii="Arial" w:hAnsi="Arial" w:cs="Arial"/>
          <w:sz w:val="24"/>
          <w:szCs w:val="24"/>
          <w:lang w:val="en-GB"/>
        </w:rPr>
        <w:t>, P.</w:t>
      </w:r>
      <w:r w:rsidRPr="006525C1">
        <w:rPr>
          <w:rFonts w:ascii="Arial" w:hAnsi="Arial" w:cs="Arial"/>
          <w:sz w:val="24"/>
          <w:szCs w:val="24"/>
          <w:lang w:val="en-GB"/>
        </w:rPr>
        <w:t xml:space="preserve"> (2003)</w:t>
      </w:r>
      <w:r w:rsidR="00A71E57">
        <w:rPr>
          <w:rFonts w:ascii="Arial" w:hAnsi="Arial" w:cs="Arial"/>
          <w:sz w:val="24"/>
          <w:szCs w:val="24"/>
          <w:lang w:val="en-GB"/>
        </w:rPr>
        <w:t>,</w:t>
      </w:r>
      <w:r w:rsidRPr="006525C1">
        <w:rPr>
          <w:rFonts w:ascii="Arial" w:hAnsi="Arial" w:cs="Arial"/>
          <w:sz w:val="24"/>
          <w:szCs w:val="24"/>
          <w:lang w:val="en-GB"/>
        </w:rPr>
        <w:t xml:space="preserve"> </w:t>
      </w:r>
      <w:r w:rsidRPr="006525C1">
        <w:rPr>
          <w:rFonts w:ascii="Arial" w:hAnsi="Arial" w:cs="Arial"/>
          <w:i/>
          <w:iCs/>
          <w:sz w:val="24"/>
          <w:szCs w:val="24"/>
          <w:lang w:val="en-GB"/>
        </w:rPr>
        <w:t>Education Policy</w:t>
      </w:r>
      <w:r w:rsidRPr="006525C1">
        <w:rPr>
          <w:rFonts w:ascii="Arial" w:hAnsi="Arial" w:cs="Arial"/>
          <w:sz w:val="24"/>
          <w:szCs w:val="24"/>
          <w:lang w:val="en-GB"/>
        </w:rPr>
        <w:t xml:space="preserve">, Second Edition, Published by Routledge. Available at: </w:t>
      </w:r>
      <w:hyperlink r:id="rId7" w:anchor="v=onepage&amp;q=educational%20system%20in%20social%20policy&amp;f=false" w:history="1">
        <w:r w:rsidRPr="006525C1">
          <w:rPr>
            <w:rStyle w:val="Hyperlink0"/>
            <w:rFonts w:ascii="Arial" w:hAnsi="Arial" w:cs="Arial"/>
            <w:sz w:val="24"/>
            <w:szCs w:val="24"/>
            <w:lang w:val="en-GB"/>
          </w:rPr>
          <w:t>https://books.google.co.uk/books?hl=en&amp;lr=&amp;id=fDYkHMIl5AgC&amp;oi=fnd&amp;pg=PP1&amp;dq=educational+system+in+social+policy&amp;ots=6rSPV0vn4i&amp;sig=smRq-9MiSDSJwYZFifnJGUDfU5Y#v=onepage&amp;q=educational%20system%20in%20social%20policy&amp;f=false</w:t>
        </w:r>
      </w:hyperlink>
      <w:r w:rsidRPr="006525C1">
        <w:rPr>
          <w:rFonts w:ascii="Arial" w:hAnsi="Arial" w:cs="Arial"/>
          <w:sz w:val="24"/>
          <w:szCs w:val="24"/>
          <w:lang w:val="en-GB"/>
        </w:rPr>
        <w:t>, accessed on May 2020.</w:t>
      </w:r>
    </w:p>
    <w:sectPr w:rsidR="008E4A15" w:rsidRPr="006525C1">
      <w:headerReference w:type="default" r:id="rId8"/>
      <w:footerReference w:type="default" r:id="rId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DAEE3" w14:textId="77777777" w:rsidR="005A2638" w:rsidRDefault="005A2638">
      <w:r>
        <w:separator/>
      </w:r>
    </w:p>
  </w:endnote>
  <w:endnote w:type="continuationSeparator" w:id="0">
    <w:p w14:paraId="4C63EC4A" w14:textId="77777777" w:rsidR="005A2638" w:rsidRDefault="005A2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D092A" w14:textId="77777777" w:rsidR="008E4A15" w:rsidRDefault="008E4A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B26115" w14:textId="77777777" w:rsidR="005A2638" w:rsidRDefault="005A2638">
      <w:r>
        <w:separator/>
      </w:r>
    </w:p>
  </w:footnote>
  <w:footnote w:type="continuationSeparator" w:id="0">
    <w:p w14:paraId="1944ED4C" w14:textId="77777777" w:rsidR="005A2638" w:rsidRDefault="005A26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F9481" w14:textId="77777777" w:rsidR="008E4A15" w:rsidRDefault="008E4A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C7505"/>
    <w:multiLevelType w:val="hybridMultilevel"/>
    <w:tmpl w:val="3B5244F6"/>
    <w:styleLink w:val="Bullet"/>
    <w:lvl w:ilvl="0" w:tplc="1340D08E">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69A6978A">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09FC666C">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D4C069AA">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F5382206">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BA62F15A">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A948D006">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24ECDD4C">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5322C9AC">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 w15:restartNumberingAfterBreak="0">
    <w:nsid w:val="5A9E1827"/>
    <w:multiLevelType w:val="hybridMultilevel"/>
    <w:tmpl w:val="3B5244F6"/>
    <w:numStyleLink w:val="Bullet"/>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A15"/>
    <w:rsid w:val="00262127"/>
    <w:rsid w:val="005A2638"/>
    <w:rsid w:val="006242B4"/>
    <w:rsid w:val="006525C1"/>
    <w:rsid w:val="008E4A15"/>
    <w:rsid w:val="00981E11"/>
    <w:rsid w:val="00A506F2"/>
    <w:rsid w:val="00A71E57"/>
    <w:rsid w:val="00CB5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F5CFC"/>
  <w15:docId w15:val="{CC44BE36-4AA4-44CC-81FA-D1562DFE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numbering" w:customStyle="1" w:styleId="Bullet">
    <w:name w:val="Bullet"/>
    <w:pPr>
      <w:numPr>
        <w:numId w:val="1"/>
      </w:numPr>
    </w:pPr>
  </w:style>
  <w:style w:type="character" w:customStyle="1" w:styleId="Hyperlink0">
    <w:name w:val="Hyperlink.0"/>
    <w:basedOn w:val="Hyperlink"/>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ooks.google.co.uk/books?hl=en&amp;lr=&amp;id=fDYkHMIl5AgC&amp;oi=fnd&amp;pg=PP1&amp;dq=educational+system+in+social+policy&amp;ots=6rSPV0vn4i&amp;sig=smRq-9MiSDSJwYZFifnJGUDfU5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3</Pages>
  <Words>584</Words>
  <Characters>3335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Chirila</cp:lastModifiedBy>
  <cp:revision>6</cp:revision>
  <dcterms:created xsi:type="dcterms:W3CDTF">2020-05-06T15:22:00Z</dcterms:created>
  <dcterms:modified xsi:type="dcterms:W3CDTF">2020-05-07T14:28:00Z</dcterms:modified>
</cp:coreProperties>
</file>