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AACC0" w14:textId="60DD3962" w:rsidR="00BD50EF" w:rsidRPr="007251A3" w:rsidRDefault="00BD50EF" w:rsidP="007251A3">
      <w:pPr>
        <w:pStyle w:val="Heading1"/>
        <w:spacing w:line="480" w:lineRule="auto"/>
        <w:jc w:val="both"/>
        <w:rPr>
          <w:u w:val="single"/>
        </w:rPr>
      </w:pPr>
      <w:r w:rsidRPr="00BD50EF">
        <w:rPr>
          <w:u w:val="single"/>
        </w:rPr>
        <w:t>Berenice II character dossier</w:t>
      </w:r>
    </w:p>
    <w:p w14:paraId="121B37D8" w14:textId="079BDDEC" w:rsidR="00CD7904" w:rsidRDefault="00CD7904" w:rsidP="007251A3">
      <w:pPr>
        <w:spacing w:line="480" w:lineRule="auto"/>
        <w:jc w:val="both"/>
      </w:pPr>
      <w:r>
        <w:t>Berenice II was the daughter of King Magas of Cyrene and Queen Apama II, and the wife of Ptolemy III Eurgetes.</w:t>
      </w:r>
      <w:r w:rsidR="00127388">
        <w:rPr>
          <w:rStyle w:val="FootnoteReference"/>
        </w:rPr>
        <w:footnoteReference w:id="1"/>
      </w:r>
      <w:r>
        <w:t xml:space="preserve"> She was the mother of six children: Arsinoe III, Ptolemy IV Philopator, Lysimachus, Alexander, Magas, and Berenice, and only three of whom (for the purposes of this module) survived to adulthood.</w:t>
      </w:r>
    </w:p>
    <w:p w14:paraId="5DA5D9CE" w14:textId="339B5324" w:rsidR="00CD7904" w:rsidRDefault="00CD7904" w:rsidP="007251A3">
      <w:pPr>
        <w:spacing w:line="480" w:lineRule="auto"/>
        <w:jc w:val="both"/>
      </w:pPr>
      <w:r>
        <w:t>It has been noted by scholars that the range of Berenice’s interests was impressive,</w:t>
      </w:r>
      <w:r>
        <w:rPr>
          <w:rStyle w:val="FootnoteReference"/>
        </w:rPr>
        <w:footnoteReference w:id="2"/>
      </w:r>
      <w:r>
        <w:t xml:space="preserve"> and the way she has been presented as a ‘virtuous and loving bride, fertile wife and exemplary mother’ makes her seem like the archetype for the ideal Greek woman.</w:t>
      </w:r>
      <w:r>
        <w:rPr>
          <w:rStyle w:val="FootnoteReference"/>
        </w:rPr>
        <w:footnoteReference w:id="3"/>
      </w:r>
      <w:r>
        <w:t xml:space="preserve"> It has also been noted that she ‘had access to great wealth, the cultural riches of both Greece and Egypt, and every kind of human resource’, and that she ‘</w:t>
      </w:r>
      <w:r w:rsidR="008B5AA2">
        <w:t>navigated her way carefully through the challenges and possibilities that these assets presented’ and used them to cultivate honours and power that were equal to those of the king’.</w:t>
      </w:r>
      <w:r w:rsidR="008B5AA2">
        <w:rPr>
          <w:rStyle w:val="FootnoteReference"/>
        </w:rPr>
        <w:footnoteReference w:id="4"/>
      </w:r>
      <w:r w:rsidR="008B5AA2">
        <w:t xml:space="preserve"> It is thus no wonder to us today that in Demotic papyri she is titled ‘the female Pharaoh’, and no wonder why she was assassinated by her son.</w:t>
      </w:r>
      <w:r w:rsidR="008B5AA2">
        <w:rPr>
          <w:rStyle w:val="FootnoteReference"/>
        </w:rPr>
        <w:footnoteReference w:id="5"/>
      </w:r>
    </w:p>
    <w:p w14:paraId="54D98B16" w14:textId="21CE07B4" w:rsidR="00BC085C" w:rsidRDefault="00CD7904" w:rsidP="007251A3">
      <w:pPr>
        <w:spacing w:line="480" w:lineRule="auto"/>
        <w:jc w:val="both"/>
      </w:pPr>
      <w:r>
        <w:t xml:space="preserve">My character is based upon Berenice II, and the focus will be specifically on her love for </w:t>
      </w:r>
      <w:r>
        <w:t>poetry, religion, and culture.</w:t>
      </w:r>
      <w:r>
        <w:rPr>
          <w:rStyle w:val="FootnoteReference"/>
        </w:rPr>
        <w:footnoteReference w:id="6"/>
      </w:r>
      <w:r>
        <w:t xml:space="preserve"> She is wealthy and ambitious, and represents all of the main religious, political, and artistic ideals of Ptolemaic Alexandria.</w:t>
      </w:r>
      <w:r>
        <w:rPr>
          <w:rStyle w:val="FootnoteReference"/>
        </w:rPr>
        <w:footnoteReference w:id="7"/>
      </w:r>
      <w:r>
        <w:t xml:space="preserve"> Religion is important to her, as are the arts, and this is evident through the way she was ‘at the centre of a group of important poets and intellectuals associated with the Museum and Library’, and how the aforementioned poets and intellectuals ‘wrote </w:t>
      </w:r>
      <w:r>
        <w:lastRenderedPageBreak/>
        <w:t>poems not just for her but about her’.</w:t>
      </w:r>
      <w:r>
        <w:rPr>
          <w:rStyle w:val="FootnoteReference"/>
        </w:rPr>
        <w:footnoteReference w:id="8"/>
      </w:r>
      <w:r>
        <w:t xml:space="preserve"> She and Ptolemy III also are </w:t>
      </w:r>
      <w:r w:rsidR="008B5AA2">
        <w:t>known for having</w:t>
      </w:r>
      <w:r>
        <w:t xml:space="preserve"> built and renovated temples; notably the temple of Serapis in Alexandria and the </w:t>
      </w:r>
      <w:proofErr w:type="spellStart"/>
      <w:r>
        <w:t>Euergetes</w:t>
      </w:r>
      <w:proofErr w:type="spellEnd"/>
      <w:r>
        <w:t>’ gate at Karnak.</w:t>
      </w:r>
      <w:r>
        <w:rPr>
          <w:rStyle w:val="FootnoteReference"/>
        </w:rPr>
        <w:footnoteReference w:id="9"/>
      </w:r>
    </w:p>
    <w:p w14:paraId="780A3F5B" w14:textId="58ABA4BA" w:rsidR="002F6FE6" w:rsidRDefault="002F6FE6" w:rsidP="007251A3">
      <w:pPr>
        <w:spacing w:line="480" w:lineRule="auto"/>
        <w:jc w:val="both"/>
      </w:pPr>
      <w:r>
        <w:t xml:space="preserve">Although we do not know what Berenice II </w:t>
      </w:r>
      <w:proofErr w:type="gramStart"/>
      <w:r>
        <w:t>actually looked</w:t>
      </w:r>
      <w:proofErr w:type="gramEnd"/>
      <w:r>
        <w:t xml:space="preserve"> like, my version of her has long dark hair (which she frequently cuts locks from to offer to deities in return for favours),</w:t>
      </w:r>
      <w:r>
        <w:rPr>
          <w:rStyle w:val="FootnoteReference"/>
        </w:rPr>
        <w:footnoteReference w:id="10"/>
      </w:r>
      <w:r>
        <w:t xml:space="preserve"> and brown eyes. She has a trustworthy smile, and her hands are often stained with </w:t>
      </w:r>
      <w:r w:rsidR="00991ADF">
        <w:t xml:space="preserve">charcoal and soot from the ink that she uses to pen letters and poetry. She can have a sharp tongue with her children and anybody who advocates for pointless </w:t>
      </w:r>
      <w:proofErr w:type="gramStart"/>
      <w:r w:rsidR="00991ADF">
        <w:t>war, and</w:t>
      </w:r>
      <w:proofErr w:type="gramEnd"/>
      <w:r w:rsidR="00991ADF">
        <w:t xml:space="preserve"> can often be found reading to her children and conferring with poets and intellectuals.</w:t>
      </w:r>
    </w:p>
    <w:p w14:paraId="73F146E7" w14:textId="3F2BD99E" w:rsidR="004E5FD4" w:rsidRDefault="008B5AA2" w:rsidP="007251A3">
      <w:pPr>
        <w:spacing w:line="480" w:lineRule="auto"/>
        <w:jc w:val="both"/>
      </w:pPr>
      <w:r>
        <w:t>She is a great wife, a caring mother, and would rather spend her days in temples praying to Serapis and Aphrodite for the safety and wellbeing of her family,</w:t>
      </w:r>
      <w:r w:rsidR="00BE5FAC">
        <w:rPr>
          <w:rStyle w:val="FootnoteReference"/>
        </w:rPr>
        <w:footnoteReference w:id="11"/>
      </w:r>
      <w:r>
        <w:t xml:space="preserve"> than riding into battle. However, much like the real Berenice II, she is a skilled warrior and has </w:t>
      </w:r>
      <w:proofErr w:type="gramStart"/>
      <w:r>
        <w:t>great talent</w:t>
      </w:r>
      <w:proofErr w:type="gramEnd"/>
      <w:r>
        <w:t xml:space="preserve"> wherever horses are involved – she just prefers to not contribute in warfare.</w:t>
      </w:r>
      <w:r w:rsidR="00E71311">
        <w:t xml:space="preserve"> She does not involve herself in the day to day ruling of the state, but has taken her place in the Ptolemaic pantheon as a symbol of its cultural aspirations and religious ideals.</w:t>
      </w:r>
      <w:r w:rsidR="00E71311">
        <w:rPr>
          <w:rStyle w:val="FootnoteReference"/>
        </w:rPr>
        <w:footnoteReference w:id="12"/>
      </w:r>
      <w:r w:rsidR="00BD50EF">
        <w:t xml:space="preserve"> She places great value on poetry, and the sharing and cultivation of research and information, and one of her worst fears is that something might eventually happen to the Library of Alexandria and the wealth of information stored there will be lost forever.</w:t>
      </w:r>
    </w:p>
    <w:p w14:paraId="62289816" w14:textId="43A70361" w:rsidR="008B5AA2" w:rsidRDefault="008B5AA2" w:rsidP="007251A3">
      <w:pPr>
        <w:spacing w:line="480" w:lineRule="auto"/>
        <w:jc w:val="both"/>
      </w:pPr>
      <w:r>
        <w:t xml:space="preserve">She realises that she is of great influence </w:t>
      </w:r>
      <w:r w:rsidR="00BD50EF">
        <w:t xml:space="preserve">and inspiration </w:t>
      </w:r>
      <w:r>
        <w:t xml:space="preserve">amongst scholars and </w:t>
      </w:r>
      <w:proofErr w:type="gramStart"/>
      <w:r>
        <w:t>poets, and</w:t>
      </w:r>
      <w:proofErr w:type="gramEnd"/>
      <w:r>
        <w:t xml:space="preserve"> is saddened whenever it is suggested to her that history may not remember her as well as it </w:t>
      </w:r>
      <w:r w:rsidR="00EF0854">
        <w:t xml:space="preserve">inevitably </w:t>
      </w:r>
      <w:r>
        <w:t>will remember her father, husband, and sons.</w:t>
      </w:r>
    </w:p>
    <w:p w14:paraId="2AE3DA43" w14:textId="2291111C" w:rsidR="00CD7904" w:rsidRDefault="00E31EBA" w:rsidP="007251A3">
      <w:pPr>
        <w:spacing w:line="480" w:lineRule="auto"/>
        <w:jc w:val="both"/>
      </w:pPr>
      <w:r>
        <w:t>Her aims are primarily to enrich the culture in which she is so deeply involved,</w:t>
      </w:r>
      <w:r>
        <w:rPr>
          <w:rStyle w:val="FootnoteReference"/>
        </w:rPr>
        <w:footnoteReference w:id="13"/>
      </w:r>
      <w:r>
        <w:t xml:space="preserve"> and honouring local </w:t>
      </w:r>
      <w:r w:rsidR="004C3CAC">
        <w:t xml:space="preserve">religious </w:t>
      </w:r>
      <w:r>
        <w:t>cults and deities, rather than forcing a uniform Greek religion in Egypt.</w:t>
      </w:r>
      <w:r>
        <w:rPr>
          <w:rStyle w:val="FootnoteReference"/>
        </w:rPr>
        <w:footnoteReference w:id="14"/>
      </w:r>
      <w:r w:rsidR="00FF30B8">
        <w:t xml:space="preserve"> She works on </w:t>
      </w:r>
      <w:r w:rsidR="00FF30B8">
        <w:lastRenderedPageBreak/>
        <w:t>renovating existing temples,</w:t>
      </w:r>
      <w:r w:rsidR="004E5FD4">
        <w:rPr>
          <w:rStyle w:val="FootnoteReference"/>
        </w:rPr>
        <w:footnoteReference w:id="15"/>
      </w:r>
      <w:r w:rsidR="00FF30B8">
        <w:t xml:space="preserve"> and </w:t>
      </w:r>
      <w:r w:rsidR="00275CB4">
        <w:t xml:space="preserve">on integrating some Greek deities into these temples </w:t>
      </w:r>
      <w:proofErr w:type="gramStart"/>
      <w:r w:rsidR="00275CB4">
        <w:t>in an attempt to</w:t>
      </w:r>
      <w:proofErr w:type="gramEnd"/>
      <w:r w:rsidR="00275CB4">
        <w:t xml:space="preserve"> keep the natives and the settlers happy</w:t>
      </w:r>
      <w:r w:rsidR="00BE5FAC">
        <w:t xml:space="preserve"> and to provide some kind of unity.</w:t>
      </w:r>
      <w:r w:rsidR="004C3CAC">
        <w:t xml:space="preserve"> </w:t>
      </w:r>
      <w:r w:rsidR="004E5FD4">
        <w:t>She and her family even travel to visit construction sites of temples or newly finished ones;</w:t>
      </w:r>
      <w:r w:rsidR="004E5FD4">
        <w:rPr>
          <w:rStyle w:val="FootnoteReference"/>
        </w:rPr>
        <w:footnoteReference w:id="16"/>
      </w:r>
      <w:r w:rsidR="004E5FD4">
        <w:t xml:space="preserve"> something that she is always more than happy to do. She enjoys taking her young children with her on these excursions,</w:t>
      </w:r>
      <w:r w:rsidR="004E5FD4">
        <w:rPr>
          <w:rStyle w:val="FootnoteReference"/>
        </w:rPr>
        <w:footnoteReference w:id="17"/>
      </w:r>
      <w:r w:rsidR="004E5FD4">
        <w:t xml:space="preserve"> in the hopes that it may teach them to value the sharing of religious ideas and cultural differences. </w:t>
      </w:r>
      <w:r w:rsidR="004C3CAC">
        <w:t xml:space="preserve">She </w:t>
      </w:r>
      <w:r w:rsidR="004E5FD4">
        <w:t xml:space="preserve">also </w:t>
      </w:r>
      <w:r w:rsidR="004C3CAC">
        <w:t xml:space="preserve">hopes that this kind of action will encourage peace and prosperity within </w:t>
      </w:r>
      <w:proofErr w:type="gramStart"/>
      <w:r w:rsidR="004C3CAC">
        <w:t>Egypt, and</w:t>
      </w:r>
      <w:proofErr w:type="gramEnd"/>
      <w:r w:rsidR="004C3CAC">
        <w:t xml:space="preserve"> believes that the sharing of cultural values is important for a variety of reasons.</w:t>
      </w:r>
    </w:p>
    <w:p w14:paraId="324A2ADA" w14:textId="3D54C655" w:rsidR="004E5FD4" w:rsidRDefault="004E5FD4" w:rsidP="007251A3">
      <w:pPr>
        <w:spacing w:line="480" w:lineRule="auto"/>
        <w:jc w:val="both"/>
      </w:pPr>
      <w:r>
        <w:t>Berenice also believes that ruling with kindness and thought will also result in more loyalty, and thus stronger and more reliable armies, should the need for them arise. But she never stops hoping that there will one day be no need for them at all.</w:t>
      </w:r>
    </w:p>
    <w:p w14:paraId="701D7B93" w14:textId="6FAB0165" w:rsidR="00525CAA" w:rsidRDefault="00EF7A9F" w:rsidP="007251A3">
      <w:pPr>
        <w:spacing w:line="480" w:lineRule="auto"/>
        <w:jc w:val="both"/>
      </w:pPr>
      <w:r>
        <w:t xml:space="preserve">She supports her daughter, Arsinoe III, and her </w:t>
      </w:r>
      <w:proofErr w:type="spellStart"/>
      <w:r>
        <w:rPr>
          <w:i/>
        </w:rPr>
        <w:t>suntrophoi</w:t>
      </w:r>
      <w:proofErr w:type="spellEnd"/>
      <w:r>
        <w:rPr>
          <w:i/>
        </w:rPr>
        <w:t xml:space="preserve">, </w:t>
      </w:r>
      <w:r>
        <w:t>and encourages their close relationship and loyalty</w:t>
      </w:r>
      <w:r>
        <w:rPr>
          <w:rStyle w:val="FootnoteReference"/>
        </w:rPr>
        <w:footnoteReference w:id="18"/>
      </w:r>
      <w:r>
        <w:t xml:space="preserve"> in the hopes that Arsinoe may become powerful enough to usurp her brother. Berenice does not trust her son, Ptolemy, as she believes that he has risen to power too quickly, and that he is threatened by the power that she has as his mother and as queen. She suspects that he will eventually </w:t>
      </w:r>
      <w:proofErr w:type="gramStart"/>
      <w:r>
        <w:t>take action</w:t>
      </w:r>
      <w:proofErr w:type="gramEnd"/>
      <w:r>
        <w:t xml:space="preserve"> and attempt to assassinate her,</w:t>
      </w:r>
      <w:r>
        <w:rPr>
          <w:rStyle w:val="FootnoteReference"/>
        </w:rPr>
        <w:footnoteReference w:id="19"/>
      </w:r>
      <w:r>
        <w:t xml:space="preserve"> so she turns to her daughter and encourages her to value the arts, literature, and a more peaceful approach to co-existing with the Egyptians alongside her ambition and her abilities in battle.</w:t>
      </w:r>
    </w:p>
    <w:p w14:paraId="0E617555" w14:textId="77777777" w:rsidR="00525CAA" w:rsidRDefault="00525CAA" w:rsidP="007251A3">
      <w:pPr>
        <w:spacing w:line="480" w:lineRule="auto"/>
        <w:jc w:val="both"/>
      </w:pPr>
      <w:r>
        <w:br w:type="page"/>
      </w:r>
    </w:p>
    <w:p w14:paraId="3FF330FC" w14:textId="25138743" w:rsidR="00BD50EF" w:rsidRPr="007251A3" w:rsidRDefault="00525CAA" w:rsidP="007251A3">
      <w:pPr>
        <w:pStyle w:val="Heading1"/>
        <w:spacing w:line="480" w:lineRule="auto"/>
        <w:jc w:val="both"/>
        <w:rPr>
          <w:u w:val="single"/>
        </w:rPr>
      </w:pPr>
      <w:r w:rsidRPr="007251A3">
        <w:rPr>
          <w:u w:val="single"/>
        </w:rPr>
        <w:lastRenderedPageBreak/>
        <w:t>Bibliography:</w:t>
      </w:r>
    </w:p>
    <w:p w14:paraId="7938E7D5" w14:textId="75DCC868" w:rsidR="00525CAA" w:rsidRDefault="00127388" w:rsidP="007251A3">
      <w:pPr>
        <w:spacing w:line="240" w:lineRule="auto"/>
        <w:jc w:val="both"/>
      </w:pPr>
      <w:r>
        <w:t xml:space="preserve">Clayman, Dee. L. 2014. </w:t>
      </w:r>
      <w:r>
        <w:rPr>
          <w:i/>
        </w:rPr>
        <w:t xml:space="preserve">Berenice II and the Golden Age of Ptolemaic Egypt. </w:t>
      </w:r>
      <w:r>
        <w:t>Oxford University Press: Oxford.</w:t>
      </w:r>
    </w:p>
    <w:p w14:paraId="320134FE" w14:textId="36955713" w:rsidR="00127388" w:rsidRDefault="00127388" w:rsidP="007251A3">
      <w:pPr>
        <w:spacing w:line="240" w:lineRule="auto"/>
        <w:jc w:val="both"/>
      </w:pPr>
      <w:r>
        <w:t xml:space="preserve">Pomeroy, S. B. 1990. </w:t>
      </w:r>
      <w:r>
        <w:rPr>
          <w:i/>
        </w:rPr>
        <w:t xml:space="preserve">Women in Hellenistic Egypt From Alexander to Cleopatra. </w:t>
      </w:r>
      <w:r>
        <w:t>Wayne State University Press: Detroit, Michigan.</w:t>
      </w:r>
    </w:p>
    <w:p w14:paraId="1A3A3325" w14:textId="5E894EB0" w:rsidR="00127388" w:rsidRDefault="00127388" w:rsidP="007251A3">
      <w:pPr>
        <w:spacing w:line="240" w:lineRule="auto"/>
        <w:jc w:val="both"/>
      </w:pPr>
      <w:r w:rsidRPr="00127388">
        <w:t xml:space="preserve">Polybius, </w:t>
      </w:r>
      <w:r w:rsidRPr="00127388">
        <w:rPr>
          <w:i/>
        </w:rPr>
        <w:t>Histories.</w:t>
      </w:r>
      <w:r w:rsidRPr="00127388">
        <w:t xml:space="preserve"> E. S. </w:t>
      </w:r>
      <w:proofErr w:type="spellStart"/>
      <w:r w:rsidRPr="00127388">
        <w:t>Shuckburgh</w:t>
      </w:r>
      <w:proofErr w:type="spellEnd"/>
      <w:r w:rsidRPr="00127388">
        <w:t xml:space="preserve"> (trans.). 1889. London: Macmilla</w:t>
      </w:r>
      <w:bookmarkStart w:id="0" w:name="_GoBack"/>
      <w:bookmarkEnd w:id="0"/>
      <w:r w:rsidRPr="00127388">
        <w:t>n.</w:t>
      </w:r>
    </w:p>
    <w:p w14:paraId="782D9436" w14:textId="77777777" w:rsidR="00127388" w:rsidRPr="00127388" w:rsidRDefault="00127388" w:rsidP="007251A3">
      <w:pPr>
        <w:spacing w:line="480" w:lineRule="auto"/>
        <w:jc w:val="both"/>
      </w:pPr>
    </w:p>
    <w:sectPr w:rsidR="00127388" w:rsidRPr="001273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47CCA" w14:textId="77777777" w:rsidR="00F845C3" w:rsidRDefault="00F845C3" w:rsidP="00CD7904">
      <w:pPr>
        <w:spacing w:after="0" w:line="240" w:lineRule="auto"/>
      </w:pPr>
      <w:r>
        <w:separator/>
      </w:r>
    </w:p>
  </w:endnote>
  <w:endnote w:type="continuationSeparator" w:id="0">
    <w:p w14:paraId="0D9903B7" w14:textId="77777777" w:rsidR="00F845C3" w:rsidRDefault="00F845C3" w:rsidP="00CD7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38AD2" w14:textId="77777777" w:rsidR="00F845C3" w:rsidRDefault="00F845C3" w:rsidP="00CD7904">
      <w:pPr>
        <w:spacing w:after="0" w:line="240" w:lineRule="auto"/>
      </w:pPr>
      <w:r>
        <w:separator/>
      </w:r>
    </w:p>
  </w:footnote>
  <w:footnote w:type="continuationSeparator" w:id="0">
    <w:p w14:paraId="5328E3B5" w14:textId="77777777" w:rsidR="00F845C3" w:rsidRDefault="00F845C3" w:rsidP="00CD7904">
      <w:pPr>
        <w:spacing w:after="0" w:line="240" w:lineRule="auto"/>
      </w:pPr>
      <w:r>
        <w:continuationSeparator/>
      </w:r>
    </w:p>
  </w:footnote>
  <w:footnote w:id="1">
    <w:p w14:paraId="019D556B" w14:textId="3DFA2ED1" w:rsidR="00127388" w:rsidRDefault="00127388">
      <w:pPr>
        <w:pStyle w:val="FootnoteText"/>
      </w:pPr>
      <w:r>
        <w:rPr>
          <w:rStyle w:val="FootnoteReference"/>
        </w:rPr>
        <w:footnoteRef/>
      </w:r>
      <w:r>
        <w:t xml:space="preserve"> Clayman, 2014: 1</w:t>
      </w:r>
    </w:p>
  </w:footnote>
  <w:footnote w:id="2">
    <w:p w14:paraId="36668A49" w14:textId="76D82CB9" w:rsidR="00CD7904" w:rsidRDefault="00CD7904">
      <w:pPr>
        <w:pStyle w:val="FootnoteText"/>
      </w:pPr>
      <w:r>
        <w:rPr>
          <w:rStyle w:val="FootnoteReference"/>
        </w:rPr>
        <w:footnoteRef/>
      </w:r>
      <w:r>
        <w:t xml:space="preserve"> Clayman</w:t>
      </w:r>
      <w:r w:rsidR="00B079DD">
        <w:t>, 2014</w:t>
      </w:r>
      <w:r>
        <w:t>: 1</w:t>
      </w:r>
    </w:p>
  </w:footnote>
  <w:footnote w:id="3">
    <w:p w14:paraId="5DFD9805" w14:textId="294754C5" w:rsidR="00CD7904" w:rsidRDefault="00CD7904">
      <w:pPr>
        <w:pStyle w:val="FootnoteText"/>
      </w:pPr>
      <w:r>
        <w:rPr>
          <w:rStyle w:val="FootnoteReference"/>
        </w:rPr>
        <w:footnoteRef/>
      </w:r>
      <w:r>
        <w:t xml:space="preserve"> Clayman</w:t>
      </w:r>
      <w:r w:rsidR="00B079DD">
        <w:t>, 2014</w:t>
      </w:r>
      <w:r>
        <w:t>: 14</w:t>
      </w:r>
    </w:p>
  </w:footnote>
  <w:footnote w:id="4">
    <w:p w14:paraId="10B6CFAB" w14:textId="0AD7308E" w:rsidR="008B5AA2" w:rsidRDefault="008B5AA2">
      <w:pPr>
        <w:pStyle w:val="FootnoteText"/>
      </w:pPr>
      <w:r>
        <w:rPr>
          <w:rStyle w:val="FootnoteReference"/>
        </w:rPr>
        <w:footnoteRef/>
      </w:r>
      <w:r>
        <w:t xml:space="preserve"> Clayman</w:t>
      </w:r>
      <w:r w:rsidR="00B079DD">
        <w:t>, 2014</w:t>
      </w:r>
      <w:r>
        <w:t>: 14</w:t>
      </w:r>
    </w:p>
  </w:footnote>
  <w:footnote w:id="5">
    <w:p w14:paraId="68D15CEC" w14:textId="7CED67D4" w:rsidR="008B5AA2" w:rsidRDefault="008B5AA2">
      <w:pPr>
        <w:pStyle w:val="FootnoteText"/>
      </w:pPr>
      <w:r>
        <w:rPr>
          <w:rStyle w:val="FootnoteReference"/>
        </w:rPr>
        <w:footnoteRef/>
      </w:r>
      <w:r>
        <w:t xml:space="preserve"> Pomeroy</w:t>
      </w:r>
      <w:r w:rsidR="00B079DD">
        <w:t>, 1990</w:t>
      </w:r>
      <w:r>
        <w:t>: 23</w:t>
      </w:r>
    </w:p>
  </w:footnote>
  <w:footnote w:id="6">
    <w:p w14:paraId="63457317" w14:textId="0689B3CC" w:rsidR="00CD7904" w:rsidRDefault="00CD7904">
      <w:pPr>
        <w:pStyle w:val="FootnoteText"/>
      </w:pPr>
      <w:r>
        <w:rPr>
          <w:rStyle w:val="FootnoteReference"/>
        </w:rPr>
        <w:footnoteRef/>
      </w:r>
      <w:r>
        <w:t xml:space="preserve"> Clayman</w:t>
      </w:r>
      <w:r w:rsidR="00B079DD">
        <w:t>, 2014</w:t>
      </w:r>
      <w:r w:rsidR="0090085B">
        <w:t>: 3</w:t>
      </w:r>
    </w:p>
  </w:footnote>
  <w:footnote w:id="7">
    <w:p w14:paraId="60C15885" w14:textId="329010C7" w:rsidR="00CD7904" w:rsidRDefault="00CD7904">
      <w:pPr>
        <w:pStyle w:val="FootnoteText"/>
      </w:pPr>
      <w:r>
        <w:rPr>
          <w:rStyle w:val="FootnoteReference"/>
        </w:rPr>
        <w:footnoteRef/>
      </w:r>
      <w:r>
        <w:t xml:space="preserve"> Clayman</w:t>
      </w:r>
      <w:r w:rsidR="00B079DD">
        <w:t>, 2014</w:t>
      </w:r>
      <w:r w:rsidR="0090085B">
        <w:t>: 3</w:t>
      </w:r>
    </w:p>
  </w:footnote>
  <w:footnote w:id="8">
    <w:p w14:paraId="2F34019E" w14:textId="7B506A0D" w:rsidR="00CD7904" w:rsidRDefault="00CD7904">
      <w:pPr>
        <w:pStyle w:val="FootnoteText"/>
      </w:pPr>
      <w:r>
        <w:rPr>
          <w:rStyle w:val="FootnoteReference"/>
        </w:rPr>
        <w:footnoteRef/>
      </w:r>
      <w:r>
        <w:t xml:space="preserve"> Clayman</w:t>
      </w:r>
      <w:r w:rsidR="00B079DD">
        <w:t>, 2014</w:t>
      </w:r>
      <w:r w:rsidR="0090085B">
        <w:t>: 3</w:t>
      </w:r>
    </w:p>
  </w:footnote>
  <w:footnote w:id="9">
    <w:p w14:paraId="397870C1" w14:textId="5937E40D" w:rsidR="00CD7904" w:rsidRDefault="00CD7904">
      <w:pPr>
        <w:pStyle w:val="FootnoteText"/>
      </w:pPr>
      <w:r>
        <w:rPr>
          <w:rStyle w:val="FootnoteReference"/>
        </w:rPr>
        <w:footnoteRef/>
      </w:r>
      <w:r>
        <w:t xml:space="preserve"> Clayman</w:t>
      </w:r>
      <w:r w:rsidR="00B079DD">
        <w:t>, 2014</w:t>
      </w:r>
      <w:r>
        <w:t>: 6</w:t>
      </w:r>
    </w:p>
  </w:footnote>
  <w:footnote w:id="10">
    <w:p w14:paraId="01B14A2D" w14:textId="52750237" w:rsidR="002F6FE6" w:rsidRDefault="002F6FE6">
      <w:pPr>
        <w:pStyle w:val="FootnoteText"/>
      </w:pPr>
      <w:r>
        <w:rPr>
          <w:rStyle w:val="FootnoteReference"/>
        </w:rPr>
        <w:footnoteRef/>
      </w:r>
      <w:r>
        <w:t xml:space="preserve"> Pomeroy, 1990: 20</w:t>
      </w:r>
    </w:p>
  </w:footnote>
  <w:footnote w:id="11">
    <w:p w14:paraId="415524AF" w14:textId="230FC01A" w:rsidR="00BE5FAC" w:rsidRDefault="00BE5FAC">
      <w:pPr>
        <w:pStyle w:val="FootnoteText"/>
      </w:pPr>
      <w:r>
        <w:rPr>
          <w:rStyle w:val="FootnoteReference"/>
        </w:rPr>
        <w:footnoteRef/>
      </w:r>
      <w:r>
        <w:t xml:space="preserve"> Pomeroy</w:t>
      </w:r>
      <w:r w:rsidR="00B079DD">
        <w:t>, 1990</w:t>
      </w:r>
      <w:r>
        <w:t>: 20</w:t>
      </w:r>
    </w:p>
  </w:footnote>
  <w:footnote w:id="12">
    <w:p w14:paraId="578221AF" w14:textId="38BE5C32" w:rsidR="00E71311" w:rsidRDefault="00E71311">
      <w:pPr>
        <w:pStyle w:val="FootnoteText"/>
      </w:pPr>
      <w:r>
        <w:rPr>
          <w:rStyle w:val="FootnoteReference"/>
        </w:rPr>
        <w:footnoteRef/>
      </w:r>
      <w:r>
        <w:t xml:space="preserve"> Clayman</w:t>
      </w:r>
      <w:r w:rsidR="00B079DD">
        <w:t>, 2014</w:t>
      </w:r>
      <w:r>
        <w:t>: 159</w:t>
      </w:r>
    </w:p>
  </w:footnote>
  <w:footnote w:id="13">
    <w:p w14:paraId="22BDA84D" w14:textId="3C5B61A3" w:rsidR="00E31EBA" w:rsidRDefault="00E31EBA">
      <w:pPr>
        <w:pStyle w:val="FootnoteText"/>
      </w:pPr>
      <w:r>
        <w:rPr>
          <w:rStyle w:val="FootnoteReference"/>
        </w:rPr>
        <w:footnoteRef/>
      </w:r>
      <w:r>
        <w:t xml:space="preserve"> Clayman</w:t>
      </w:r>
      <w:r w:rsidR="00B079DD">
        <w:t>, 2014</w:t>
      </w:r>
      <w:r>
        <w:t>: 160</w:t>
      </w:r>
    </w:p>
  </w:footnote>
  <w:footnote w:id="14">
    <w:p w14:paraId="27F883E3" w14:textId="083BFBB4" w:rsidR="00E31EBA" w:rsidRDefault="00E31EBA">
      <w:pPr>
        <w:pStyle w:val="FootnoteText"/>
      </w:pPr>
      <w:r>
        <w:rPr>
          <w:rStyle w:val="FootnoteReference"/>
        </w:rPr>
        <w:footnoteRef/>
      </w:r>
      <w:r>
        <w:t xml:space="preserve"> </w:t>
      </w:r>
      <w:r>
        <w:t>Clayman</w:t>
      </w:r>
      <w:r w:rsidR="00B079DD">
        <w:t>, 2014</w:t>
      </w:r>
      <w:r>
        <w:t>: 160</w:t>
      </w:r>
    </w:p>
  </w:footnote>
  <w:footnote w:id="15">
    <w:p w14:paraId="64EF6E41" w14:textId="3FA58E49" w:rsidR="004E5FD4" w:rsidRDefault="004E5FD4">
      <w:pPr>
        <w:pStyle w:val="FootnoteText"/>
      </w:pPr>
      <w:r>
        <w:rPr>
          <w:rStyle w:val="FootnoteReference"/>
        </w:rPr>
        <w:footnoteRef/>
      </w:r>
      <w:r>
        <w:t xml:space="preserve"> Clayman</w:t>
      </w:r>
      <w:r w:rsidR="00B079DD">
        <w:t>, 2014</w:t>
      </w:r>
      <w:r>
        <w:t>: 163</w:t>
      </w:r>
    </w:p>
  </w:footnote>
  <w:footnote w:id="16">
    <w:p w14:paraId="7B9CF463" w14:textId="5DABF447" w:rsidR="004E5FD4" w:rsidRDefault="004E5FD4">
      <w:pPr>
        <w:pStyle w:val="FootnoteText"/>
      </w:pPr>
      <w:r>
        <w:rPr>
          <w:rStyle w:val="FootnoteReference"/>
        </w:rPr>
        <w:footnoteRef/>
      </w:r>
      <w:r>
        <w:t xml:space="preserve"> Clayman</w:t>
      </w:r>
      <w:r w:rsidR="00B079DD">
        <w:t>, 2014</w:t>
      </w:r>
      <w:r>
        <w:t>: 163</w:t>
      </w:r>
    </w:p>
  </w:footnote>
  <w:footnote w:id="17">
    <w:p w14:paraId="40350B0D" w14:textId="2BAD315D" w:rsidR="004E5FD4" w:rsidRDefault="004E5FD4">
      <w:pPr>
        <w:pStyle w:val="FootnoteText"/>
      </w:pPr>
      <w:r>
        <w:rPr>
          <w:rStyle w:val="FootnoteReference"/>
        </w:rPr>
        <w:footnoteRef/>
      </w:r>
      <w:r>
        <w:t xml:space="preserve"> Clayman</w:t>
      </w:r>
      <w:r w:rsidR="00B079DD">
        <w:t>, 2014</w:t>
      </w:r>
      <w:r>
        <w:t>: 163</w:t>
      </w:r>
    </w:p>
  </w:footnote>
  <w:footnote w:id="18">
    <w:p w14:paraId="685A39CB" w14:textId="77777777" w:rsidR="00EF7A9F" w:rsidRDefault="00EF7A9F" w:rsidP="00EF7A9F">
      <w:pPr>
        <w:pStyle w:val="FootnoteText"/>
      </w:pPr>
      <w:r>
        <w:rPr>
          <w:rStyle w:val="FootnoteReference"/>
        </w:rPr>
        <w:footnoteRef/>
      </w:r>
      <w:r>
        <w:t xml:space="preserve"> </w:t>
      </w:r>
      <w:proofErr w:type="spellStart"/>
      <w:r>
        <w:t>Plb</w:t>
      </w:r>
      <w:proofErr w:type="spellEnd"/>
      <w:r>
        <w:t>. 15.33</w:t>
      </w:r>
    </w:p>
  </w:footnote>
  <w:footnote w:id="19">
    <w:p w14:paraId="6867FFD4" w14:textId="22674A89" w:rsidR="00EF7A9F" w:rsidRDefault="00EF7A9F" w:rsidP="00EF7A9F">
      <w:pPr>
        <w:pStyle w:val="FootnoteText"/>
      </w:pPr>
      <w:r>
        <w:rPr>
          <w:rStyle w:val="FootnoteReference"/>
        </w:rPr>
        <w:footnoteRef/>
      </w:r>
      <w:r>
        <w:t xml:space="preserve"> Pomeroy</w:t>
      </w:r>
      <w:r w:rsidR="00B079DD">
        <w:t>, 1990</w:t>
      </w:r>
      <w:r>
        <w:t>: 23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04"/>
    <w:rsid w:val="000D4CF0"/>
    <w:rsid w:val="00127388"/>
    <w:rsid w:val="001D6309"/>
    <w:rsid w:val="00275CB4"/>
    <w:rsid w:val="002F6FE6"/>
    <w:rsid w:val="004C07D7"/>
    <w:rsid w:val="004C3CAC"/>
    <w:rsid w:val="004E5FD4"/>
    <w:rsid w:val="00525CAA"/>
    <w:rsid w:val="0053355B"/>
    <w:rsid w:val="006844FF"/>
    <w:rsid w:val="007251A3"/>
    <w:rsid w:val="008B5AA2"/>
    <w:rsid w:val="0090085B"/>
    <w:rsid w:val="00991ADF"/>
    <w:rsid w:val="00B079DD"/>
    <w:rsid w:val="00BC085C"/>
    <w:rsid w:val="00BD50EF"/>
    <w:rsid w:val="00BE5FAC"/>
    <w:rsid w:val="00C93EFF"/>
    <w:rsid w:val="00CD7904"/>
    <w:rsid w:val="00E31EBA"/>
    <w:rsid w:val="00E71311"/>
    <w:rsid w:val="00EF0854"/>
    <w:rsid w:val="00EF7A9F"/>
    <w:rsid w:val="00F845C3"/>
    <w:rsid w:val="00FF3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3CB5C"/>
  <w15:chartTrackingRefBased/>
  <w15:docId w15:val="{DD6171BF-8195-47BC-90A5-50B68028B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7904"/>
  </w:style>
  <w:style w:type="paragraph" w:styleId="Heading1">
    <w:name w:val="heading 1"/>
    <w:basedOn w:val="Normal"/>
    <w:next w:val="Normal"/>
    <w:link w:val="Heading1Char"/>
    <w:uiPriority w:val="9"/>
    <w:qFormat/>
    <w:rsid w:val="00BD50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50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D790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D7904"/>
    <w:rPr>
      <w:sz w:val="20"/>
      <w:szCs w:val="20"/>
    </w:rPr>
  </w:style>
  <w:style w:type="character" w:styleId="FootnoteReference">
    <w:name w:val="footnote reference"/>
    <w:basedOn w:val="DefaultParagraphFont"/>
    <w:uiPriority w:val="99"/>
    <w:semiHidden/>
    <w:unhideWhenUsed/>
    <w:rsid w:val="00CD7904"/>
    <w:rPr>
      <w:vertAlign w:val="superscript"/>
    </w:rPr>
  </w:style>
  <w:style w:type="character" w:customStyle="1" w:styleId="Heading2Char">
    <w:name w:val="Heading 2 Char"/>
    <w:basedOn w:val="DefaultParagraphFont"/>
    <w:link w:val="Heading2"/>
    <w:uiPriority w:val="9"/>
    <w:rsid w:val="00BD50E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D50E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5F0A4-E271-463A-B547-EAEACD684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807</Words>
  <Characters>4602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Woodhouse</dc:creator>
  <cp:keywords/>
  <dc:description/>
  <cp:lastModifiedBy>Betsy Woodhouse</cp:lastModifiedBy>
  <cp:revision>15</cp:revision>
  <dcterms:created xsi:type="dcterms:W3CDTF">2018-02-13T18:24:00Z</dcterms:created>
  <dcterms:modified xsi:type="dcterms:W3CDTF">2018-02-13T20:52:00Z</dcterms:modified>
</cp:coreProperties>
</file>