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13F99E" w14:textId="7C2CE176" w:rsidR="00E55EA7" w:rsidRDefault="00E55EA7" w:rsidP="00766AF7">
      <w:pPr>
        <w:pStyle w:val="ListParagraph"/>
        <w:jc w:val="center"/>
      </w:pPr>
      <w:r>
        <w:rPr>
          <w:noProof/>
        </w:rPr>
        <mc:AlternateContent>
          <mc:Choice Requires="wps">
            <w:drawing>
              <wp:anchor distT="45720" distB="45720" distL="114300" distR="114300" simplePos="0" relativeHeight="251659264" behindDoc="0" locked="0" layoutInCell="1" allowOverlap="1" wp14:anchorId="2031F9FD" wp14:editId="46392D5F">
                <wp:simplePos x="0" y="0"/>
                <wp:positionH relativeFrom="column">
                  <wp:posOffset>1635760</wp:posOffset>
                </wp:positionH>
                <wp:positionV relativeFrom="paragraph">
                  <wp:posOffset>128270</wp:posOffset>
                </wp:positionV>
                <wp:extent cx="2360930" cy="1404620"/>
                <wp:effectExtent l="0" t="0" r="1270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solidFill>
                            <a:srgbClr val="000000"/>
                          </a:solidFill>
                          <a:miter lim="800000"/>
                          <a:headEnd/>
                          <a:tailEnd/>
                        </a:ln>
                      </wps:spPr>
                      <wps:txbx>
                        <w:txbxContent>
                          <w:p w14:paraId="608848BF" w14:textId="53D5D7A0" w:rsidR="00E55EA7" w:rsidRDefault="00E55EA7" w:rsidP="00E55EA7">
                            <w:pPr>
                              <w:jc w:val="center"/>
                            </w:pPr>
                            <w:r>
                              <w:t xml:space="preserve">Module: </w:t>
                            </w:r>
                            <w:r w:rsidRPr="00E55EA7">
                              <w:t xml:space="preserve">Data Handling &amp; Business Intelligence </w:t>
                            </w:r>
                          </w:p>
                          <w:p w14:paraId="60D270D9" w14:textId="3869F93D" w:rsidR="00E55EA7" w:rsidRDefault="00E55EA7" w:rsidP="00E55EA7">
                            <w:pPr>
                              <w:jc w:val="center"/>
                            </w:pPr>
                            <w:r>
                              <w:t xml:space="preserve">Module Code: </w:t>
                            </w:r>
                            <w:r w:rsidRPr="00E55EA7">
                              <w:t>LCBB5014</w:t>
                            </w:r>
                          </w:p>
                          <w:p w14:paraId="01665F9A" w14:textId="38F06E0D" w:rsidR="00E55EA7" w:rsidRDefault="00E55EA7" w:rsidP="00E55EA7">
                            <w:pPr>
                              <w:jc w:val="center"/>
                            </w:pPr>
                            <w:r w:rsidRPr="00E55EA7">
                              <w:t>Assignment Title</w:t>
                            </w:r>
                            <w:r>
                              <w:t>:</w:t>
                            </w:r>
                          </w:p>
                          <w:p w14:paraId="6A119C9F" w14:textId="2C2BBCD3" w:rsidR="00E55EA7" w:rsidRDefault="00E55EA7" w:rsidP="00E55EA7">
                            <w:pPr>
                              <w:jc w:val="center"/>
                            </w:pPr>
                            <w:r w:rsidRPr="00E55EA7">
                              <w:t xml:space="preserve">Component 1: Coursework: Individual Report </w:t>
                            </w:r>
                          </w:p>
                          <w:p w14:paraId="4D00EC90" w14:textId="0FD62D91" w:rsidR="00E55EA7" w:rsidRDefault="00E55EA7" w:rsidP="00E55EA7">
                            <w:pPr>
                              <w:jc w:val="center"/>
                            </w:pPr>
                            <w:r>
                              <w:t>Student Name and ID: Muhammad Touseef / 2319373</w:t>
                            </w:r>
                          </w:p>
                          <w:p w14:paraId="327F0988" w14:textId="3112E608" w:rsidR="00E55EA7" w:rsidRDefault="00E55EA7" w:rsidP="00E55EA7">
                            <w:pPr>
                              <w:jc w:val="center"/>
                            </w:pPr>
                            <w:r>
                              <w:t>Lecturer: Ihsan Ul Haq</w:t>
                            </w:r>
                          </w:p>
                          <w:p w14:paraId="5C55D7C8" w14:textId="77777777" w:rsidR="00E55EA7" w:rsidRDefault="00E55EA7" w:rsidP="00E55EA7">
                            <w:pPr>
                              <w:jc w:val="center"/>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031F9FD" id="_x0000_t202" coordsize="21600,21600" o:spt="202" path="m,l,21600r21600,l21600,xe">
                <v:stroke joinstyle="miter"/>
                <v:path gradientshapeok="t" o:connecttype="rect"/>
              </v:shapetype>
              <v:shape id="Text Box 2" o:spid="_x0000_s1026" type="#_x0000_t202" style="position:absolute;left:0;text-align:left;margin-left:128.8pt;margin-top:10.1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KXTDgIAAPcDAAAOAAAAZHJzL2Uyb0RvYy54bWysU9uO0zAQfUfiHyy/06TdtmyjpqulSxHS&#10;cpEWPmDiOI2F4zG226R8PWOn263gDZEHy86Mz8w5c7y+GzrNjtJ5habk00nOmTQCa2X2Jf/+bffm&#10;ljMfwNSg0ciSn6Tnd5vXr9a9LeQMW9S1dIxAjC96W/I2BFtkmRet7MBP0EpDwQZdB4GObp/VDnpC&#10;73Q2y/Nl1qOrrUMhvae/D2OQbxJ+00gRvjSNl4HpklNvIa0urVVcs80air0D2ypxbgP+oYsOlKGi&#10;F6gHCMAOTv0F1Snh0GMTJgK7DJtGCZk4EJtp/gebpxasTFxIHG8vMvn/Bys+H5/sV8fC8A4HGmAi&#10;4e0jih+eGdy2YPby3jnsWwk1FZ5GybLe+uJ8NUrtCx9Bqv4T1jRkOARMQEPjuqgK8WSETgM4XUSX&#10;Q2CCfs5ulvnqhkKCYtN5Pl/O0lgyKJ6vW+fDB4kdi5uSO5pqgofjow+xHSieU2I1gzuldZqsNqwv&#10;+WoxW4zEUKs6BmOad/tqqx07QvRG+hI3ilyndSqQQ7XqSn57SYIiyvHe1KlKAKXHPXWizVmfKMko&#10;ThiqgRKjThXWJ1LK4ehEejm0adH94qwnF5bc/zyAk5zpj4bUXk3n82jbdJgv3pI0zF1HqusIGEFQ&#10;JQ+cjdttSFZPbO09TWWnkl4vnZx7JXclGc8vIdr3+pyyXt7r5jcAAAD//wMAUEsDBBQABgAIAAAA&#10;IQCk5mCr4AAAAAoBAAAPAAAAZHJzL2Rvd25yZXYueG1sTI9NT8JAEIbvJP6HzZh4gy21VqndEmPi&#10;xRgTQOW6dIe20J2t3aXUf8940tt8PHnnmXw52lYM2PvGkYL5LAKBVDrTUKXgY/MyfQDhgyajW0eo&#10;4Ac9LIurSa4z4860wmEdKsEh5DOtoA6hy6T0ZY1W+5nrkHi3d73Vgdu+kqbXZw63rYyjKJVWN8QX&#10;at3hc43lcX2yCuR28z6MqzB82dvv4yG87g9vn1Kpm+vx6RFEwDH8wfCrz+pQsNPOnch40SqI7+5T&#10;RrmIYhAMpPEiAbHjQTJPQBa5/P9CcQEAAP//AwBQSwECLQAUAAYACAAAACEAtoM4kv4AAADhAQAA&#10;EwAAAAAAAAAAAAAAAAAAAAAAW0NvbnRlbnRfVHlwZXNdLnhtbFBLAQItABQABgAIAAAAIQA4/SH/&#10;1gAAAJQBAAALAAAAAAAAAAAAAAAAAC8BAABfcmVscy8ucmVsc1BLAQItABQABgAIAAAAIQBY2KXT&#10;DgIAAPcDAAAOAAAAAAAAAAAAAAAAAC4CAABkcnMvZTJvRG9jLnhtbFBLAQItABQABgAIAAAAIQCk&#10;5mCr4AAAAAoBAAAPAAAAAAAAAAAAAAAAAGgEAABkcnMvZG93bnJldi54bWxQSwUGAAAAAAQABADz&#10;AAAAdQUAAAAA&#10;" filled="f">
                <v:textbox style="mso-fit-shape-to-text:t">
                  <w:txbxContent>
                    <w:p w14:paraId="608848BF" w14:textId="53D5D7A0" w:rsidR="00E55EA7" w:rsidRDefault="00E55EA7" w:rsidP="00E55EA7">
                      <w:pPr>
                        <w:jc w:val="center"/>
                      </w:pPr>
                      <w:r>
                        <w:t xml:space="preserve">Module: </w:t>
                      </w:r>
                      <w:r w:rsidRPr="00E55EA7">
                        <w:t xml:space="preserve">Data Handling &amp; Business Intelligence </w:t>
                      </w:r>
                    </w:p>
                    <w:p w14:paraId="60D270D9" w14:textId="3869F93D" w:rsidR="00E55EA7" w:rsidRDefault="00E55EA7" w:rsidP="00E55EA7">
                      <w:pPr>
                        <w:jc w:val="center"/>
                      </w:pPr>
                      <w:r>
                        <w:t xml:space="preserve">Module Code: </w:t>
                      </w:r>
                      <w:r w:rsidRPr="00E55EA7">
                        <w:t>LCBB5014</w:t>
                      </w:r>
                    </w:p>
                    <w:p w14:paraId="01665F9A" w14:textId="38F06E0D" w:rsidR="00E55EA7" w:rsidRDefault="00E55EA7" w:rsidP="00E55EA7">
                      <w:pPr>
                        <w:jc w:val="center"/>
                      </w:pPr>
                      <w:r w:rsidRPr="00E55EA7">
                        <w:t>Assignment Title</w:t>
                      </w:r>
                      <w:r>
                        <w:t>:</w:t>
                      </w:r>
                    </w:p>
                    <w:p w14:paraId="6A119C9F" w14:textId="2C2BBCD3" w:rsidR="00E55EA7" w:rsidRDefault="00E55EA7" w:rsidP="00E55EA7">
                      <w:pPr>
                        <w:jc w:val="center"/>
                      </w:pPr>
                      <w:r w:rsidRPr="00E55EA7">
                        <w:t xml:space="preserve">Component 1: Coursework: Individual Report </w:t>
                      </w:r>
                    </w:p>
                    <w:p w14:paraId="4D00EC90" w14:textId="0FD62D91" w:rsidR="00E55EA7" w:rsidRDefault="00E55EA7" w:rsidP="00E55EA7">
                      <w:pPr>
                        <w:jc w:val="center"/>
                      </w:pPr>
                      <w:r>
                        <w:t>Student Name and ID: Muhammad Touseef / 2319373</w:t>
                      </w:r>
                    </w:p>
                    <w:p w14:paraId="327F0988" w14:textId="3112E608" w:rsidR="00E55EA7" w:rsidRDefault="00E55EA7" w:rsidP="00E55EA7">
                      <w:pPr>
                        <w:jc w:val="center"/>
                      </w:pPr>
                      <w:r>
                        <w:t>Lecturer: Ihsan Ul Haq</w:t>
                      </w:r>
                    </w:p>
                    <w:p w14:paraId="5C55D7C8" w14:textId="77777777" w:rsidR="00E55EA7" w:rsidRDefault="00E55EA7" w:rsidP="00E55EA7">
                      <w:pPr>
                        <w:jc w:val="center"/>
                      </w:pPr>
                    </w:p>
                  </w:txbxContent>
                </v:textbox>
                <w10:wrap type="square"/>
              </v:shape>
            </w:pict>
          </mc:Fallback>
        </mc:AlternateContent>
      </w:r>
    </w:p>
    <w:p w14:paraId="00D847AC" w14:textId="48B5A94E" w:rsidR="00E55EA7" w:rsidRDefault="00E55EA7">
      <w:r>
        <w:br w:type="page"/>
      </w:r>
    </w:p>
    <w:p w14:paraId="1F45E9D1" w14:textId="7F5BD3C6" w:rsidR="001D1EFE" w:rsidRDefault="00000000" w:rsidP="00766AF7">
      <w:pPr>
        <w:pStyle w:val="ListParagraph"/>
        <w:jc w:val="center"/>
      </w:pPr>
      <w:r>
        <w:lastRenderedPageBreak/>
        <w:t>Business Intelligence Report</w:t>
      </w:r>
    </w:p>
    <w:p w14:paraId="06872EA9" w14:textId="5543C89B" w:rsidR="001D1EFE" w:rsidRDefault="00000000" w:rsidP="00766AF7">
      <w:pPr>
        <w:spacing w:after="240"/>
        <w:jc w:val="center"/>
      </w:pPr>
      <w:r>
        <w:rPr>
          <w:i/>
          <w:iCs/>
        </w:rPr>
        <w:t xml:space="preserve">John Lewis Partnership </w:t>
      </w:r>
    </w:p>
    <w:p w14:paraId="58F3AAB4" w14:textId="77777777" w:rsidR="001D1EFE" w:rsidRDefault="00000000">
      <w:pPr>
        <w:pStyle w:val="Heading1"/>
        <w:spacing w:before="240"/>
      </w:pPr>
      <w:r>
        <w:t>1. Introduction</w:t>
      </w:r>
    </w:p>
    <w:p w14:paraId="16E8AB43" w14:textId="77777777" w:rsidR="001D1EFE" w:rsidRDefault="001D1EFE">
      <w:pPr>
        <w:spacing w:after="120"/>
      </w:pPr>
    </w:p>
    <w:p w14:paraId="5933C268" w14:textId="77777777" w:rsidR="00766AF7" w:rsidRDefault="00766AF7" w:rsidP="00766AF7">
      <w:pPr>
        <w:spacing w:after="120"/>
      </w:pPr>
      <w:r>
        <w:t>The John Lewis Partnership (JLP) is a famous British employee-owned business that operates John Lewis department shops and Waitrose supermarkets. It is battling with fiercer competition from online-only rivals, volatile prices and changing customer expectations for speedy delivery and tailored experiences. The purpose of this research is to demonstrate how BI, DW and DM can help JLP achieve its strategic goals of profitable growth, excellent customer service, robust supply chains and data driven decisions.</w:t>
      </w:r>
    </w:p>
    <w:p w14:paraId="4A91889F" w14:textId="77777777" w:rsidR="001D1EFE" w:rsidRDefault="001D1EFE">
      <w:pPr>
        <w:spacing w:after="120"/>
      </w:pPr>
    </w:p>
    <w:p w14:paraId="4DB0A96E" w14:textId="77777777" w:rsidR="00766AF7" w:rsidRDefault="00766AF7" w:rsidP="00766AF7">
      <w:pPr>
        <w:spacing w:after="120"/>
      </w:pPr>
      <w:r>
        <w:t>Business Intelligence (BI) is a term used for processes, infrastructures and technologies that transform raw data into relevant information for business decisions through reporting, dashboards and analytics (Rud, 2009). (Inmon, 2005) Data Warehousing (DW) is a non-volatile, time-variant, integrated, subject-oriented data repository that supports BI and analytics. Data Mining (DM) is the process of extraction of patterns and knowledge from huge amount of data that is of statistical, machine learning and database approaches (Han et al., 2012).</w:t>
      </w:r>
    </w:p>
    <w:p w14:paraId="0D60CF42" w14:textId="77777777" w:rsidR="00766AF7" w:rsidRDefault="00766AF7" w:rsidP="00766AF7">
      <w:pPr>
        <w:spacing w:after="120"/>
      </w:pPr>
    </w:p>
    <w:p w14:paraId="55FBD8D6" w14:textId="7097E2C2" w:rsidR="00766AF7" w:rsidRDefault="00766AF7" w:rsidP="00766AF7">
      <w:pPr>
        <w:spacing w:after="120"/>
      </w:pPr>
      <w:r>
        <w:t xml:space="preserve"> Event-driven architectures with micro-batch processing provide operational analytics and reduce decision delay (Stonebraker, 2015). Second, cloud data warehousing (exemplified by Snowflake, Google BigQuery, and Azure Synapse) provides elastic compute-storage separation, serverless scaling, and workload isolation that can reduce total cost of ownership relative to on-premises systems while increasing agility (Dageville et al., 2016). Third, self-service BI enables business users to create insights on top of regulated semantic models, democratising analytics but needing strong data governance to avoid report sprawl and inconsistent metrics (Palfrey and Gasser, 2012).</w:t>
      </w:r>
    </w:p>
    <w:p w14:paraId="39BA7CFC" w14:textId="77777777" w:rsidR="00766AF7" w:rsidRDefault="00766AF7" w:rsidP="00766AF7">
      <w:pPr>
        <w:spacing w:after="120"/>
      </w:pPr>
    </w:p>
    <w:p w14:paraId="425990F6" w14:textId="77777777" w:rsidR="00766AF7" w:rsidRDefault="00766AF7" w:rsidP="00766AF7">
      <w:pPr>
        <w:spacing w:after="120"/>
      </w:pPr>
      <w:r>
        <w:t xml:space="preserve">Fourth, embedding AI/ML means incorporating predictive models into BI procedures. AutoML, feature stores and MLOps pipelines operationalise forecasting, propensity and </w:t>
      </w:r>
      <w:r>
        <w:lastRenderedPageBreak/>
        <w:t>anomaly detection, integrating DM outputs with BI consumption (Sculley et al., 2015). Fifth, data lakehouse architectures combine data lakes and warehouses, allowing for schema-on-read and schema-on-write, with ACID guarantees for large-scale analytics (Armbrust et al., 2021). Finally, privacy enhancing technologies and differential privacy strategies are getting attention to meet regulatory standards and customer trust needs while enabling analytics (Dwork, 2008).</w:t>
      </w:r>
    </w:p>
    <w:p w14:paraId="011AF6CD" w14:textId="77777777" w:rsidR="00766AF7" w:rsidRDefault="00766AF7" w:rsidP="00766AF7">
      <w:pPr>
        <w:spacing w:after="120"/>
      </w:pPr>
    </w:p>
    <w:p w14:paraId="3D004C11" w14:textId="77777777" w:rsidR="001D1EFE" w:rsidRDefault="00000000">
      <w:pPr>
        <w:pStyle w:val="Heading1"/>
        <w:spacing w:before="240"/>
      </w:pPr>
      <w:r>
        <w:t>3. Data Warehousing in the Organisation: Applications</w:t>
      </w:r>
    </w:p>
    <w:p w14:paraId="4F730709" w14:textId="77777777" w:rsidR="001D1EFE" w:rsidRDefault="001D1EFE">
      <w:pPr>
        <w:spacing w:after="120"/>
      </w:pPr>
    </w:p>
    <w:p w14:paraId="0AE1BC77" w14:textId="77777777" w:rsidR="001D1EFE" w:rsidRDefault="00000000">
      <w:pPr>
        <w:pStyle w:val="Heading2"/>
        <w:spacing w:before="160" w:after="120"/>
      </w:pPr>
      <w:r>
        <w:t>Define data warehousing</w:t>
      </w:r>
    </w:p>
    <w:p w14:paraId="1107CCB1" w14:textId="77777777" w:rsidR="001D1EFE" w:rsidRDefault="001D1EFE">
      <w:pPr>
        <w:spacing w:after="120"/>
      </w:pPr>
    </w:p>
    <w:p w14:paraId="73446343" w14:textId="77777777" w:rsidR="001D1EFE" w:rsidRDefault="00000000">
      <w:r>
        <w:t>A data warehouse integrates disparate operational data into conformed, quality-assured structures optimised for analysis (Inmon, 2005). In the dimensional approach, data is organised into fact tables (e.g., Sales, Inventory, Fulfilment) and dimension tables (e.g., Product, Store, Date, Customer), improving query performance and usability (Kimball and Ross, 2013).</w:t>
      </w:r>
    </w:p>
    <w:p w14:paraId="21A0EDB0" w14:textId="77777777" w:rsidR="001D1EFE" w:rsidRDefault="001D1EFE">
      <w:pPr>
        <w:spacing w:after="120"/>
      </w:pPr>
    </w:p>
    <w:p w14:paraId="35CB4597" w14:textId="77777777" w:rsidR="001D1EFE" w:rsidRDefault="00000000">
      <w:pPr>
        <w:pStyle w:val="Heading2"/>
        <w:spacing w:before="160" w:after="120"/>
      </w:pPr>
      <w:r>
        <w:t>How DW can improve data access and efficiency</w:t>
      </w:r>
    </w:p>
    <w:p w14:paraId="523984BA" w14:textId="77777777" w:rsidR="001D1EFE" w:rsidRDefault="001D1EFE">
      <w:pPr>
        <w:spacing w:after="120"/>
      </w:pPr>
    </w:p>
    <w:p w14:paraId="6B34F182" w14:textId="77777777" w:rsidR="001F2F93" w:rsidRDefault="001F2F93" w:rsidP="001F2F93">
      <w:pPr>
        <w:spacing w:after="120"/>
      </w:pPr>
      <w:r>
        <w:t xml:space="preserve">JLP's operational systems comprise POS in Waitrose stores, ecommerce platforms, order management, supplier systems and loyalty programmes (e.g. My John Lewis). These systems result in isolated datasets with varied schemas and data quality challenges. A DW consolidates them through ETL/ELT, standardising product hierarchies, customer identities and calendar dimensions. Benefits include: </w:t>
      </w:r>
    </w:p>
    <w:p w14:paraId="692209A0" w14:textId="77777777" w:rsidR="001F2F93" w:rsidRDefault="001F2F93" w:rsidP="001F2F93">
      <w:pPr>
        <w:spacing w:after="120"/>
      </w:pPr>
    </w:p>
    <w:p w14:paraId="59D833A3" w14:textId="77777777" w:rsidR="001F2F93" w:rsidRDefault="001F2F93" w:rsidP="001F2F93">
      <w:pPr>
        <w:spacing w:after="120"/>
      </w:pPr>
      <w:r>
        <w:t>● One source of truth: Conformed dimensions prevent metric conflicts (e.g. revenue, margin, like-for-like sales).</w:t>
      </w:r>
    </w:p>
    <w:p w14:paraId="5641DF5C" w14:textId="77777777" w:rsidR="001F2F93" w:rsidRDefault="001F2F93" w:rsidP="001F2F93">
      <w:pPr>
        <w:spacing w:after="120"/>
      </w:pPr>
      <w:r>
        <w:t>● Self-service enablement: A regulated semantic layer (e.g. star schemas exposed via BI tools) enables analysts to generate dashboards without the need to constantly combine complex operational tables.</w:t>
      </w:r>
    </w:p>
    <w:p w14:paraId="71159F07" w14:textId="3822C2E2" w:rsidR="001D1EFE" w:rsidRDefault="001F2F93" w:rsidP="001F2F93">
      <w:pPr>
        <w:spacing w:after="120"/>
      </w:pPr>
      <w:r>
        <w:lastRenderedPageBreak/>
        <w:t>● Reusability: Curated data marts (Sales, Supply Chain, Customer 360) decrease duplication and time to insight.</w:t>
      </w:r>
    </w:p>
    <w:p w14:paraId="6582BE0F" w14:textId="77777777" w:rsidR="001D1EFE" w:rsidRDefault="00000000">
      <w:pPr>
        <w:pStyle w:val="Heading2"/>
        <w:spacing w:before="160" w:after="120"/>
      </w:pPr>
      <w:r>
        <w:t>How DW supports strategic decision-making</w:t>
      </w:r>
    </w:p>
    <w:p w14:paraId="63C242A7" w14:textId="77777777" w:rsidR="001D1EFE" w:rsidRDefault="001D1EFE">
      <w:pPr>
        <w:spacing w:after="120"/>
      </w:pPr>
    </w:p>
    <w:p w14:paraId="2E83EE84" w14:textId="77777777" w:rsidR="001D1EFE" w:rsidRDefault="00000000">
      <w:pPr>
        <w:pStyle w:val="ListParagraph"/>
        <w:numPr>
          <w:ilvl w:val="0"/>
          <w:numId w:val="1"/>
        </w:numPr>
        <w:spacing w:after="100"/>
      </w:pPr>
      <w:r>
        <w:t>Commercial: Margin analysis by product, region, and channel; price elasticity; promotion effectiveness using basket-level data.</w:t>
      </w:r>
    </w:p>
    <w:p w14:paraId="1661FC5F" w14:textId="77777777" w:rsidR="001D1EFE" w:rsidRDefault="00000000">
      <w:pPr>
        <w:pStyle w:val="ListParagraph"/>
        <w:numPr>
          <w:ilvl w:val="0"/>
          <w:numId w:val="1"/>
        </w:numPr>
        <w:spacing w:after="100"/>
      </w:pPr>
      <w:r>
        <w:t>Supply chain: End-to-end visibility from supplier lead times to shelf availability; safety-stock optimisation; waste reduction in fresh categories through demand forecasting.</w:t>
      </w:r>
    </w:p>
    <w:p w14:paraId="481B87C0" w14:textId="77777777" w:rsidR="001D1EFE" w:rsidRDefault="00000000">
      <w:pPr>
        <w:pStyle w:val="ListParagraph"/>
        <w:numPr>
          <w:ilvl w:val="0"/>
          <w:numId w:val="1"/>
        </w:numPr>
        <w:spacing w:after="100"/>
      </w:pPr>
      <w:r>
        <w:t>Customer: Unified profiles combining online and in-store interactions; segmentation; lifetime value and churn risk modelling feeding targeted campaigns.</w:t>
      </w:r>
    </w:p>
    <w:p w14:paraId="6333B647" w14:textId="77777777" w:rsidR="001D1EFE" w:rsidRDefault="001D1EFE">
      <w:pPr>
        <w:spacing w:after="120"/>
      </w:pPr>
    </w:p>
    <w:p w14:paraId="51E4A05A" w14:textId="77777777" w:rsidR="001D1EFE" w:rsidRDefault="00000000">
      <w:pPr>
        <w:pStyle w:val="Heading2"/>
        <w:spacing w:before="160" w:after="120"/>
      </w:pPr>
      <w:r>
        <w:t>Academic models/frameworks</w:t>
      </w:r>
    </w:p>
    <w:p w14:paraId="06A15B53" w14:textId="77777777" w:rsidR="009A4F28" w:rsidRDefault="001F2F93">
      <w:pPr>
        <w:pStyle w:val="Heading2"/>
        <w:spacing w:before="160" w:after="120"/>
        <w:rPr>
          <w:color w:val="000000" w:themeColor="text1"/>
          <w:sz w:val="24"/>
          <w:szCs w:val="24"/>
        </w:rPr>
      </w:pPr>
      <w:r w:rsidRPr="001F2F93">
        <w:rPr>
          <w:color w:val="000000" w:themeColor="text1"/>
          <w:sz w:val="24"/>
          <w:szCs w:val="24"/>
        </w:rPr>
        <w:t xml:space="preserve">Design and delivery are shaped by complementary frameworks. According to Kimball and Ross (2013), dimensional modelling with conforming dimensions and subject-area data marts integrated through a bus matrix is recommended. Star schemas match sales, inventory, and consumer behaviour, making them perfect for JLP retail analytics. </w:t>
      </w:r>
    </w:p>
    <w:p w14:paraId="0D6A8C35" w14:textId="60967207" w:rsidR="001D1EFE" w:rsidRDefault="00000000">
      <w:pPr>
        <w:pStyle w:val="Heading2"/>
        <w:spacing w:before="160" w:after="120"/>
      </w:pPr>
      <w:r>
        <w:t>Organisation-specific examples</w:t>
      </w:r>
    </w:p>
    <w:p w14:paraId="42086C08" w14:textId="77777777" w:rsidR="001F2F93" w:rsidRDefault="001F2F93" w:rsidP="001F2F93">
      <w:pPr>
        <w:spacing w:after="120"/>
      </w:pPr>
      <w:r>
        <w:t>Sales reporting: Measures (net sales, gross margin, units) linked to Product, Store, Channel, Promotion, and Date enable hierarchical and time-based P&amp;L. ELT from POS and ecommerce feeds refresh daily or hourly.</w:t>
      </w:r>
    </w:p>
    <w:p w14:paraId="35B3D4BB" w14:textId="5825582E" w:rsidR="001D1EFE" w:rsidRDefault="001F2F93" w:rsidP="001F2F93">
      <w:pPr>
        <w:spacing w:after="120"/>
      </w:pPr>
      <w:r>
        <w:t>● Customer 360: Consent flags and hashed identifiers link loyalty transactions to online sessions, ensuring privacy. Campaign Response facts link marketing and sales by tracking A/B tests and promotions.</w:t>
      </w:r>
    </w:p>
    <w:p w14:paraId="2082FAC1" w14:textId="77777777" w:rsidR="001D1EFE" w:rsidRDefault="001D1EFE">
      <w:pPr>
        <w:spacing w:after="120"/>
      </w:pPr>
    </w:p>
    <w:p w14:paraId="5BDA8B96" w14:textId="77777777" w:rsidR="001D1EFE" w:rsidRDefault="00000000">
      <w:pPr>
        <w:pStyle w:val="Heading1"/>
        <w:spacing w:before="240"/>
      </w:pPr>
      <w:r>
        <w:t>4. Data Mining Techniques</w:t>
      </w:r>
    </w:p>
    <w:p w14:paraId="6A29F2A6" w14:textId="77777777" w:rsidR="001D1EFE" w:rsidRDefault="001D1EFE">
      <w:pPr>
        <w:spacing w:after="120"/>
      </w:pPr>
    </w:p>
    <w:p w14:paraId="761521E8" w14:textId="77777777" w:rsidR="001D1EFE" w:rsidRDefault="001D1EFE">
      <w:pPr>
        <w:spacing w:after="120"/>
      </w:pPr>
    </w:p>
    <w:p w14:paraId="23C2B905" w14:textId="77777777" w:rsidR="001D1EFE" w:rsidRDefault="00000000">
      <w:pPr>
        <w:pStyle w:val="Heading2"/>
        <w:spacing w:before="160" w:after="120"/>
      </w:pPr>
      <w:r>
        <w:lastRenderedPageBreak/>
        <w:t>1) Clustering</w:t>
      </w:r>
    </w:p>
    <w:p w14:paraId="538A3607" w14:textId="77777777" w:rsidR="001F2F93" w:rsidRDefault="001F2F93" w:rsidP="001F2F93">
      <w:pPr>
        <w:spacing w:after="120"/>
      </w:pPr>
      <w:r>
        <w:t xml:space="preserve">Customers or stores with similar behaviours are clustered without labels. K-means or density-based clustering can segment clients by recency, frequency, RFM patterns, product affinities, and channel mix (Han et al., 2012). For JLP: </w:t>
      </w:r>
    </w:p>
    <w:p w14:paraId="784781AE" w14:textId="77777777" w:rsidR="001F2F93" w:rsidRDefault="001F2F93" w:rsidP="001F2F93">
      <w:pPr>
        <w:spacing w:after="120"/>
      </w:pPr>
    </w:p>
    <w:p w14:paraId="6A46F9ED" w14:textId="77777777" w:rsidR="001F2F93" w:rsidRDefault="001F2F93" w:rsidP="001F2F93">
      <w:pPr>
        <w:spacing w:after="120"/>
      </w:pPr>
      <w:r>
        <w:t>Design consumer segments based on behaviour, such as premium homeware lovers, weekly grocery shoppers, and omnichannel gifters. Segments inform assortment planning, personalised promotions, and customisation.</w:t>
      </w:r>
    </w:p>
    <w:p w14:paraId="3FEEF3E8" w14:textId="76E71A9D" w:rsidR="001F2F93" w:rsidRDefault="001F2F93" w:rsidP="001F2F93">
      <w:pPr>
        <w:spacing w:after="120"/>
      </w:pPr>
      <w:r>
        <w:t>● Justification: Unsupervised approaches uncover latent structure in areas with imperfect or noisy outcomes, such as churn. Clustering helps stores offer localised selections</w:t>
      </w:r>
      <w:r w:rsidR="00E55EA7">
        <w:t>.</w:t>
      </w:r>
    </w:p>
    <w:p w14:paraId="0040B27D" w14:textId="4D0FD9F5" w:rsidR="001D1EFE" w:rsidRDefault="001F2F93" w:rsidP="001F2F93">
      <w:pPr>
        <w:spacing w:after="120"/>
      </w:pPr>
      <w:r>
        <w:t>Supporting tools such as scikit-learn, Spark MLlib, and cloud AutoML platforms provide scalable k-means feature pipelines.</w:t>
      </w:r>
    </w:p>
    <w:p w14:paraId="4A19A382" w14:textId="77777777" w:rsidR="001D1EFE" w:rsidRDefault="001D1EFE">
      <w:pPr>
        <w:spacing w:after="120"/>
      </w:pPr>
    </w:p>
    <w:p w14:paraId="54A284F2" w14:textId="77777777" w:rsidR="001D1EFE" w:rsidRDefault="00000000">
      <w:pPr>
        <w:pStyle w:val="Heading2"/>
        <w:spacing w:before="160" w:after="120"/>
      </w:pPr>
      <w:r>
        <w:t>2) Association Rule Mining (Market Basket Analysis)</w:t>
      </w:r>
    </w:p>
    <w:p w14:paraId="79D32621" w14:textId="77777777" w:rsidR="001D1EFE" w:rsidRDefault="001D1EFE">
      <w:pPr>
        <w:spacing w:after="120"/>
      </w:pPr>
    </w:p>
    <w:p w14:paraId="346AC79C" w14:textId="77777777" w:rsidR="001D1EFE" w:rsidRDefault="00000000">
      <w:r>
        <w:t>Association rules uncover itemsets frequently purchased together, expressed as rules X =&gt; Y with metrics such as support, confidence, and lift (Agrawal and Srikant, 1994). For JLP:</w:t>
      </w:r>
    </w:p>
    <w:p w14:paraId="7F787CD1" w14:textId="77777777" w:rsidR="001D1EFE" w:rsidRDefault="001D1EFE">
      <w:pPr>
        <w:spacing w:after="120"/>
      </w:pPr>
    </w:p>
    <w:p w14:paraId="4C595343" w14:textId="77777777" w:rsidR="001D1EFE" w:rsidRDefault="00000000">
      <w:pPr>
        <w:pStyle w:val="ListParagraph"/>
        <w:numPr>
          <w:ilvl w:val="0"/>
          <w:numId w:val="1"/>
        </w:numPr>
        <w:spacing w:after="100"/>
      </w:pPr>
      <w:r>
        <w:t>Application: Identify cross-sell opportunities (e.g., coffee machines =&gt; descaler), optimise planograms, and design bundles. In grocery, rules inform adjacency and promotions that increase basket size; in department stores, they support curated collections.</w:t>
      </w:r>
    </w:p>
    <w:p w14:paraId="19DC1C91" w14:textId="77777777" w:rsidR="001D1EFE" w:rsidRDefault="00000000">
      <w:pPr>
        <w:pStyle w:val="ListParagraph"/>
        <w:numPr>
          <w:ilvl w:val="0"/>
          <w:numId w:val="1"/>
        </w:numPr>
        <w:spacing w:after="100"/>
      </w:pPr>
      <w:r>
        <w:t>Justification: Basket-level POS data is abundant; association rules translate directly into actionable merchandising and recommendation strategies. Lift helps filter spurious correlations, increasing marketing ROI.</w:t>
      </w:r>
    </w:p>
    <w:p w14:paraId="2C409761" w14:textId="77777777" w:rsidR="001D1EFE" w:rsidRDefault="00000000">
      <w:pPr>
        <w:pStyle w:val="ListParagraph"/>
        <w:numPr>
          <w:ilvl w:val="0"/>
          <w:numId w:val="1"/>
        </w:numPr>
        <w:spacing w:after="100"/>
      </w:pPr>
      <w:r>
        <w:t>Supporting tools: Spark FP-Growth, R packages (arules), or integrated tools in RapidMiner/KNIME simplify rule generation and evaluation.</w:t>
      </w:r>
    </w:p>
    <w:p w14:paraId="44FC40A0" w14:textId="77777777" w:rsidR="001D1EFE" w:rsidRDefault="001D1EFE">
      <w:pPr>
        <w:spacing w:after="120"/>
      </w:pPr>
    </w:p>
    <w:p w14:paraId="13FC1EDD" w14:textId="2E6CA627" w:rsidR="001D1EFE" w:rsidRDefault="009A4F28">
      <w:pPr>
        <w:spacing w:after="120"/>
      </w:pPr>
      <w:r w:rsidRPr="009A4F28">
        <w:lastRenderedPageBreak/>
        <w:t>Both involve heavy feature engineering and governance. The CRISP-DM phases provide defined business objectives (e.g., “increase AOV by 3%”), meticulous data preparation (managing sparsity and seasonality), and rigorous offline/online review. Outputs interact with BI: Segments and Rules should be versioned, explainable and presented in dashboards and recommendation APIs. Supervised models like propensity to buy and churn prediction are complementary and can be layered later, but clustering and association rules enable fast, high-impact victories using current transaction data.</w:t>
      </w:r>
    </w:p>
    <w:p w14:paraId="4A38B8E2" w14:textId="77777777" w:rsidR="001D1EFE" w:rsidRDefault="00000000">
      <w:pPr>
        <w:pStyle w:val="Heading1"/>
        <w:spacing w:before="240"/>
      </w:pPr>
      <w:r>
        <w:t>5. Predictive Analysis</w:t>
      </w:r>
    </w:p>
    <w:p w14:paraId="7D19A392" w14:textId="77777777" w:rsidR="001D1EFE" w:rsidRDefault="001D1EFE">
      <w:pPr>
        <w:spacing w:after="120"/>
      </w:pPr>
    </w:p>
    <w:p w14:paraId="5BA50056" w14:textId="77777777" w:rsidR="001D1EFE" w:rsidRDefault="00000000">
      <w:pPr>
        <w:pStyle w:val="Heading2"/>
        <w:spacing w:before="160" w:after="120"/>
      </w:pPr>
      <w:r>
        <w:t>Tooling recommendations</w:t>
      </w:r>
    </w:p>
    <w:p w14:paraId="640ADD73" w14:textId="77777777" w:rsidR="001D1EFE" w:rsidRDefault="001D1EFE">
      <w:pPr>
        <w:spacing w:after="120"/>
      </w:pPr>
    </w:p>
    <w:p w14:paraId="0FDE686F" w14:textId="77777777" w:rsidR="001D1EFE" w:rsidRDefault="00000000">
      <w:r>
        <w:t>Given JLP’s Microsoft footprint and mixed analyst personas, a pragmatic stack is:</w:t>
      </w:r>
    </w:p>
    <w:p w14:paraId="62593420" w14:textId="77777777" w:rsidR="001D1EFE" w:rsidRDefault="001D1EFE">
      <w:pPr>
        <w:spacing w:after="120"/>
      </w:pPr>
    </w:p>
    <w:p w14:paraId="1331AC9C" w14:textId="77777777" w:rsidR="001D1EFE" w:rsidRDefault="00000000">
      <w:pPr>
        <w:pStyle w:val="ListParagraph"/>
        <w:numPr>
          <w:ilvl w:val="0"/>
          <w:numId w:val="1"/>
        </w:numPr>
        <w:spacing w:after="100"/>
      </w:pPr>
      <w:r>
        <w:t>Power BI for self-service visualisation with a governed semantic layer (tabular models) and DirectQuery/Import modes for performance.</w:t>
      </w:r>
    </w:p>
    <w:p w14:paraId="73B78F3F" w14:textId="77777777" w:rsidR="001D1EFE" w:rsidRDefault="00000000">
      <w:pPr>
        <w:pStyle w:val="ListParagraph"/>
        <w:numPr>
          <w:ilvl w:val="0"/>
          <w:numId w:val="1"/>
        </w:numPr>
        <w:spacing w:after="100"/>
      </w:pPr>
      <w:r>
        <w:t>Azure Synapse or Snowflake as the cloud DW, with dbt/ELT for transformations.</w:t>
      </w:r>
    </w:p>
    <w:p w14:paraId="63FF5507" w14:textId="77777777" w:rsidR="001D1EFE" w:rsidRDefault="00000000">
      <w:pPr>
        <w:pStyle w:val="ListParagraph"/>
        <w:numPr>
          <w:ilvl w:val="0"/>
          <w:numId w:val="1"/>
        </w:numPr>
        <w:spacing w:after="100"/>
      </w:pPr>
      <w:r>
        <w:t>Python/R notebooks for data science; Azure Machine Learning or Databricks for AutoML, feature stores, and MLOps.</w:t>
      </w:r>
    </w:p>
    <w:p w14:paraId="556DD22C" w14:textId="77777777" w:rsidR="001D1EFE" w:rsidRDefault="00000000">
      <w:pPr>
        <w:pStyle w:val="ListParagraph"/>
        <w:numPr>
          <w:ilvl w:val="0"/>
          <w:numId w:val="1"/>
        </w:numPr>
        <w:spacing w:after="100"/>
      </w:pPr>
      <w:r>
        <w:t>RapidMiner or KNIME for low-code DM projects where citizen data scientists participate.</w:t>
      </w:r>
    </w:p>
    <w:p w14:paraId="7124B9A6" w14:textId="77777777" w:rsidR="001D1EFE" w:rsidRDefault="001D1EFE">
      <w:pPr>
        <w:spacing w:after="120"/>
      </w:pPr>
    </w:p>
    <w:p w14:paraId="28F30314" w14:textId="77777777" w:rsidR="001D1EFE" w:rsidRDefault="00000000">
      <w:pPr>
        <w:pStyle w:val="Heading2"/>
        <w:spacing w:before="160" w:after="120"/>
      </w:pPr>
      <w:r>
        <w:t>Comparison</w:t>
      </w:r>
    </w:p>
    <w:p w14:paraId="0DC9CDCA" w14:textId="77777777" w:rsidR="001D1EFE" w:rsidRDefault="001D1EFE">
      <w:pPr>
        <w:spacing w:after="120"/>
      </w:pPr>
    </w:p>
    <w:p w14:paraId="11E888B7" w14:textId="77777777" w:rsidR="001D1EFE" w:rsidRDefault="00000000">
      <w:pPr>
        <w:pStyle w:val="ListParagraph"/>
        <w:numPr>
          <w:ilvl w:val="0"/>
          <w:numId w:val="1"/>
        </w:numPr>
        <w:spacing w:after="100"/>
      </w:pPr>
      <w:r>
        <w:t>Usability: Power BI offers intuitive authoring and strong DAX modelling; Tableau is renowned for visual expressiveness. For JLP’s enterprise governance and Microsoft integration (AAD, Purview), Power BI aligns well (Marco and Teniente, 2019).</w:t>
      </w:r>
    </w:p>
    <w:p w14:paraId="20D18F27" w14:textId="77777777" w:rsidR="001D1EFE" w:rsidRDefault="00000000">
      <w:pPr>
        <w:pStyle w:val="ListParagraph"/>
        <w:numPr>
          <w:ilvl w:val="0"/>
          <w:numId w:val="1"/>
        </w:numPr>
        <w:spacing w:after="100"/>
      </w:pPr>
      <w:r>
        <w:lastRenderedPageBreak/>
        <w:t>Integration: Azure ML and Databricks integrate natively with Synapse/Snowflake and Power BI, streamlining feature pipelines and model deployment. SPSS excels at classical statistics and is accessible for business users but is less cloud-native.</w:t>
      </w:r>
    </w:p>
    <w:p w14:paraId="226D8743" w14:textId="77777777" w:rsidR="001D1EFE" w:rsidRDefault="00000000">
      <w:pPr>
        <w:pStyle w:val="ListParagraph"/>
        <w:numPr>
          <w:ilvl w:val="0"/>
          <w:numId w:val="1"/>
        </w:numPr>
        <w:spacing w:after="100"/>
      </w:pPr>
      <w:r>
        <w:t>Forecasting/automation: Modern AutoML supports hierarchical time-series (retail-relevant), but production-grade forecasting benefits from feature stores, backtesting, and champion-challenger governance (Sculley et al., 2015).</w:t>
      </w:r>
    </w:p>
    <w:p w14:paraId="5EEAE2BD" w14:textId="77777777" w:rsidR="001D1EFE" w:rsidRDefault="001D1EFE">
      <w:pPr>
        <w:spacing w:after="120"/>
      </w:pPr>
    </w:p>
    <w:p w14:paraId="74095ED9" w14:textId="77777777" w:rsidR="001D1EFE" w:rsidRDefault="00000000">
      <w:pPr>
        <w:pStyle w:val="Heading2"/>
        <w:spacing w:before="160" w:after="120"/>
      </w:pPr>
      <w:r>
        <w:t>Roadmap</w:t>
      </w:r>
    </w:p>
    <w:p w14:paraId="2688A425" w14:textId="77777777" w:rsidR="001D1EFE" w:rsidRDefault="001D1EFE">
      <w:pPr>
        <w:spacing w:after="120"/>
      </w:pPr>
    </w:p>
    <w:p w14:paraId="630DD5EA" w14:textId="77777777" w:rsidR="001D1EFE" w:rsidRPr="001F2F93" w:rsidRDefault="00000000">
      <w:pPr>
        <w:pStyle w:val="Heading2"/>
        <w:spacing w:before="160" w:after="120"/>
        <w:rPr>
          <w:color w:val="000000" w:themeColor="text1"/>
          <w:sz w:val="24"/>
          <w:szCs w:val="24"/>
        </w:rPr>
      </w:pPr>
      <w:r w:rsidRPr="001F2F93">
        <w:rPr>
          <w:color w:val="000000" w:themeColor="text1"/>
          <w:sz w:val="24"/>
          <w:szCs w:val="24"/>
        </w:rPr>
        <w:t>1) Establish semantic models in Power BI over curated marts. 2) Deliver baseline forecasting (store-SKU weekly demand) via Prophet or Auto-ARIMA, then graduate to gradient-boosted trees or deep learning where lift is proven. 3) Implement MLOps: versioned data, reproducible training, CI/CD for models, bias monitoring, and drift alerts. 4) Embed predictions into BI and operations (replenishment, pricing) via scheduled scoring and APIs.</w:t>
      </w:r>
    </w:p>
    <w:p w14:paraId="24D44DDF" w14:textId="77777777" w:rsidR="001D1EFE" w:rsidRDefault="001D1EFE">
      <w:pPr>
        <w:spacing w:after="120"/>
      </w:pPr>
    </w:p>
    <w:p w14:paraId="7FBC3202" w14:textId="77777777" w:rsidR="001D1EFE" w:rsidRDefault="00000000">
      <w:r>
        <w:t>This tooling provides scalability, governance, and familiarity, reducing change friction while enabling sophisticated predictive analytics.</w:t>
      </w:r>
    </w:p>
    <w:p w14:paraId="71D77A4C" w14:textId="77777777" w:rsidR="001D1EFE" w:rsidRDefault="001D1EFE">
      <w:pPr>
        <w:spacing w:after="120"/>
      </w:pPr>
    </w:p>
    <w:p w14:paraId="727BB44F" w14:textId="77777777" w:rsidR="001D1EFE" w:rsidRDefault="00000000">
      <w:pPr>
        <w:pStyle w:val="Heading1"/>
        <w:spacing w:before="240"/>
      </w:pPr>
      <w:r>
        <w:t>6. Ethical and Data Security Considerations</w:t>
      </w:r>
    </w:p>
    <w:p w14:paraId="0EC140E6" w14:textId="77777777" w:rsidR="001D1EFE" w:rsidRDefault="001D1EFE">
      <w:pPr>
        <w:spacing w:after="120"/>
      </w:pPr>
    </w:p>
    <w:p w14:paraId="26E37752" w14:textId="77777777" w:rsidR="001D1EFE" w:rsidRDefault="00000000">
      <w:r>
        <w:t>Compliance with the UK GDPR requires a lawful basis for processing, data minimisation, purpose limitation, and accountability (Information Commissioner’s Office, 2023). For JLP:</w:t>
      </w:r>
    </w:p>
    <w:p w14:paraId="7F654E5D" w14:textId="77777777" w:rsidR="001D1EFE" w:rsidRDefault="001D1EFE">
      <w:pPr>
        <w:spacing w:after="120"/>
      </w:pPr>
    </w:p>
    <w:p w14:paraId="6C7C5439" w14:textId="77777777" w:rsidR="001D1EFE" w:rsidRDefault="00000000">
      <w:pPr>
        <w:pStyle w:val="ListParagraph"/>
        <w:numPr>
          <w:ilvl w:val="0"/>
          <w:numId w:val="1"/>
        </w:numPr>
        <w:spacing w:after="100"/>
      </w:pPr>
      <w:r>
        <w:t>Data ownership, consent, and transparency: Clear privacy notices and granular consent capture for marketing and personalisation; mechanisms for access, rectification, erasure, and portability; records of processing activities.</w:t>
      </w:r>
    </w:p>
    <w:p w14:paraId="78B7F415" w14:textId="77777777" w:rsidR="001D1EFE" w:rsidRDefault="00000000">
      <w:pPr>
        <w:pStyle w:val="ListParagraph"/>
        <w:numPr>
          <w:ilvl w:val="0"/>
          <w:numId w:val="1"/>
        </w:numPr>
        <w:spacing w:after="100"/>
      </w:pPr>
      <w:r>
        <w:t xml:space="preserve">Security controls: Role-based access control (RBAC), least privilege, MFA, network segmentation, and encryption in transit and at rest following NIST-aligned controls </w:t>
      </w:r>
      <w:r>
        <w:lastRenderedPageBreak/>
        <w:t>(NIST, 2018). Data masking and tokenisation protect PII in non-production environments.</w:t>
      </w:r>
    </w:p>
    <w:p w14:paraId="441BC0B1" w14:textId="77777777" w:rsidR="001D1EFE" w:rsidRDefault="00000000">
      <w:pPr>
        <w:pStyle w:val="ListParagraph"/>
        <w:numPr>
          <w:ilvl w:val="0"/>
          <w:numId w:val="1"/>
        </w:numPr>
        <w:spacing w:after="100"/>
      </w:pPr>
      <w:r>
        <w:t>Governance: A data catalogue and lineage (e.g., Microsoft Purview) document source-to-report flows; data quality SLAs ensure metric reliability; a Data Ethics Board reviews high-impact models (e.g., credit/affordability).</w:t>
      </w:r>
    </w:p>
    <w:p w14:paraId="77BC11E6" w14:textId="77777777" w:rsidR="001D1EFE" w:rsidRDefault="00000000">
      <w:pPr>
        <w:pStyle w:val="ListParagraph"/>
        <w:numPr>
          <w:ilvl w:val="0"/>
          <w:numId w:val="1"/>
        </w:numPr>
        <w:spacing w:after="100"/>
      </w:pPr>
      <w:r>
        <w:t>Algorithmic fairness and explainability: Monitor models for disparate impact across protected characteristics, use interpretable techniques (e.g., SHAP) where appropriate, and provide opt-outs for profiling and automated decision-making (Goodman and Flaxman, 2017).</w:t>
      </w:r>
    </w:p>
    <w:p w14:paraId="12DDC5EB" w14:textId="77777777" w:rsidR="001D1EFE" w:rsidRDefault="001D1EFE">
      <w:pPr>
        <w:spacing w:after="120"/>
      </w:pPr>
    </w:p>
    <w:p w14:paraId="60FE75C7" w14:textId="77777777" w:rsidR="001D1EFE" w:rsidRDefault="00000000">
      <w:r>
        <w:t>Embedding privacy by design-from ingestion to dashboard-preserves customer trust while enabling analytics value.</w:t>
      </w:r>
    </w:p>
    <w:p w14:paraId="1CF92FFB" w14:textId="77777777" w:rsidR="001D1EFE" w:rsidRDefault="001D1EFE">
      <w:pPr>
        <w:spacing w:after="120"/>
      </w:pPr>
    </w:p>
    <w:p w14:paraId="1EB27E1D" w14:textId="77777777" w:rsidR="001D1EFE" w:rsidRDefault="00000000">
      <w:pPr>
        <w:pStyle w:val="Heading1"/>
        <w:spacing w:before="240"/>
      </w:pPr>
      <w:r>
        <w:t>7. Reporting and Dashboard Solutions</w:t>
      </w:r>
    </w:p>
    <w:p w14:paraId="409CCE6A" w14:textId="77777777" w:rsidR="001D1EFE" w:rsidRDefault="001D1EFE">
      <w:pPr>
        <w:spacing w:after="120"/>
      </w:pPr>
    </w:p>
    <w:p w14:paraId="5AA794F8" w14:textId="77777777" w:rsidR="001D1EFE" w:rsidRDefault="00000000">
      <w:pPr>
        <w:pStyle w:val="Heading2"/>
        <w:spacing w:before="160" w:after="120"/>
      </w:pPr>
      <w:r>
        <w:t>Recommended BI dashboards</w:t>
      </w:r>
    </w:p>
    <w:p w14:paraId="6A0ACD7A" w14:textId="77777777" w:rsidR="001D1EFE" w:rsidRDefault="001D1EFE">
      <w:pPr>
        <w:spacing w:after="120"/>
      </w:pPr>
    </w:p>
    <w:p w14:paraId="3B79A3ED" w14:textId="77777777" w:rsidR="001D1EFE" w:rsidRDefault="00000000">
      <w:pPr>
        <w:pStyle w:val="ListParagraph"/>
        <w:numPr>
          <w:ilvl w:val="0"/>
          <w:numId w:val="1"/>
        </w:numPr>
        <w:spacing w:after="100"/>
      </w:pPr>
      <w:r>
        <w:t>Commercial Performance: Daily revenue, gross margin, units, AOV, and like-for-like sales with drill-downs by product hierarchy, store/region, and channel. KPI cards with traffic-light thresholds; variance vs. budget and forecast.</w:t>
      </w:r>
    </w:p>
    <w:p w14:paraId="4492966F" w14:textId="77777777" w:rsidR="001D1EFE" w:rsidRDefault="00000000">
      <w:pPr>
        <w:pStyle w:val="ListParagraph"/>
        <w:numPr>
          <w:ilvl w:val="0"/>
          <w:numId w:val="1"/>
        </w:numPr>
        <w:spacing w:after="100"/>
      </w:pPr>
      <w:r>
        <w:t>Supply Chain and Fulfilment: Stock on hand, cover days, stockouts, supplier OTIF (on-time in-full), order cycle time, and returns rate. Heatmaps of inventory risk; alert tiles for SLA breaches.</w:t>
      </w:r>
    </w:p>
    <w:p w14:paraId="46A20A46" w14:textId="77777777" w:rsidR="001D1EFE" w:rsidRDefault="00000000">
      <w:pPr>
        <w:pStyle w:val="ListParagraph"/>
        <w:numPr>
          <w:ilvl w:val="0"/>
          <w:numId w:val="1"/>
        </w:numPr>
        <w:spacing w:after="100"/>
      </w:pPr>
      <w:r>
        <w:t>Customer and Loyalty: Active customers, sign-ups, retention, NPS/CSAT, RFM segment distribution, campaign ROI, and recommendation uptake. Privacy indicators display consent coverage.</w:t>
      </w:r>
    </w:p>
    <w:p w14:paraId="752BE857" w14:textId="77777777" w:rsidR="001D1EFE" w:rsidRDefault="001D1EFE">
      <w:pPr>
        <w:spacing w:after="120"/>
      </w:pPr>
    </w:p>
    <w:p w14:paraId="307D4A04" w14:textId="77777777" w:rsidR="001D1EFE" w:rsidRDefault="00000000">
      <w:pPr>
        <w:pStyle w:val="Heading2"/>
        <w:spacing w:before="160" w:after="120"/>
      </w:pPr>
      <w:r>
        <w:t>Real-time monitoring and decision-making</w:t>
      </w:r>
    </w:p>
    <w:p w14:paraId="518D5165" w14:textId="6B1E4FB7" w:rsidR="001D1EFE" w:rsidRDefault="009A4F28">
      <w:pPr>
        <w:spacing w:after="120"/>
      </w:pPr>
      <w:r w:rsidRPr="009A4F28">
        <w:lastRenderedPageBreak/>
        <w:t>DirectQuery or hybrid tables for hourly refresh of POS and ecommerce metricsStreaming datasets for crucial events (e.g. site failures). Role level security ensures that CEOs, regional managers, and store leaders only view the data relevant to them. Key KPIs for JLP are: Sales growth %; Gross margin %; Online conversion %; Stockout rate; OTIF %; AOV; Customer retention %; Return rate. Store leaders can access live metrics on the shop floor with mobile optimised views.</w:t>
      </w:r>
    </w:p>
    <w:p w14:paraId="696C6172" w14:textId="77777777" w:rsidR="001D1EFE" w:rsidRDefault="001D1EFE">
      <w:pPr>
        <w:spacing w:after="120"/>
      </w:pPr>
    </w:p>
    <w:p w14:paraId="7DE33385" w14:textId="77777777" w:rsidR="001D1EFE" w:rsidRDefault="00000000">
      <w:pPr>
        <w:pStyle w:val="Heading1"/>
        <w:spacing w:before="240"/>
      </w:pPr>
      <w:r>
        <w:t>8. Conclusion</w:t>
      </w:r>
    </w:p>
    <w:p w14:paraId="1652946F" w14:textId="209E6A86" w:rsidR="009A4F28" w:rsidRPr="009A4F28" w:rsidRDefault="009A4F28">
      <w:pPr>
        <w:pStyle w:val="Heading1"/>
        <w:spacing w:before="240"/>
        <w:rPr>
          <w:color w:val="000000" w:themeColor="text1"/>
          <w:sz w:val="24"/>
          <w:szCs w:val="24"/>
        </w:rPr>
      </w:pPr>
      <w:r w:rsidRPr="009A4F28">
        <w:rPr>
          <w:color w:val="000000" w:themeColor="text1"/>
          <w:sz w:val="24"/>
          <w:szCs w:val="24"/>
        </w:rPr>
        <w:t>The cloud-based DW will integrate data from POS, ecommerce, supply chain and loyalty into managed dimensional models, allowing JLP to make better decisions and improve operational efficiency. Data mining techniques like clustering and association rules provide immediate commercial value through targeted marketing, cross-sell and localised assortments. Reduce event-to-action latency with real-time ingestion and self-service BI. Scalable forecasting and personalisation with Power BI, Synapse/Snowflake, Azure ML/Databricks, pragmatic predictive analytics architecture, and solid MLOps. Trust requires UK GDPR privacy by design, access controls, encryption and model governance. Recommended dashboards display live business, supply chain, customer and e-commerce KPIs. “In a data driven retail world, the roadmap is a combination of quick wins and strategic foundations to set JLP up for success.</w:t>
      </w:r>
    </w:p>
    <w:p w14:paraId="7F719B98" w14:textId="77777777" w:rsidR="001D1EFE" w:rsidRDefault="00000000">
      <w:pPr>
        <w:pStyle w:val="Heading1"/>
        <w:spacing w:before="240"/>
      </w:pPr>
      <w:r>
        <w:t>References</w:t>
      </w:r>
    </w:p>
    <w:p w14:paraId="446B130D" w14:textId="77777777" w:rsidR="001D1EFE" w:rsidRDefault="001D1EFE">
      <w:pPr>
        <w:spacing w:after="120"/>
      </w:pPr>
    </w:p>
    <w:p w14:paraId="5AC6A4E0" w14:textId="77777777" w:rsidR="001D1EFE" w:rsidRDefault="00000000">
      <w:r>
        <w:t>Agrawal, R. and Srikant, R. (1994) ‘Fast algorithms for mining association rules’, Proceedings of the 20th VLDB Conference, pp. 487-499.</w:t>
      </w:r>
    </w:p>
    <w:p w14:paraId="11B00656" w14:textId="77777777" w:rsidR="001D1EFE" w:rsidRDefault="001D1EFE">
      <w:pPr>
        <w:spacing w:after="120"/>
      </w:pPr>
    </w:p>
    <w:p w14:paraId="28EFC65E" w14:textId="77777777" w:rsidR="001D1EFE" w:rsidRDefault="00000000">
      <w:r>
        <w:t>Armbrust, M., Ghodsi, A., Xin, R.S., Zaharia, M. et al. (2021) ‘Delta Lake: High-performance ACID table storage over cloud object stores’, Proceedings of VLDB, 13(12), pp. 3411-3424.</w:t>
      </w:r>
    </w:p>
    <w:p w14:paraId="1199D5AC" w14:textId="77777777" w:rsidR="001D1EFE" w:rsidRDefault="001D1EFE">
      <w:pPr>
        <w:spacing w:after="120"/>
      </w:pPr>
    </w:p>
    <w:p w14:paraId="55A6F2F0" w14:textId="77777777" w:rsidR="001D1EFE" w:rsidRDefault="00000000">
      <w:r>
        <w:t>Dageville, B., Cruanes, T. and Zukowski, M. (2016) ‘The Snowflake Elastic Data Warehouse’, Proceedings of the 2016 SIGMOD Conference, pp. 215-226.</w:t>
      </w:r>
    </w:p>
    <w:p w14:paraId="00C2B7A9" w14:textId="77777777" w:rsidR="001D1EFE" w:rsidRDefault="001D1EFE">
      <w:pPr>
        <w:spacing w:after="120"/>
      </w:pPr>
    </w:p>
    <w:p w14:paraId="490C7309" w14:textId="77777777" w:rsidR="001D1EFE" w:rsidRDefault="00000000">
      <w:r>
        <w:t>Dwork, C. (2008) ‘Differential privacy: A survey of results’, Theory and Applications of Models of Computation, pp. 1-19.</w:t>
      </w:r>
    </w:p>
    <w:p w14:paraId="7DA5F34A" w14:textId="77777777" w:rsidR="001D1EFE" w:rsidRDefault="001D1EFE">
      <w:pPr>
        <w:spacing w:after="120"/>
      </w:pPr>
    </w:p>
    <w:p w14:paraId="62734D13" w14:textId="77777777" w:rsidR="001D1EFE" w:rsidRDefault="00000000">
      <w:r>
        <w:t>Goodman, B. and Flaxman, S. (2017) ‘European Union regulations on algorithmic decision-making and a “right to explanation”’, AI Magazine, 38(3), pp. 50-57.</w:t>
      </w:r>
    </w:p>
    <w:p w14:paraId="7C60C105" w14:textId="77777777" w:rsidR="001D1EFE" w:rsidRDefault="001D1EFE">
      <w:pPr>
        <w:spacing w:after="120"/>
      </w:pPr>
    </w:p>
    <w:p w14:paraId="26D9C4F8" w14:textId="77777777" w:rsidR="001D1EFE" w:rsidRDefault="00000000">
      <w:r>
        <w:t>Han, J., Kamber, M. and Pei, J. (2012) Data Mining: Concepts and Techniques. 3rd edn. Waltham, MA: Morgan Kaufmann.</w:t>
      </w:r>
    </w:p>
    <w:p w14:paraId="0B662428" w14:textId="77777777" w:rsidR="001D1EFE" w:rsidRDefault="001D1EFE">
      <w:pPr>
        <w:spacing w:after="120"/>
      </w:pPr>
    </w:p>
    <w:p w14:paraId="6885BFA3" w14:textId="77777777" w:rsidR="001D1EFE" w:rsidRDefault="00000000">
      <w:r>
        <w:t>Information Commissioner’s Office (ICO) (2023) Guide to the UK General Data Protection Regulation (UK GDPR). Available at: https://ico.org.uk (Accessed: 27 June 2026).</w:t>
      </w:r>
    </w:p>
    <w:p w14:paraId="6E15B763" w14:textId="77777777" w:rsidR="001D1EFE" w:rsidRDefault="001D1EFE">
      <w:pPr>
        <w:spacing w:after="120"/>
      </w:pPr>
    </w:p>
    <w:p w14:paraId="522955BD" w14:textId="77777777" w:rsidR="001D1EFE" w:rsidRDefault="00000000">
      <w:r>
        <w:t>Inmon, W.H. (2005) Building the Data Warehouse. 4th edn. Indianapolis, IN: Wiley.</w:t>
      </w:r>
    </w:p>
    <w:p w14:paraId="16CB0868" w14:textId="77777777" w:rsidR="001D1EFE" w:rsidRDefault="001D1EFE">
      <w:pPr>
        <w:spacing w:after="120"/>
      </w:pPr>
    </w:p>
    <w:p w14:paraId="060E41F8" w14:textId="77777777" w:rsidR="001D1EFE" w:rsidRDefault="00000000">
      <w:r>
        <w:t>Kimball, R. and Ross, M. (2013) The Data Warehouse Toolkit: The Definitive Guide to Dimensional Modeling. 3rd edn. Hoboken, NJ: Wiley.</w:t>
      </w:r>
    </w:p>
    <w:p w14:paraId="6C0585CE" w14:textId="77777777" w:rsidR="001D1EFE" w:rsidRDefault="001D1EFE">
      <w:pPr>
        <w:spacing w:after="120"/>
      </w:pPr>
    </w:p>
    <w:p w14:paraId="2AEB3150" w14:textId="77777777" w:rsidR="001D1EFE" w:rsidRDefault="00000000">
      <w:r>
        <w:t>Marco, J. and Teniente, E. (2019) ‘Evaluation of self-service BI tools: A comparative study of Power BI, Qlik and Tableau’, Journal of Decision Systems, 28(2), pp. 1-12.</w:t>
      </w:r>
    </w:p>
    <w:p w14:paraId="1BCF9F1C" w14:textId="77777777" w:rsidR="001D1EFE" w:rsidRDefault="001D1EFE">
      <w:pPr>
        <w:spacing w:after="120"/>
      </w:pPr>
    </w:p>
    <w:p w14:paraId="0717AEDF" w14:textId="77777777" w:rsidR="001D1EFE" w:rsidRDefault="00000000">
      <w:r>
        <w:t>NIST (2018) Framework for Improving Critical Infrastructure Cybersecurity, Version 1.1. Gaithersburg, MD: National Institute of Standards and Technology.</w:t>
      </w:r>
    </w:p>
    <w:p w14:paraId="329C4F3E" w14:textId="77777777" w:rsidR="001D1EFE" w:rsidRDefault="001D1EFE">
      <w:pPr>
        <w:spacing w:after="120"/>
      </w:pPr>
    </w:p>
    <w:p w14:paraId="3198DA23" w14:textId="77777777" w:rsidR="001D1EFE" w:rsidRDefault="00000000">
      <w:r>
        <w:t>Palfrey, J. and Gasser, U. (2012) Interop: The Promise and Perils of Highly Interconnected Systems. New York: Basic Books.</w:t>
      </w:r>
    </w:p>
    <w:p w14:paraId="4FF537AC" w14:textId="77777777" w:rsidR="001D1EFE" w:rsidRDefault="001D1EFE">
      <w:pPr>
        <w:spacing w:after="120"/>
      </w:pPr>
    </w:p>
    <w:p w14:paraId="0D659BDA" w14:textId="77777777" w:rsidR="001D1EFE" w:rsidRDefault="00000000">
      <w:r>
        <w:lastRenderedPageBreak/>
        <w:t>Rud, O.P. (2009) Business Intelligence Success Factors: Tools for Aligning Your Business in the Global Economy. Hoboken, NJ: Wiley.</w:t>
      </w:r>
    </w:p>
    <w:p w14:paraId="0E18AFEC" w14:textId="77777777" w:rsidR="001D1EFE" w:rsidRDefault="001D1EFE">
      <w:pPr>
        <w:spacing w:after="120"/>
      </w:pPr>
    </w:p>
    <w:p w14:paraId="6421AD46" w14:textId="77777777" w:rsidR="001D1EFE" w:rsidRDefault="00000000">
      <w:r>
        <w:t>Sculley, D., Holt, G., Golovin, D., Davydov, E. et al. (2015) ‘Hidden technical debt in machine learning systems’, Advances in Neural Information Processing Systems (NIPS), pp. 2503-2511.</w:t>
      </w:r>
    </w:p>
    <w:p w14:paraId="7B014DA3" w14:textId="77777777" w:rsidR="001D1EFE" w:rsidRDefault="001D1EFE">
      <w:pPr>
        <w:spacing w:after="120"/>
      </w:pPr>
    </w:p>
    <w:p w14:paraId="7C0C660A" w14:textId="77777777" w:rsidR="001D1EFE" w:rsidRDefault="00000000">
      <w:r>
        <w:t>Stonebraker, M. (2015) ‘The case for polystores’, ACM SIGMOD Record, 44(2), pp. 4-9.</w:t>
      </w:r>
    </w:p>
    <w:p w14:paraId="02B38958" w14:textId="77777777" w:rsidR="001D1EFE" w:rsidRDefault="001D1EFE">
      <w:pPr>
        <w:spacing w:after="120"/>
      </w:pPr>
    </w:p>
    <w:p w14:paraId="3CA8A440" w14:textId="77777777" w:rsidR="001D1EFE" w:rsidRDefault="00000000">
      <w:r>
        <w:t>Wirth, R. and Hipp, J. (2000) ‘CRISP-DM: Towards a standard process model for data mining’, Proceedings of the 4th International Conference on the Practical Applications of Knowledge Discovery and Data Mining, pp. 29-39.</w:t>
      </w:r>
    </w:p>
    <w:p w14:paraId="2CB1F655" w14:textId="77777777" w:rsidR="001D1EFE" w:rsidRDefault="001D1EFE">
      <w:pPr>
        <w:spacing w:after="120"/>
      </w:pPr>
    </w:p>
    <w:sectPr w:rsidR="001D1EFE">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40789"/>
    <w:multiLevelType w:val="hybridMultilevel"/>
    <w:tmpl w:val="1ABCF3E2"/>
    <w:lvl w:ilvl="0" w:tplc="E9AAC99C">
      <w:start w:val="1"/>
      <w:numFmt w:val="bullet"/>
      <w:lvlText w:val="●"/>
      <w:lvlJc w:val="left"/>
      <w:pPr>
        <w:ind w:left="720" w:hanging="360"/>
      </w:pPr>
    </w:lvl>
    <w:lvl w:ilvl="1" w:tplc="0BF2913C">
      <w:start w:val="1"/>
      <w:numFmt w:val="bullet"/>
      <w:lvlText w:val="○"/>
      <w:lvlJc w:val="left"/>
      <w:pPr>
        <w:ind w:left="1440" w:hanging="360"/>
      </w:pPr>
    </w:lvl>
    <w:lvl w:ilvl="2" w:tplc="3F0C0E76">
      <w:start w:val="1"/>
      <w:numFmt w:val="bullet"/>
      <w:lvlText w:val="■"/>
      <w:lvlJc w:val="left"/>
      <w:pPr>
        <w:ind w:left="2160" w:hanging="360"/>
      </w:pPr>
    </w:lvl>
    <w:lvl w:ilvl="3" w:tplc="1F1A6A2C">
      <w:start w:val="1"/>
      <w:numFmt w:val="bullet"/>
      <w:lvlText w:val="●"/>
      <w:lvlJc w:val="left"/>
      <w:pPr>
        <w:ind w:left="2880" w:hanging="360"/>
      </w:pPr>
    </w:lvl>
    <w:lvl w:ilvl="4" w:tplc="A63AA9B2">
      <w:start w:val="1"/>
      <w:numFmt w:val="bullet"/>
      <w:lvlText w:val="○"/>
      <w:lvlJc w:val="left"/>
      <w:pPr>
        <w:ind w:left="3600" w:hanging="360"/>
      </w:pPr>
    </w:lvl>
    <w:lvl w:ilvl="5" w:tplc="B47C6E34">
      <w:start w:val="1"/>
      <w:numFmt w:val="bullet"/>
      <w:lvlText w:val="■"/>
      <w:lvlJc w:val="left"/>
      <w:pPr>
        <w:ind w:left="4320" w:hanging="360"/>
      </w:pPr>
    </w:lvl>
    <w:lvl w:ilvl="6" w:tplc="56649D32">
      <w:start w:val="1"/>
      <w:numFmt w:val="bullet"/>
      <w:lvlText w:val="●"/>
      <w:lvlJc w:val="left"/>
      <w:pPr>
        <w:ind w:left="5040" w:hanging="360"/>
      </w:pPr>
    </w:lvl>
    <w:lvl w:ilvl="7" w:tplc="1B6447CC">
      <w:start w:val="1"/>
      <w:numFmt w:val="bullet"/>
      <w:lvlText w:val="●"/>
      <w:lvlJc w:val="left"/>
      <w:pPr>
        <w:ind w:left="5760" w:hanging="360"/>
      </w:pPr>
    </w:lvl>
    <w:lvl w:ilvl="8" w:tplc="CBD8C0CE">
      <w:start w:val="1"/>
      <w:numFmt w:val="bullet"/>
      <w:lvlText w:val="●"/>
      <w:lvlJc w:val="left"/>
      <w:pPr>
        <w:ind w:left="6480" w:hanging="360"/>
      </w:pPr>
    </w:lvl>
  </w:abstractNum>
  <w:num w:numId="1" w16cid:durableId="50366986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1EFE"/>
    <w:rsid w:val="001D1EFE"/>
    <w:rsid w:val="001F2F93"/>
    <w:rsid w:val="00623E54"/>
    <w:rsid w:val="00766AF7"/>
    <w:rsid w:val="009A4F28"/>
    <w:rsid w:val="00BB3912"/>
    <w:rsid w:val="00E55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A001E"/>
  <w15:docId w15:val="{9D55C6BC-AB67-4DAB-90BF-9A6900298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after="0"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customStyle="1" w:styleId="Heading1Custom">
    <w:name w:val="Heading 1 Custom"/>
    <w:qFormat/>
    <w:pPr>
      <w:spacing w:before="240"/>
    </w:pPr>
    <w:rPr>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2224</Words>
  <Characters>12678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Muhammad Touseef (2319373)</cp:lastModifiedBy>
  <cp:revision>3</cp:revision>
  <dcterms:created xsi:type="dcterms:W3CDTF">2026-06-27T21:40:00Z</dcterms:created>
  <dcterms:modified xsi:type="dcterms:W3CDTF">2026-06-27T21:41:00Z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4a99343d-f72d-497d-bd16-1c1034683882</vt:lpwstr>
  </property>
</Properties>
</file>