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3672B8" w14:textId="4160E17F" w:rsidR="00C60F36" w:rsidRDefault="00C60F36" w:rsidP="00C60F36">
      <w:pPr>
        <w:ind w:left="360" w:hanging="360"/>
        <w:jc w:val="center"/>
        <w:rPr>
          <w:b/>
          <w:bCs/>
          <w:sz w:val="36"/>
          <w:szCs w:val="40"/>
        </w:rPr>
      </w:pPr>
      <w:bookmarkStart w:id="0" w:name="OLE_LINK60"/>
      <w:r w:rsidRPr="00C60F36">
        <w:rPr>
          <w:b/>
          <w:bCs/>
          <w:sz w:val="36"/>
          <w:szCs w:val="40"/>
        </w:rPr>
        <w:t>A Critical Analysis of Ye Zi’s Chinese Translation of The Yellow Wallpaper</w:t>
      </w:r>
    </w:p>
    <w:bookmarkEnd w:id="0"/>
    <w:p w14:paraId="40532BB0" w14:textId="57CF7233" w:rsidR="00C60F36" w:rsidRPr="00C60F36" w:rsidRDefault="00C60F36" w:rsidP="00C60F36">
      <w:pPr>
        <w:ind w:left="360" w:hanging="360"/>
        <w:jc w:val="center"/>
        <w:rPr>
          <w:szCs w:val="22"/>
        </w:rPr>
      </w:pPr>
      <w:r w:rsidRPr="00C60F36">
        <w:rPr>
          <w:rFonts w:hint="eastAsia"/>
          <w:szCs w:val="22"/>
        </w:rPr>
        <w:t>Puyang Sun 2405847</w:t>
      </w:r>
    </w:p>
    <w:p w14:paraId="0F353733" w14:textId="21E589E5" w:rsidR="00AD380C" w:rsidRPr="00724BCA" w:rsidRDefault="00AD380C" w:rsidP="00724BCA">
      <w:pPr>
        <w:pStyle w:val="a9"/>
        <w:numPr>
          <w:ilvl w:val="0"/>
          <w:numId w:val="1"/>
        </w:numPr>
        <w:rPr>
          <w:b/>
          <w:bCs/>
        </w:rPr>
      </w:pPr>
      <w:r w:rsidRPr="00724BCA">
        <w:rPr>
          <w:b/>
          <w:bCs/>
        </w:rPr>
        <w:t>Introduction</w:t>
      </w:r>
    </w:p>
    <w:p w14:paraId="56925028" w14:textId="7140EAC6" w:rsidR="001A339B" w:rsidRDefault="00AD380C" w:rsidP="00AD380C">
      <w:r w:rsidRPr="00AD380C">
        <w:t xml:space="preserve">Charlotte Perkins Gilman’s </w:t>
      </w:r>
      <w:bookmarkStart w:id="1" w:name="OLE_LINK55"/>
      <w:r w:rsidRPr="00DF603A">
        <w:rPr>
          <w:i/>
          <w:iCs/>
        </w:rPr>
        <w:t>The Yellow Wallpaper</w:t>
      </w:r>
      <w:bookmarkEnd w:id="1"/>
      <w:r w:rsidRPr="00AD380C">
        <w:t xml:space="preserve"> (1892) stands as a foundational pillar of feminist literature, offering a searing critique of the 19th-century </w:t>
      </w:r>
      <w:r w:rsidR="002E667D">
        <w:t>“</w:t>
      </w:r>
      <w:r w:rsidRPr="00AD380C">
        <w:t>rest cure</w:t>
      </w:r>
      <w:r w:rsidR="002E667D">
        <w:t>”</w:t>
      </w:r>
      <w:r w:rsidRPr="00AD380C">
        <w:t xml:space="preserve"> and the patriarchal confinement of women within the domestic sphere. Beyond its gothic undertones, the story’s significance lies in its sophisticated narrative technique—a first-person, fragmentary journal entry that charts the protagonist’s psychological disintegration and eventual, albeit tragic, liberation. This portfolio does not seek to provide a new translation; rather, it functions as a critical inquiry into an existing Chinese rendition by Ye Zi, published by Beijing United Publishing Co., Ltd. in 2025. By positioning Ye Zi’s work as the primary object of analysis, this study examines how translation acts as a site of ideological negotiation (von Flotow, 1991). The analysis specifically focuses on how the translator navigates the protagonist’s narrative voice and psychological representation, investigating the extent to which translation choices shape the feminist implications of the </w:t>
      </w:r>
      <w:r w:rsidR="004630C9">
        <w:rPr>
          <w:rFonts w:hint="eastAsia"/>
        </w:rPr>
        <w:t>source text</w:t>
      </w:r>
      <w:r w:rsidR="004630C9">
        <w:t xml:space="preserve"> (</w:t>
      </w:r>
      <w:r w:rsidR="00DF603A">
        <w:t>ST</w:t>
      </w:r>
      <w:r w:rsidR="004630C9">
        <w:t>)</w:t>
      </w:r>
      <w:r w:rsidRPr="00AD380C">
        <w:t xml:space="preserve">. This paper argues that while Ye Zi’s translation achieves high linguistic fluency, its tendency toward syntactic coherence occasionally risks smoothing over the protagonist’s </w:t>
      </w:r>
      <w:r w:rsidR="002E667D">
        <w:t>“</w:t>
      </w:r>
      <w:r w:rsidRPr="00AD380C">
        <w:t>staccato</w:t>
      </w:r>
      <w:r w:rsidR="002E667D">
        <w:t>”</w:t>
      </w:r>
      <w:r w:rsidRPr="00AD380C">
        <w:t xml:space="preserve"> psychological breakdown. Consequently, this study posits that the tension between translation fluency and the preservation of psychological fragmentation is central to maintaining the text</w:t>
      </w:r>
      <w:r w:rsidR="002E667D">
        <w:t>’</w:t>
      </w:r>
      <w:r w:rsidRPr="00AD380C">
        <w:t>s subversive feminist power.</w:t>
      </w:r>
    </w:p>
    <w:p w14:paraId="4307E57B" w14:textId="0A066046" w:rsidR="004A0D8B" w:rsidRPr="00724BCA" w:rsidRDefault="004A0D8B" w:rsidP="00724BCA">
      <w:pPr>
        <w:pStyle w:val="a9"/>
        <w:numPr>
          <w:ilvl w:val="0"/>
          <w:numId w:val="1"/>
        </w:numPr>
        <w:rPr>
          <w:b/>
          <w:bCs/>
        </w:rPr>
      </w:pPr>
      <w:r w:rsidRPr="00724BCA">
        <w:rPr>
          <w:rFonts w:hint="eastAsia"/>
          <w:b/>
          <w:bCs/>
        </w:rPr>
        <w:t>Text and Translation Context</w:t>
      </w:r>
    </w:p>
    <w:p w14:paraId="1AE97C80" w14:textId="638721BB" w:rsidR="00363D79" w:rsidRDefault="00363D79" w:rsidP="00363D79">
      <w:r>
        <w:t xml:space="preserve">The </w:t>
      </w:r>
      <w:r w:rsidR="00DF603A">
        <w:t>ST</w:t>
      </w:r>
      <w:r>
        <w:t xml:space="preserve">, </w:t>
      </w:r>
      <w:r w:rsidRPr="002E667D">
        <w:rPr>
          <w:i/>
          <w:iCs/>
        </w:rPr>
        <w:t>The Yellow Wallpaper</w:t>
      </w:r>
      <w:r>
        <w:t xml:space="preserve">, is inextricably linked to the repressive socio-medical landscape of the late 19th century. It functions as a subversive response to the </w:t>
      </w:r>
      <w:r w:rsidR="002E667D">
        <w:t>“</w:t>
      </w:r>
      <w:r>
        <w:t>rest cure</w:t>
      </w:r>
      <w:r w:rsidR="002E667D">
        <w:t>”</w:t>
      </w:r>
      <w:r>
        <w:t xml:space="preserve">—a treatment devised by Dr. Silas Weir Mitchell that mandated complete intellectual passivity for women diagnosed with neurasthenia. As Gilbert and </w:t>
      </w:r>
      <w:proofErr w:type="spellStart"/>
      <w:r>
        <w:t>Gubar</w:t>
      </w:r>
      <w:proofErr w:type="spellEnd"/>
      <w:r>
        <w:t xml:space="preserve"> (1979) famously argued in The Madwoman in the Attic, such nineteenth-century literary themes often reflect the literal and figurative imprisonment of female creativity within patriarchal domesticity. By pathologizing the female </w:t>
      </w:r>
      <w:r>
        <w:lastRenderedPageBreak/>
        <w:t xml:space="preserve">desire for intellectual autonomy, the medical discourse of Gilman’s era sought to reinforce the </w:t>
      </w:r>
      <w:r w:rsidR="002E667D">
        <w:t>“</w:t>
      </w:r>
      <w:r>
        <w:t>cult of domesticity,</w:t>
      </w:r>
      <w:r w:rsidR="002E667D">
        <w:t>”</w:t>
      </w:r>
      <w:r>
        <w:t xml:space="preserve"> rendering the protagonist’s bedroom both a site of healing and a site of incarceration. Consequently, the wallpaper itself becomes a complex semiotic landscape, representing the tangled web of Victorian gender roles that the narrator must decipher to reclaim her agency.</w:t>
      </w:r>
    </w:p>
    <w:p w14:paraId="3B7DAE48" w14:textId="7179A55E" w:rsidR="00363D79" w:rsidRDefault="00363D79" w:rsidP="00363D79">
      <w:r>
        <w:t xml:space="preserve">Translating this narrative presents profound stylistic challenges, as Gilman’s prose is a deliberate departure from the florid, linear realism of her contemporaries. The text utilizes a first-person, fragmentary diary form to establish an </w:t>
      </w:r>
      <w:r w:rsidR="002E667D">
        <w:t>“</w:t>
      </w:r>
      <w:r>
        <w:t>unreliable narrator</w:t>
      </w:r>
      <w:r w:rsidR="002E667D">
        <w:t>”</w:t>
      </w:r>
      <w:r>
        <w:t xml:space="preserve"> whose mental state is mirrored through </w:t>
      </w:r>
      <w:r w:rsidR="002E667D">
        <w:t>“</w:t>
      </w:r>
      <w:r>
        <w:t>staccato</w:t>
      </w:r>
      <w:r w:rsidR="002E667D">
        <w:t>”</w:t>
      </w:r>
      <w:r>
        <w:t xml:space="preserve"> syntax, obsessive repetition, and abrupt thematic shifts. These linguistic ruptures are not mere aesthetic choices; they represent the breakdown of patriarchal grammar under the weight of suppressed female experience. For a translator, the difficulty lies in preserving this </w:t>
      </w:r>
      <w:r w:rsidR="002E667D">
        <w:t>“</w:t>
      </w:r>
      <w:r>
        <w:t>nervous</w:t>
      </w:r>
      <w:r w:rsidR="002E667D">
        <w:t>”</w:t>
      </w:r>
      <w:r>
        <w:t xml:space="preserve"> energy without appearing </w:t>
      </w:r>
      <w:r w:rsidR="002E667D">
        <w:t>“</w:t>
      </w:r>
      <w:r>
        <w:t>unskilled</w:t>
      </w:r>
      <w:r w:rsidR="002E667D">
        <w:t>”</w:t>
      </w:r>
      <w:r>
        <w:t xml:space="preserve"> in the target language.</w:t>
      </w:r>
    </w:p>
    <w:p w14:paraId="2F8C53EC" w14:textId="646125FA" w:rsidR="00363D79" w:rsidRDefault="00363D79" w:rsidP="00363D79">
      <w:r>
        <w:t xml:space="preserve">The analysis focuses on the 2025 translation by Ye Zi, published by Beijing United Publishing Co., Ltd. </w:t>
      </w:r>
      <w:r w:rsidR="00261BA7" w:rsidRPr="00261BA7">
        <w:t>This version can be read as a representative example of contemporary Chinese literary translation, which increasingly prioritizes fluency and readability.</w:t>
      </w:r>
      <w:r>
        <w:t xml:space="preserve"> Ye Zi’s rendition is characterized by a high degree of linguistic standardization and fluency, aligning with what Lawrence Venuti (20</w:t>
      </w:r>
      <w:r w:rsidR="00102E98">
        <w:rPr>
          <w:rFonts w:hint="eastAsia"/>
        </w:rPr>
        <w:t>1</w:t>
      </w:r>
      <w:r>
        <w:t xml:space="preserve">8) identifies as the </w:t>
      </w:r>
      <w:r w:rsidR="002E667D">
        <w:t>“</w:t>
      </w:r>
      <w:r>
        <w:t>translator’s invisibility.</w:t>
      </w:r>
      <w:r w:rsidR="002E667D">
        <w:t>”</w:t>
      </w:r>
      <w:r>
        <w:t xml:space="preserve"> While this approach facilitates a smoother reading experience for a 21st-century Chinese audience, it invites a critical examination of whether the radical, jagged edges of Gilman’s original feminist </w:t>
      </w:r>
      <w:r w:rsidR="002E667D">
        <w:t>“</w:t>
      </w:r>
      <w:r>
        <w:t>shriek</w:t>
      </w:r>
      <w:r w:rsidR="002E667D">
        <w:t>”</w:t>
      </w:r>
      <w:r>
        <w:t xml:space="preserve"> are smoothed over by modern translational norms. By analyzing Ye Zi’s work, this study does not aim to offer a prescriptive critique of </w:t>
      </w:r>
      <w:r w:rsidR="002E667D">
        <w:t>“</w:t>
      </w:r>
      <w:r>
        <w:t>accuracy,</w:t>
      </w:r>
      <w:r w:rsidR="002E667D">
        <w:t>”</w:t>
      </w:r>
      <w:r>
        <w:t xml:space="preserve"> but rather to investigate how Gilman’s 19th-century feminist urgency is </w:t>
      </w:r>
      <w:r w:rsidR="002E667D">
        <w:t>“</w:t>
      </w:r>
      <w:r>
        <w:t>rewritten</w:t>
      </w:r>
      <w:r w:rsidR="002E667D">
        <w:t>”</w:t>
      </w:r>
      <w:r>
        <w:t xml:space="preserve"> (Lefevere, 1992) to fit the aesthetic and ideological expectations of the modern Chinese reader.</w:t>
      </w:r>
    </w:p>
    <w:p w14:paraId="7567EA33" w14:textId="7B5FE107" w:rsidR="00A43962" w:rsidRPr="00C14F12" w:rsidRDefault="00A43962" w:rsidP="00A43962">
      <w:pPr>
        <w:pStyle w:val="a9"/>
        <w:numPr>
          <w:ilvl w:val="0"/>
          <w:numId w:val="1"/>
        </w:numPr>
        <w:rPr>
          <w:b/>
          <w:bCs/>
        </w:rPr>
      </w:pPr>
      <w:r w:rsidRPr="00C14F12">
        <w:rPr>
          <w:rFonts w:hint="eastAsia"/>
          <w:b/>
          <w:bCs/>
        </w:rPr>
        <w:t>Analytical Focus &amp; Framework</w:t>
      </w:r>
    </w:p>
    <w:p w14:paraId="0000002A" w14:textId="65632493" w:rsidR="00102E98" w:rsidRDefault="00102E98" w:rsidP="00102E98">
      <w:r>
        <w:t xml:space="preserve">This study adopts a qualitative, text-based approach to examine how Ye Zi’s (2025) translation reconstructs the psychological and feminist landscape of </w:t>
      </w:r>
      <w:r w:rsidRPr="002E667D">
        <w:rPr>
          <w:i/>
          <w:iCs/>
        </w:rPr>
        <w:t>The Yellow Wallpaper</w:t>
      </w:r>
      <w:r>
        <w:t xml:space="preserve">. Rather than employing a prescriptive </w:t>
      </w:r>
      <w:r w:rsidR="002E667D">
        <w:t>“</w:t>
      </w:r>
      <w:r>
        <w:t>error analysis</w:t>
      </w:r>
      <w:r w:rsidR="002E667D">
        <w:t>”</w:t>
      </w:r>
      <w:r>
        <w:t xml:space="preserve"> to judge the correctness of the Chinese rendition, this framework treats translation as a dynamic </w:t>
      </w:r>
      <w:r w:rsidR="002E667D">
        <w:t>“</w:t>
      </w:r>
      <w:r>
        <w:t>meaning-shaping practice</w:t>
      </w:r>
      <w:r w:rsidR="002E667D">
        <w:t>”</w:t>
      </w:r>
      <w:r>
        <w:t xml:space="preserve"> (Simon, 1996). The </w:t>
      </w:r>
      <w:r>
        <w:lastRenderedPageBreak/>
        <w:t>central objective is to investigate how specific linguistic shifts in the target text redefine the reader’s interpretation of the protagonist’s agency and mental state. To achieve this, the analysis is organized around three interconnected dimensions that capture the essence of Gilman’s narrative innovation and its subsequent transformation in the Chinese context.</w:t>
      </w:r>
    </w:p>
    <w:p w14:paraId="1B12F525" w14:textId="3EB82903" w:rsidR="00102E98" w:rsidRDefault="00102E98" w:rsidP="00102E98">
      <w:r>
        <w:t xml:space="preserve">First, the analysis examines narrative voice and sentence structure. In the </w:t>
      </w:r>
      <w:r w:rsidR="00DF603A">
        <w:t>ST</w:t>
      </w:r>
      <w:r>
        <w:t xml:space="preserve">, Gilman employs a </w:t>
      </w:r>
      <w:r w:rsidR="00691AA6">
        <w:t>“</w:t>
      </w:r>
      <w:r>
        <w:t>staccato</w:t>
      </w:r>
      <w:r w:rsidR="00691AA6">
        <w:t>”</w:t>
      </w:r>
      <w:r>
        <w:t xml:space="preserve"> style characterized by brief, fragmented paragraphs and frequent ruptures in syntax. This stylistic choice is intrinsically linked to the protagonist’s forced isolation; it mirrors the secret, hurried nature of her diary writing. The study will explore whether the 2025 translation’s tendency toward syntactic fluidity alters this </w:t>
      </w:r>
      <w:r w:rsidR="00691AA6">
        <w:t>“</w:t>
      </w:r>
      <w:r>
        <w:t>nervous</w:t>
      </w:r>
      <w:r w:rsidR="00691AA6">
        <w:t>”</w:t>
      </w:r>
      <w:r>
        <w:t xml:space="preserve"> narrative energy, potentially transforming a fractured consciousness into a more conventionally coherent persona. The focus here is on how the structural rhythm of the prose dictates the reader’s proximity to the narrator’s interiority.</w:t>
      </w:r>
    </w:p>
    <w:p w14:paraId="41535486" w14:textId="5179869C" w:rsidR="00102E98" w:rsidRDefault="00102E98" w:rsidP="00102E98">
      <w:r>
        <w:t xml:space="preserve">Second, the study focuses on psychological representation and lexical choice. The protagonist’s descent into what the patriarchy labels </w:t>
      </w:r>
      <w:r w:rsidR="00691AA6">
        <w:t>“</w:t>
      </w:r>
      <w:r>
        <w:t>madness</w:t>
      </w:r>
      <w:r w:rsidR="00691AA6">
        <w:t>”</w:t>
      </w:r>
      <w:r>
        <w:t xml:space="preserve"> is rendered through a specific vocabulary of obsession and sensory perception. By scrutinizing how Ye Zi renders gender-coded terms and the protagonist</w:t>
      </w:r>
      <w:r w:rsidR="00691AA6">
        <w:t>’</w:t>
      </w:r>
      <w:r>
        <w:t xml:space="preserve">s self-referential language, the analysis seeks to uncover how translation choices influence the portrayal of female subjectivity. This dimension considers whether the lexical standardization in the target text clarifies or obscures the ambiguity of the </w:t>
      </w:r>
      <w:r w:rsidR="00691AA6">
        <w:t>“</w:t>
      </w:r>
      <w:r>
        <w:t>unreliable narrator,</w:t>
      </w:r>
      <w:r w:rsidR="00691AA6">
        <w:t>”</w:t>
      </w:r>
      <w:r>
        <w:t xml:space="preserve"> thereby affecting the feminist subversion of the medical discourse present in the original.</w:t>
      </w:r>
    </w:p>
    <w:p w14:paraId="470ED8C6" w14:textId="2E34F1EC" w:rsidR="00102E98" w:rsidRDefault="00102E98" w:rsidP="00102E98">
      <w:r>
        <w:t xml:space="preserve">Finally, the framework addresses the intersection of metaphor, gender, and ideology. The </w:t>
      </w:r>
      <w:r w:rsidR="00691AA6">
        <w:t>“</w:t>
      </w:r>
      <w:r>
        <w:t>yellow wallpaper</w:t>
      </w:r>
      <w:r w:rsidR="00691AA6">
        <w:t>”</w:t>
      </w:r>
      <w:r>
        <w:t xml:space="preserve"> is not merely a gothic element but a shifting metaphor for the domestic entrapment of women. The analysis investigates how the translation handles the dynamic descriptions of the wallpaper</w:t>
      </w:r>
      <w:r w:rsidR="00691AA6">
        <w:t>’</w:t>
      </w:r>
      <w:r>
        <w:t>s patterns—often described in Gilman</w:t>
      </w:r>
      <w:r w:rsidR="00691AA6">
        <w:t>’</w:t>
      </w:r>
      <w:r>
        <w:t xml:space="preserve">s text as </w:t>
      </w:r>
      <w:r w:rsidR="00691AA6">
        <w:t>“</w:t>
      </w:r>
      <w:r>
        <w:t>strangled</w:t>
      </w:r>
      <w:r w:rsidR="00691AA6">
        <w:t>”</w:t>
      </w:r>
      <w:r>
        <w:t xml:space="preserve"> or </w:t>
      </w:r>
      <w:r w:rsidR="00691AA6">
        <w:t>“</w:t>
      </w:r>
      <w:r>
        <w:t>creeping.</w:t>
      </w:r>
      <w:r w:rsidR="00691AA6">
        <w:t>”</w:t>
      </w:r>
      <w:r>
        <w:t xml:space="preserve"> These choices are examined as ideological negotiations: how does the translator</w:t>
      </w:r>
      <w:r w:rsidR="00691AA6">
        <w:t>’</w:t>
      </w:r>
      <w:r>
        <w:t xml:space="preserve">s reconstruction of these metaphors resonate with the contemporary Chinese reader’s understanding of gender roles and confinement? Ultimately, this framework prioritizes the effects of translation, arguing that every linguistic adjustment is a form of </w:t>
      </w:r>
      <w:r w:rsidR="00691AA6">
        <w:t>“</w:t>
      </w:r>
      <w:r>
        <w:t>re-authoring</w:t>
      </w:r>
      <w:r w:rsidR="00691AA6">
        <w:t>”</w:t>
      </w:r>
      <w:r>
        <w:t xml:space="preserve"> (Lefevere, 1992) that inevitably reshapes the text’s radical feminist implications.</w:t>
      </w:r>
    </w:p>
    <w:p w14:paraId="5F26C065" w14:textId="1A2FBA59" w:rsidR="00102E98" w:rsidRPr="00102E98" w:rsidRDefault="00102E98" w:rsidP="00102E98">
      <w:pPr>
        <w:pStyle w:val="a9"/>
        <w:numPr>
          <w:ilvl w:val="0"/>
          <w:numId w:val="1"/>
        </w:numPr>
        <w:rPr>
          <w:b/>
          <w:bCs/>
        </w:rPr>
      </w:pPr>
      <w:r w:rsidRPr="00102E98">
        <w:rPr>
          <w:rFonts w:hint="eastAsia"/>
          <w:b/>
          <w:bCs/>
        </w:rPr>
        <w:lastRenderedPageBreak/>
        <w:t>Critical Analysis</w:t>
      </w:r>
    </w:p>
    <w:p w14:paraId="0CFBAB34" w14:textId="147ADFE4" w:rsidR="00102E98" w:rsidRPr="00102E98" w:rsidRDefault="00102E98" w:rsidP="00102E98">
      <w:r w:rsidRPr="00102E98">
        <w:t>4.1 Narrative Voice and Sentence Regularization</w:t>
      </w:r>
      <w:bookmarkStart w:id="2" w:name="OLE_LINK51"/>
    </w:p>
    <w:p w14:paraId="2DE390EE" w14:textId="578E300F" w:rsidR="00102E98" w:rsidRPr="00102E98" w:rsidRDefault="00102E98" w:rsidP="00102E98">
      <w:r w:rsidRPr="00102E98">
        <w:t>In the opening of </w:t>
      </w:r>
      <w:r w:rsidRPr="00102E98">
        <w:rPr>
          <w:i/>
          <w:iCs/>
        </w:rPr>
        <w:t>The Yellow Wallpaper</w:t>
      </w:r>
      <w:r w:rsidRPr="00102E98">
        <w:t>, the construc</w:t>
      </w:r>
      <w:bookmarkEnd w:id="2"/>
      <w:r w:rsidRPr="00102E98">
        <w:t xml:space="preserve">tion of the husband’s authority is not merely thematic but deeply embedded in the narrator’s syntactic choices. The ST describes John’s character through a series of blunt, declarative clauses: </w:t>
      </w:r>
      <w:r w:rsidR="00691AA6">
        <w:t>“</w:t>
      </w:r>
      <w:r w:rsidRPr="00102E98">
        <w:t>John is practical in the extreme. He has no patience with faith, an intense horror of superstition...</w:t>
      </w:r>
      <w:r w:rsidR="00691AA6">
        <w:t>”</w:t>
      </w:r>
      <w:r w:rsidRPr="00102E98">
        <w:t xml:space="preserve"> (Gilman, 1892). The sentence structure reflects the </w:t>
      </w:r>
      <w:r w:rsidR="00691AA6">
        <w:t>“</w:t>
      </w:r>
      <w:r w:rsidRPr="00102E98">
        <w:t>staccato</w:t>
      </w:r>
      <w:r w:rsidR="00691AA6">
        <w:t>”</w:t>
      </w:r>
      <w:r w:rsidRPr="00102E98">
        <w:t xml:space="preserve"> diary entry style, but it also carries a subtle layer of narrative irony. The narrator’s observation that John </w:t>
      </w:r>
      <w:r w:rsidR="00691AA6">
        <w:t>“</w:t>
      </w:r>
      <w:r w:rsidRPr="00102E98">
        <w:t>scoffs openly at any talk of things not to be felt and seen and put down in figures</w:t>
      </w:r>
      <w:r w:rsidR="00691AA6">
        <w:t>”</w:t>
      </w:r>
      <w:r w:rsidRPr="00102E98">
        <w:t xml:space="preserve"> employs a cumulative rhythm. The repetition of </w:t>
      </w:r>
      <w:r w:rsidR="00691AA6">
        <w:t>“</w:t>
      </w:r>
      <w:r w:rsidRPr="00102E98">
        <w:t>and</w:t>
      </w:r>
      <w:r w:rsidR="00691AA6">
        <w:t>”</w:t>
      </w:r>
      <w:r w:rsidRPr="00102E98">
        <w:t xml:space="preserve"> suggests an almost overwhelming list of patriarchal constraints, where John’s </w:t>
      </w:r>
      <w:r w:rsidR="00691AA6">
        <w:t>“</w:t>
      </w:r>
      <w:r w:rsidRPr="00102E98">
        <w:t>practicality</w:t>
      </w:r>
      <w:r w:rsidR="00691AA6">
        <w:t>”</w:t>
      </w:r>
      <w:r w:rsidRPr="00102E98">
        <w:t xml:space="preserve"> is presented as an impenetrable wall that defines the narrator’s reality. The use of </w:t>
      </w:r>
      <w:r w:rsidR="00691AA6">
        <w:t>“</w:t>
      </w:r>
      <w:r w:rsidRPr="00102E98">
        <w:t>figures</w:t>
      </w:r>
      <w:r w:rsidR="00691AA6">
        <w:t>”</w:t>
      </w:r>
      <w:r w:rsidRPr="00102E98">
        <w:t xml:space="preserve"> at the end of the sentence underscores a Victorian scientific rationalism that leaves no room for the narrator’s subjective experience.</w:t>
      </w:r>
    </w:p>
    <w:p w14:paraId="0E3BC64B" w14:textId="0070E224" w:rsidR="00102E98" w:rsidRPr="00102E98" w:rsidRDefault="00102E98" w:rsidP="00102E98">
      <w:r w:rsidRPr="00102E98">
        <w:t xml:space="preserve">In Ye Zi’s (2025) translation, this passage undergoes a process of </w:t>
      </w:r>
      <w:bookmarkStart w:id="3" w:name="OLE_LINK53"/>
      <w:r w:rsidR="00691AA6">
        <w:t>“</w:t>
      </w:r>
      <w:bookmarkEnd w:id="3"/>
      <w:r w:rsidRPr="00102E98">
        <w:t>sentence regularization</w:t>
      </w:r>
      <w:r w:rsidR="00691AA6">
        <w:t>”</w:t>
      </w:r>
      <w:r w:rsidRPr="00102E98">
        <w:t xml:space="preserve"> to fit the aesthetic norms of contemporary Chinese prose. The rendition—</w:t>
      </w:r>
      <w:r w:rsidR="00691AA6">
        <w:t>“</w:t>
      </w:r>
      <w:bookmarkStart w:id="4" w:name="OLE_LINK56"/>
      <w:r w:rsidRPr="00102E98">
        <w:t>约翰这个人极端务实。他对信仰毫无耐心，对迷信深恶痛绝，凡是不能看见、不能触摸、不能用数字说明的事情，他都会公开嘲笑</w:t>
      </w:r>
      <w:bookmarkStart w:id="5" w:name="OLE_LINK54"/>
      <w:bookmarkEnd w:id="4"/>
      <w:r w:rsidR="00691AA6">
        <w:rPr>
          <w:rFonts w:hint="eastAsia"/>
        </w:rPr>
        <w:t>”</w:t>
      </w:r>
      <w:bookmarkEnd w:id="5"/>
      <w:r w:rsidRPr="00102E98">
        <w:t xml:space="preserve">—demonstrates a clear tendency toward logical clarification. The translator employs four-character idioms or balanced structures like </w:t>
      </w:r>
      <w:r w:rsidR="00691AA6">
        <w:t>“</w:t>
      </w:r>
      <w:bookmarkStart w:id="6" w:name="OLE_LINK57"/>
      <w:r w:rsidRPr="00102E98">
        <w:t>深恶痛绝</w:t>
      </w:r>
      <w:bookmarkEnd w:id="6"/>
      <w:r w:rsidR="00691AA6">
        <w:rPr>
          <w:rFonts w:hint="eastAsia"/>
        </w:rPr>
        <w:t>”</w:t>
      </w:r>
      <w:r w:rsidRPr="00102E98">
        <w:t xml:space="preserve">and </w:t>
      </w:r>
      <w:r w:rsidR="00691AA6">
        <w:t>“</w:t>
      </w:r>
      <w:bookmarkStart w:id="7" w:name="OLE_LINK58"/>
      <w:r w:rsidRPr="00102E98">
        <w:t>毫无耐心</w:t>
      </w:r>
      <w:bookmarkEnd w:id="7"/>
      <w:r w:rsidRPr="00102E98">
        <w:t>,</w:t>
      </w:r>
      <w:r w:rsidR="00691AA6" w:rsidRPr="00691AA6">
        <w:rPr>
          <w:rFonts w:hint="eastAsia"/>
        </w:rPr>
        <w:t xml:space="preserve"> </w:t>
      </w:r>
      <w:r w:rsidR="00691AA6">
        <w:rPr>
          <w:rFonts w:hint="eastAsia"/>
        </w:rPr>
        <w:t>”</w:t>
      </w:r>
      <w:r w:rsidR="00691AA6">
        <w:t>w</w:t>
      </w:r>
      <w:r w:rsidRPr="00102E98">
        <w:t>hich enhance the fluency and readability of the text. However, this pursuit of linguistic</w:t>
      </w:r>
      <w:r w:rsidRPr="00691AA6">
        <w:t> fluency </w:t>
      </w:r>
      <w:r w:rsidRPr="00102E98">
        <w:t>(Venuti, 20</w:t>
      </w:r>
      <w:r>
        <w:rPr>
          <w:rFonts w:hint="eastAsia"/>
        </w:rPr>
        <w:t>1</w:t>
      </w:r>
      <w:r w:rsidRPr="00102E98">
        <w:t>8) slightly alters the power dynamics between the characters. While the ST feels like a breathless observation recorded in a secret diary, the TT (Target Text) feels more like a balanced, retrospective character sketch. As </w:t>
      </w:r>
      <w:proofErr w:type="spellStart"/>
      <w:r w:rsidRPr="00691AA6">
        <w:t>Bassnett</w:t>
      </w:r>
      <w:proofErr w:type="spellEnd"/>
      <w:r w:rsidRPr="00691AA6">
        <w:t xml:space="preserve"> (2014) </w:t>
      </w:r>
      <w:r w:rsidRPr="00102E98">
        <w:t xml:space="preserve">argues, the </w:t>
      </w:r>
      <w:r w:rsidR="00691AA6">
        <w:t>“</w:t>
      </w:r>
      <w:r w:rsidRPr="00102E98">
        <w:t>domestication</w:t>
      </w:r>
      <w:r w:rsidR="00691AA6">
        <w:t>”</w:t>
      </w:r>
      <w:r w:rsidRPr="00102E98">
        <w:t xml:space="preserve"> of a text often involves an effort to make it more transparent and fluid for the target reader, but this process can inadvertently diminish the </w:t>
      </w:r>
      <w:r w:rsidR="00691AA6">
        <w:t>“</w:t>
      </w:r>
      <w:r w:rsidRPr="00102E98">
        <w:t>foreign</w:t>
      </w:r>
      <w:r w:rsidR="00691AA6">
        <w:t>”</w:t>
      </w:r>
      <w:r w:rsidRPr="00102E98">
        <w:t xml:space="preserve"> or </w:t>
      </w:r>
      <w:r w:rsidR="00691AA6">
        <w:t>“</w:t>
      </w:r>
      <w:r w:rsidRPr="00102E98">
        <w:t>disturbed</w:t>
      </w:r>
      <w:r w:rsidR="00691AA6">
        <w:t>”</w:t>
      </w:r>
      <w:r w:rsidRPr="00102E98">
        <w:t xml:space="preserve"> texture of the original voice.</w:t>
      </w:r>
    </w:p>
    <w:p w14:paraId="305F4DFB" w14:textId="03EE7650" w:rsidR="00556082" w:rsidRDefault="00102E98" w:rsidP="00A43962">
      <w:r w:rsidRPr="00102E98">
        <w:t>This regularization has profound implications for the narrative voice and reader alignment. By smoothing the jagged edges of the narrator</w:t>
      </w:r>
      <w:r w:rsidR="00691AA6">
        <w:t>’</w:t>
      </w:r>
      <w:r w:rsidRPr="00102E98">
        <w:t>s fragmented reporting, the translation potentially mitigates the sense of psychological urgency that defines Gilman</w:t>
      </w:r>
      <w:r w:rsidR="00691AA6">
        <w:t>’</w:t>
      </w:r>
      <w:r w:rsidRPr="00102E98">
        <w:t xml:space="preserve">s feminist subversion. In the </w:t>
      </w:r>
      <w:r w:rsidRPr="00102E98">
        <w:lastRenderedPageBreak/>
        <w:t xml:space="preserve">original, the </w:t>
      </w:r>
      <w:r w:rsidR="00691AA6">
        <w:t>“</w:t>
      </w:r>
      <w:r w:rsidRPr="00102E98">
        <w:t>fragmentary</w:t>
      </w:r>
      <w:r w:rsidR="00691AA6">
        <w:t>”</w:t>
      </w:r>
      <w:r w:rsidRPr="00102E98">
        <w:t xml:space="preserve"> nature of the journal is a form of resistance against John</w:t>
      </w:r>
      <w:r w:rsidR="00691AA6">
        <w:t>’</w:t>
      </w:r>
      <w:r w:rsidRPr="00102E98">
        <w:t xml:space="preserve">s </w:t>
      </w:r>
      <w:r w:rsidR="00691AA6">
        <w:t>“</w:t>
      </w:r>
      <w:r w:rsidRPr="00102E98">
        <w:t>figures</w:t>
      </w:r>
      <w:r w:rsidR="00691AA6">
        <w:t>”</w:t>
      </w:r>
      <w:r w:rsidRPr="00102E98">
        <w:t xml:space="preserve">; it is the voice of a woman struggling to find space within a rigid structure. In the Chinese version, the enhanced coherence makes the narrator appear more composed and detached. While this makes the story more accessible to a 2025 Chinese audience, it risks diminishing the protagonist’s early psychological distress. The reader aligns with a narrator who sounds articulate and analytical, rather than one whose very sentence structure is beginning to buckle under the weight of patriarchal </w:t>
      </w:r>
      <w:r w:rsidR="00691AA6">
        <w:t>“</w:t>
      </w:r>
      <w:r w:rsidRPr="00102E98">
        <w:t>logic.</w:t>
      </w:r>
      <w:r w:rsidR="00691AA6">
        <w:t>”</w:t>
      </w:r>
    </w:p>
    <w:p w14:paraId="2CDBBF8F" w14:textId="08738914" w:rsidR="00924B30" w:rsidRPr="00924B30" w:rsidRDefault="00924B30" w:rsidP="00924B30">
      <w:r w:rsidRPr="00924B30">
        <w:t>4.2 Psychological Representation and Lexical Choice</w:t>
      </w:r>
    </w:p>
    <w:p w14:paraId="05509D4E" w14:textId="4F19C4FE" w:rsidR="00924B30" w:rsidRPr="00924B30" w:rsidRDefault="00924B30" w:rsidP="00924B30">
      <w:r w:rsidRPr="00924B30">
        <w:t xml:space="preserve">A critical juncture in Gilman’s narrative is the tension between the protagonist’s internal intuition and the medical authority imposed upon her. In the ST, the narrator notes: </w:t>
      </w:r>
      <w:r w:rsidR="00691AA6">
        <w:t>“</w:t>
      </w:r>
      <w:r w:rsidRPr="00924B30">
        <w:t>I sometimes fancy that in my condition if I had less opposition and more society and stimulus—but John says the very worst thing I can do is to think about my condition…</w:t>
      </w:r>
      <w:r w:rsidR="00691AA6">
        <w:t>”</w:t>
      </w:r>
      <w:r w:rsidRPr="00924B30">
        <w:t xml:space="preserve"> (Gilman, 1892). The lexical choice of </w:t>
      </w:r>
      <w:r w:rsidR="00691AA6">
        <w:t>“</w:t>
      </w:r>
      <w:r w:rsidRPr="00924B30">
        <w:t>fancy</w:t>
      </w:r>
      <w:r w:rsidR="00691AA6">
        <w:t>”</w:t>
      </w:r>
      <w:r w:rsidRPr="00924B30">
        <w:t xml:space="preserve"> is pivotal; in 19th-century usage, it oscillates between imaginative thought and a symptom of mental fragility. It conveys a tentative, suppressed subjectivity—a woman who barely dares to validate her own desires. The use of the dash (—) following </w:t>
      </w:r>
      <w:r w:rsidR="00691AA6">
        <w:t>“</w:t>
      </w:r>
      <w:r w:rsidRPr="00924B30">
        <w:t>stimulus</w:t>
      </w:r>
      <w:r w:rsidR="00691AA6">
        <w:t>”</w:t>
      </w:r>
      <w:r w:rsidRPr="00924B30">
        <w:t xml:space="preserve"> functions as a physical rupture in the text, representing the self-censorship and the intrusive voice of John that habitually truncates her thoughts.</w:t>
      </w:r>
    </w:p>
    <w:p w14:paraId="00AF7056" w14:textId="68EFB92A" w:rsidR="00924B30" w:rsidRPr="00924B30" w:rsidRDefault="00924B30" w:rsidP="00924B30">
      <w:r w:rsidRPr="00924B30">
        <w:t xml:space="preserve">In Ye Zi’s (2025) translation, this psychological fragility is rendered through more concrete linguistic markers: </w:t>
      </w:r>
      <w:r w:rsidR="00691AA6">
        <w:t>“</w:t>
      </w:r>
      <w:r w:rsidRPr="004F1002">
        <w:rPr>
          <w:rFonts w:ascii="宋体" w:hAnsi="宋体"/>
        </w:rPr>
        <w:t>我有时觉得，如果不是受到这么多反对，如果能多接触人、多一些刺激，也许会好些——可约翰说，我现在最糟糕的事情就是去想自己的病情……</w:t>
      </w:r>
      <w:r w:rsidR="00691AA6">
        <w:t>”</w:t>
      </w:r>
      <w:r w:rsidRPr="00924B30">
        <w:t xml:space="preserve">. By translating </w:t>
      </w:r>
      <w:r w:rsidR="00691AA6">
        <w:t>“</w:t>
      </w:r>
      <w:r w:rsidRPr="00924B30">
        <w:t>fancy</w:t>
      </w:r>
      <w:r w:rsidR="00691AA6">
        <w:t>”</w:t>
      </w:r>
      <w:r w:rsidRPr="00924B30">
        <w:t xml:space="preserve"> as </w:t>
      </w:r>
      <w:r w:rsidR="00691AA6">
        <w:t>“</w:t>
      </w:r>
      <w:r w:rsidRPr="00924B30">
        <w:t>觉得</w:t>
      </w:r>
      <w:r w:rsidR="00691AA6">
        <w:t>”</w:t>
      </w:r>
      <w:r w:rsidRPr="00924B30">
        <w:t xml:space="preserve"> (feel/think) and </w:t>
      </w:r>
      <w:r w:rsidR="00691AA6">
        <w:t>“</w:t>
      </w:r>
      <w:r w:rsidRPr="00924B30">
        <w:t>condition</w:t>
      </w:r>
      <w:r w:rsidR="00691AA6">
        <w:t>”</w:t>
      </w:r>
      <w:r w:rsidRPr="00924B30">
        <w:t xml:space="preserve"> as </w:t>
      </w:r>
      <w:r w:rsidR="00691AA6">
        <w:t>“</w:t>
      </w:r>
      <w:bookmarkStart w:id="8" w:name="OLE_LINK59"/>
      <w:r w:rsidRPr="00924B30">
        <w:t>病情</w:t>
      </w:r>
      <w:bookmarkEnd w:id="8"/>
      <w:r w:rsidR="00691AA6">
        <w:t>”</w:t>
      </w:r>
      <w:r w:rsidRPr="00924B30">
        <w:t xml:space="preserve"> (illness/medical condition), the Chinese version significantly clarifies and rationalizes the narrator</w:t>
      </w:r>
      <w:r w:rsidR="00691AA6">
        <w:t>’</w:t>
      </w:r>
      <w:r w:rsidRPr="00924B30">
        <w:t xml:space="preserve">s emotional state. While </w:t>
      </w:r>
      <w:r w:rsidR="00691AA6">
        <w:t>“</w:t>
      </w:r>
      <w:r w:rsidRPr="00924B30">
        <w:t>fancy</w:t>
      </w:r>
      <w:r w:rsidR="00691AA6">
        <w:t>”</w:t>
      </w:r>
      <w:r w:rsidRPr="00924B30">
        <w:t xml:space="preserve"> in English carries a layer of whimsical uncertainty, </w:t>
      </w:r>
      <w:r w:rsidR="00691AA6">
        <w:t>“</w:t>
      </w:r>
      <w:r w:rsidRPr="00924B30">
        <w:t>觉得</w:t>
      </w:r>
      <w:r w:rsidR="00691AA6">
        <w:t>”</w:t>
      </w:r>
      <w:r w:rsidRPr="00924B30">
        <w:t xml:space="preserve"> suggests a more grounded, cognitive conclusion. Furthermore, the explicit use of </w:t>
      </w:r>
      <w:r w:rsidR="00691AA6">
        <w:t>“</w:t>
      </w:r>
      <w:r w:rsidRPr="00924B30">
        <w:t>病情</w:t>
      </w:r>
      <w:r w:rsidR="00691AA6">
        <w:t>”</w:t>
      </w:r>
      <w:r w:rsidRPr="00924B30">
        <w:t xml:space="preserve"> fixes the narrator’s state as a medical object, whereas </w:t>
      </w:r>
      <w:r w:rsidR="00691AA6">
        <w:t>“</w:t>
      </w:r>
      <w:r w:rsidRPr="00924B30">
        <w:t>condition</w:t>
      </w:r>
      <w:r w:rsidR="00691AA6">
        <w:t>”</w:t>
      </w:r>
      <w:r w:rsidRPr="00924B30">
        <w:t xml:space="preserve"> in the ST remains more ambiguous, allowing for a reading where her </w:t>
      </w:r>
      <w:r w:rsidR="00691AA6">
        <w:t>“</w:t>
      </w:r>
      <w:r w:rsidRPr="00924B30">
        <w:t>condition</w:t>
      </w:r>
      <w:r w:rsidR="00691AA6">
        <w:t>”</w:t>
      </w:r>
      <w:r w:rsidRPr="00924B30">
        <w:t xml:space="preserve"> is a social or domestic plight rather than a purely clinical one.</w:t>
      </w:r>
    </w:p>
    <w:p w14:paraId="65755327" w14:textId="04CA871E" w:rsidR="00924B30" w:rsidRDefault="00924B30" w:rsidP="00924B30">
      <w:r w:rsidRPr="00924B30">
        <w:t>This shift has profound implications for the text</w:t>
      </w:r>
      <w:r w:rsidR="00691AA6">
        <w:t>’</w:t>
      </w:r>
      <w:r w:rsidRPr="00924B30">
        <w:t>s psychological realism. As </w:t>
      </w:r>
      <w:r w:rsidRPr="00691AA6">
        <w:t>Simon (1996) </w:t>
      </w:r>
      <w:r w:rsidRPr="00924B30">
        <w:t xml:space="preserve">suggests, translation often functions as a practice of </w:t>
      </w:r>
      <w:r w:rsidR="00691AA6">
        <w:t>“</w:t>
      </w:r>
      <w:r w:rsidRPr="00924B30">
        <w:t>re-authoring</w:t>
      </w:r>
      <w:r w:rsidR="00691AA6">
        <w:t>”</w:t>
      </w:r>
      <w:r w:rsidRPr="00924B30">
        <w:t xml:space="preserve"> that can either </w:t>
      </w:r>
      <w:r w:rsidRPr="00924B30">
        <w:lastRenderedPageBreak/>
        <w:t xml:space="preserve">sharpen or soften the ideological edges of the original. In Ye Zi’s version, the stabilization of uncertainty—transforming a tentative </w:t>
      </w:r>
      <w:r w:rsidR="00691AA6">
        <w:t>“</w:t>
      </w:r>
      <w:r w:rsidRPr="00924B30">
        <w:t>fancy</w:t>
      </w:r>
      <w:r w:rsidR="00691AA6">
        <w:t>”</w:t>
      </w:r>
      <w:r w:rsidRPr="00924B30">
        <w:t xml:space="preserve"> into a rationalized feeling—reconstructs the narrator as a more self-aware patient. The </w:t>
      </w:r>
      <w:r w:rsidR="00691AA6">
        <w:t>“</w:t>
      </w:r>
      <w:r w:rsidRPr="00924B30">
        <w:t>unreliable</w:t>
      </w:r>
      <w:r w:rsidR="00691AA6">
        <w:t>”</w:t>
      </w:r>
      <w:r w:rsidRPr="00924B30">
        <w:t xml:space="preserve"> quality of the original voice, which is essential to Gilman’s portrayal of a crumbling psyche, is somewhat mitigated by the logical clarity of the Chinese phrasing. While this interpretation makes the narrator’s struggle more transparent to a 21st-century reader, it also shifts the interpretive frame: the protagonist sounds less like a woman whose sense of reality is being eroded, and more like a modern individual articulating a grievance. This linguistic negotiation highlights how modern translational norms tend to favor </w:t>
      </w:r>
      <w:r w:rsidR="00691AA6">
        <w:t>“</w:t>
      </w:r>
      <w:r w:rsidRPr="00924B30">
        <w:t>expressive clarity</w:t>
      </w:r>
      <w:r w:rsidR="00691AA6">
        <w:t>”</w:t>
      </w:r>
      <w:r w:rsidRPr="00924B30">
        <w:t xml:space="preserve"> over the preservation of psychological fragmentation.</w:t>
      </w:r>
    </w:p>
    <w:p w14:paraId="13830EFE" w14:textId="7E682659" w:rsidR="00924B30" w:rsidRDefault="00924B30" w:rsidP="00924B30">
      <w:r>
        <w:rPr>
          <w:rFonts w:hint="eastAsia"/>
        </w:rPr>
        <w:t>4.3 Metaphor, Gender, and Ideological Effects</w:t>
      </w:r>
    </w:p>
    <w:p w14:paraId="093BBE46" w14:textId="3B337429" w:rsidR="00924B30" w:rsidRDefault="00924B30" w:rsidP="00924B30">
      <w:r>
        <w:t xml:space="preserve">The transition of the </w:t>
      </w:r>
      <w:r w:rsidR="00691AA6">
        <w:t>“</w:t>
      </w:r>
      <w:r>
        <w:t>woman behind the wallpaper</w:t>
      </w:r>
      <w:r w:rsidR="00691AA6">
        <w:t>”</w:t>
      </w:r>
      <w:r>
        <w:t xml:space="preserve"> from a visual hallucination to a mirror of the self is encapsulated in the verb </w:t>
      </w:r>
      <w:r w:rsidR="00691AA6">
        <w:t>“</w:t>
      </w:r>
      <w:r>
        <w:t>creeping.</w:t>
      </w:r>
      <w:r w:rsidR="00691AA6">
        <w:t>”</w:t>
      </w:r>
      <w:r>
        <w:t xml:space="preserve"> In the ST, the narrator observes: </w:t>
      </w:r>
      <w:r w:rsidR="00691AA6">
        <w:t>“</w:t>
      </w:r>
      <w:r>
        <w:t>I see her in that long-shaded lane, creeping up and down</w:t>
      </w:r>
      <w:r w:rsidR="00691AA6">
        <w:t>”</w:t>
      </w:r>
      <w:r>
        <w:t xml:space="preserve"> (Gilman, 1892). This metaphorical choice is dense with ideological significance. On a literal level, </w:t>
      </w:r>
      <w:r w:rsidR="00691AA6">
        <w:t>“</w:t>
      </w:r>
      <w:r>
        <w:t>creeping</w:t>
      </w:r>
      <w:r w:rsidR="00691AA6">
        <w:t>”</w:t>
      </w:r>
      <w:r>
        <w:t xml:space="preserve"> denotes a slow, stealthy movement necessitated by the protagonist’s need to remain undetected by John. Symbolically, however, it signifies the dehumanizing effects of domestic confinement; the woman is reduced to a sub-human, animalistic gait because she has no space to stand upright in a patriarchal world. The ambiguity of </w:t>
      </w:r>
      <w:r w:rsidR="00691AA6">
        <w:t>“</w:t>
      </w:r>
      <w:r>
        <w:t>creeping</w:t>
      </w:r>
      <w:r w:rsidR="00691AA6">
        <w:t>”</w:t>
      </w:r>
      <w:r>
        <w:t xml:space="preserve"> allows for a dual reading: it is both an act of submission to the low ceilings of her domestic prison and a subversive mode of movement that evades the </w:t>
      </w:r>
      <w:r w:rsidR="00691AA6">
        <w:t>“</w:t>
      </w:r>
      <w:r>
        <w:t>direct gaze</w:t>
      </w:r>
      <w:r w:rsidR="00691AA6">
        <w:t>”</w:t>
      </w:r>
      <w:r>
        <w:t xml:space="preserve"> of medical surveillance.</w:t>
      </w:r>
    </w:p>
    <w:p w14:paraId="7FD6405D" w14:textId="3D825CB5" w:rsidR="00924B30" w:rsidRDefault="00924B30" w:rsidP="00924B30">
      <w:r>
        <w:rPr>
          <w:rFonts w:hint="eastAsia"/>
        </w:rPr>
        <w:t>In Ye Zi</w:t>
      </w:r>
      <w:r w:rsidR="00691AA6">
        <w:t>’</w:t>
      </w:r>
      <w:r>
        <w:rPr>
          <w:rFonts w:hint="eastAsia"/>
        </w:rPr>
        <w:t xml:space="preserve">s (2025) translation, this movement is rendered as </w:t>
      </w:r>
      <w:r w:rsidR="00691AA6">
        <w:t>“</w:t>
      </w:r>
      <w:r>
        <w:rPr>
          <w:rFonts w:hint="eastAsia"/>
        </w:rPr>
        <w:t>来回爬行</w:t>
      </w:r>
      <w:r w:rsidR="00691AA6">
        <w:t>”</w:t>
      </w:r>
      <w:r>
        <w:rPr>
          <w:rFonts w:hint="eastAsia"/>
        </w:rPr>
        <w:t xml:space="preserve"> (crawling back and forth). While </w:t>
      </w:r>
      <w:r w:rsidR="00691AA6">
        <w:t>“</w:t>
      </w:r>
      <w:r>
        <w:rPr>
          <w:rFonts w:hint="eastAsia"/>
        </w:rPr>
        <w:t>爬行</w:t>
      </w:r>
      <w:r w:rsidR="00691AA6">
        <w:t>”</w:t>
      </w:r>
      <w:r>
        <w:rPr>
          <w:rFonts w:hint="eastAsia"/>
        </w:rPr>
        <w:t xml:space="preserve"> is a semantically accurate equivalent for </w:t>
      </w:r>
      <w:r w:rsidR="00691AA6">
        <w:t>“</w:t>
      </w:r>
      <w:r>
        <w:rPr>
          <w:rFonts w:hint="eastAsia"/>
        </w:rPr>
        <w:t>creeping,</w:t>
      </w:r>
      <w:r w:rsidR="00691AA6">
        <w:t>”</w:t>
      </w:r>
      <w:r>
        <w:rPr>
          <w:rFonts w:hint="eastAsia"/>
        </w:rPr>
        <w:t xml:space="preserve"> its foregrounding of physicality in the Chinese context has specific interpretive effects. In Chinese, </w:t>
      </w:r>
      <w:r w:rsidR="00691AA6">
        <w:t>“</w:t>
      </w:r>
      <w:r>
        <w:rPr>
          <w:rFonts w:hint="eastAsia"/>
        </w:rPr>
        <w:t>爬行</w:t>
      </w:r>
      <w:r w:rsidR="00691AA6">
        <w:t>”</w:t>
      </w:r>
      <w:r>
        <w:rPr>
          <w:rFonts w:hint="eastAsia"/>
        </w:rPr>
        <w:t xml:space="preserve"> (p</w:t>
      </w:r>
      <w:r>
        <w:rPr>
          <w:rFonts w:hint="eastAsia"/>
        </w:rPr>
        <w:t>á</w:t>
      </w:r>
      <w:r>
        <w:rPr>
          <w:rFonts w:hint="eastAsia"/>
        </w:rPr>
        <w:t xml:space="preserve"> x</w:t>
      </w:r>
      <w:r>
        <w:rPr>
          <w:rFonts w:hint="eastAsia"/>
        </w:rPr>
        <w:t>í</w:t>
      </w:r>
      <w:r>
        <w:rPr>
          <w:rFonts w:hint="eastAsia"/>
        </w:rPr>
        <w:t>ng) strongly evokes the image of a child or an animal, which intensifies the protagonist</w:t>
      </w:r>
      <w:r w:rsidR="00691AA6">
        <w:t>’</w:t>
      </w:r>
      <w:r>
        <w:rPr>
          <w:rFonts w:hint="eastAsia"/>
        </w:rPr>
        <w:t xml:space="preserve">s perceived </w:t>
      </w:r>
      <w:r w:rsidR="00691AA6">
        <w:t>“</w:t>
      </w:r>
      <w:r>
        <w:rPr>
          <w:rFonts w:hint="eastAsia"/>
        </w:rPr>
        <w:t>degradation</w:t>
      </w:r>
      <w:r w:rsidR="00691AA6">
        <w:t>”</w:t>
      </w:r>
      <w:r>
        <w:rPr>
          <w:rFonts w:hint="eastAsia"/>
        </w:rPr>
        <w:t xml:space="preserve"> in the eyes of the reader. By explicitly visualizing the physical act of crawling, the translation may narrow the metaphorical ambiguity found in the original. In the ST, </w:t>
      </w:r>
      <w:r w:rsidR="00691AA6">
        <w:t>“</w:t>
      </w:r>
      <w:r>
        <w:rPr>
          <w:rFonts w:hint="eastAsia"/>
        </w:rPr>
        <w:t>creeping</w:t>
      </w:r>
      <w:r w:rsidR="00691AA6">
        <w:t>”</w:t>
      </w:r>
      <w:r>
        <w:rPr>
          <w:rFonts w:hint="eastAsia"/>
        </w:rPr>
        <w:t xml:space="preserve"> can also imply a ghostly, ethereal gliding (common in Gothic tropes), but </w:t>
      </w:r>
      <w:r w:rsidR="00691AA6">
        <w:t>“</w:t>
      </w:r>
      <w:r>
        <w:rPr>
          <w:rFonts w:hint="eastAsia"/>
        </w:rPr>
        <w:t>爬行</w:t>
      </w:r>
      <w:r w:rsidR="00691AA6">
        <w:t>”</w:t>
      </w:r>
      <w:r>
        <w:rPr>
          <w:rFonts w:hint="eastAsia"/>
        </w:rPr>
        <w:t xml:space="preserve"> anchors the narrator</w:t>
      </w:r>
      <w:r w:rsidR="00691AA6">
        <w:t>’</w:t>
      </w:r>
      <w:r>
        <w:rPr>
          <w:rFonts w:hint="eastAsia"/>
        </w:rPr>
        <w:t xml:space="preserve">s madness firmly in the biological and the grotesque. This choice reinforces the </w:t>
      </w:r>
      <w:r w:rsidR="00691AA6">
        <w:t>“</w:t>
      </w:r>
      <w:r>
        <w:rPr>
          <w:rFonts w:hint="eastAsia"/>
        </w:rPr>
        <w:t>pathological</w:t>
      </w:r>
      <w:r w:rsidR="00691AA6">
        <w:t>”</w:t>
      </w:r>
      <w:r>
        <w:rPr>
          <w:rFonts w:hint="eastAsia"/>
        </w:rPr>
        <w:t xml:space="preserve"> re</w:t>
      </w:r>
      <w:r>
        <w:t xml:space="preserve">ading of the text—a woman who has literally lost her human </w:t>
      </w:r>
      <w:r>
        <w:lastRenderedPageBreak/>
        <w:t>posture.</w:t>
      </w:r>
    </w:p>
    <w:p w14:paraId="57BFAFC2" w14:textId="05DA4EED" w:rsidR="00924B30" w:rsidRDefault="00924B30" w:rsidP="00924B30">
      <w:r>
        <w:t xml:space="preserve">From a feminist perspective, this narrowing of ambiguity impacts how the reader perceives female resistance. As Lefevere (1992) notes, the </w:t>
      </w:r>
      <w:r w:rsidR="00691AA6">
        <w:t>“</w:t>
      </w:r>
      <w:r>
        <w:t>rewriting</w:t>
      </w:r>
      <w:r w:rsidR="00691AA6">
        <w:t>”</w:t>
      </w:r>
      <w:r>
        <w:t xml:space="preserve"> of metaphors is often guided by the dominant </w:t>
      </w:r>
      <w:proofErr w:type="spellStart"/>
      <w:r>
        <w:t>poetology</w:t>
      </w:r>
      <w:proofErr w:type="spellEnd"/>
      <w:r>
        <w:t xml:space="preserve"> of the target culture. By opting for a highly desc</w:t>
      </w:r>
      <w:r>
        <w:rPr>
          <w:rFonts w:hint="eastAsia"/>
        </w:rPr>
        <w:t xml:space="preserve">riptive and physical verb like </w:t>
      </w:r>
      <w:r w:rsidR="00691AA6">
        <w:t>“</w:t>
      </w:r>
      <w:r>
        <w:rPr>
          <w:rFonts w:hint="eastAsia"/>
        </w:rPr>
        <w:t>爬行</w:t>
      </w:r>
      <w:r>
        <w:rPr>
          <w:rFonts w:hint="eastAsia"/>
        </w:rPr>
        <w:t>,</w:t>
      </w:r>
      <w:r w:rsidR="00691AA6">
        <w:t>”</w:t>
      </w:r>
      <w:r>
        <w:rPr>
          <w:rFonts w:hint="eastAsia"/>
        </w:rPr>
        <w:t xml:space="preserve"> the translation makes the protagonist</w:t>
      </w:r>
      <w:r w:rsidR="00691AA6">
        <w:t>’</w:t>
      </w:r>
      <w:r>
        <w:rPr>
          <w:rFonts w:hint="eastAsia"/>
        </w:rPr>
        <w:t xml:space="preserve">s confinement visceral and undeniable for a contemporary Chinese audience. However, it also risks stripping the movement of its stealthy, strategic nature. The </w:t>
      </w:r>
      <w:r w:rsidR="00691AA6">
        <w:t>“</w:t>
      </w:r>
      <w:r>
        <w:rPr>
          <w:rFonts w:hint="eastAsia"/>
        </w:rPr>
        <w:t>creeping</w:t>
      </w:r>
      <w:r w:rsidR="00691AA6">
        <w:t>”</w:t>
      </w:r>
      <w:r>
        <w:rPr>
          <w:rFonts w:hint="eastAsia"/>
        </w:rPr>
        <w:t xml:space="preserve"> woman in G</w:t>
      </w:r>
      <w:r>
        <w:t>ilman</w:t>
      </w:r>
      <w:r w:rsidR="00691AA6">
        <w:t>’</w:t>
      </w:r>
      <w:r>
        <w:t xml:space="preserve">s text is a </w:t>
      </w:r>
      <w:r w:rsidR="00691AA6">
        <w:t>“</w:t>
      </w:r>
      <w:r>
        <w:t>shadow</w:t>
      </w:r>
      <w:r w:rsidR="00691AA6">
        <w:t>”</w:t>
      </w:r>
      <w:r>
        <w:t xml:space="preserve"> that moves when the patriarch is not looking; she is a figure of quiet, persistent subversion. In the Chinese rendition, the focus on the </w:t>
      </w:r>
      <w:r w:rsidR="00691AA6">
        <w:t>“</w:t>
      </w:r>
      <w:r>
        <w:t>crawling</w:t>
      </w:r>
      <w:r w:rsidR="00691AA6">
        <w:t>”</w:t>
      </w:r>
      <w:r>
        <w:t xml:space="preserve"> body shifts the emphasis from the subversion of space to the degradation of the self. This subtle shift illustrates how translation can reshape a feminist metaphor, moving it from a critique of social structures toward a more localized, individualistic portrayal of psychological trauma.</w:t>
      </w:r>
    </w:p>
    <w:p w14:paraId="3F5C4E58" w14:textId="3465EF27" w:rsidR="00924B30" w:rsidRPr="00C14F12" w:rsidRDefault="00924B30" w:rsidP="00924B30">
      <w:r w:rsidRPr="00C14F12">
        <w:t>4.4 The Ending: Liberation or Breakdown?</w:t>
      </w:r>
    </w:p>
    <w:p w14:paraId="5336614E" w14:textId="1F728061" w:rsidR="00924B30" w:rsidRPr="00924B30" w:rsidRDefault="00924B30" w:rsidP="00924B30">
      <w:r w:rsidRPr="00924B30">
        <w:t>The climactic ending of </w:t>
      </w:r>
      <w:r w:rsidRPr="00924B30">
        <w:rPr>
          <w:i/>
          <w:iCs/>
        </w:rPr>
        <w:t>The Yellow Wallpaper</w:t>
      </w:r>
      <w:r w:rsidRPr="00924B30">
        <w:t xml:space="preserve"> encapsulates the story’s ultimate ambiguity regarding female agency. In the ST, the narrator declares: </w:t>
      </w:r>
      <w:r w:rsidR="00691AA6">
        <w:t>“</w:t>
      </w:r>
      <w:r w:rsidRPr="00924B30">
        <w:t>‘I’ve got out at last,</w:t>
      </w:r>
      <w:r w:rsidR="00691AA6">
        <w:t>’</w:t>
      </w:r>
      <w:r w:rsidRPr="00924B30">
        <w:t xml:space="preserve"> said I, ‘</w:t>
      </w:r>
      <w:proofErr w:type="gramStart"/>
      <w:r w:rsidRPr="00924B30">
        <w:t>in spite of</w:t>
      </w:r>
      <w:proofErr w:type="gramEnd"/>
      <w:r w:rsidRPr="00924B30">
        <w:t xml:space="preserve"> you and Jane. And I’ve pulled off most of the paper, so you can’t put me back!’</w:t>
      </w:r>
      <w:r w:rsidR="00691AA6">
        <w:t>”</w:t>
      </w:r>
      <w:r w:rsidRPr="00924B30">
        <w:t xml:space="preserve"> (Gilman, 1892). This declaration is a masterclass in narrative tension; the tone is simultaneously triumphant and profoundly unstable. The use of the exclamation mark and the staccato structure reflect a consciousness that has finally burst through patriarchal boundaries, yet the syntax remains jagged and frantic. The reference to </w:t>
      </w:r>
      <w:r w:rsidR="00691AA6">
        <w:t>“</w:t>
      </w:r>
      <w:r w:rsidRPr="00924B30">
        <w:t>Jane</w:t>
      </w:r>
      <w:r w:rsidR="00691AA6">
        <w:t>”</w:t>
      </w:r>
      <w:r w:rsidRPr="00924B30">
        <w:t>—often interpreted as the narrator’s own former, socialized identity—indicates a fractured psyche where liberation is achieved only through the total disintegration of the previous self.</w:t>
      </w:r>
    </w:p>
    <w:p w14:paraId="683FD748" w14:textId="2F295CAF" w:rsidR="00924B30" w:rsidRPr="00924B30" w:rsidRDefault="00924B30" w:rsidP="00924B30">
      <w:r w:rsidRPr="00924B30">
        <w:t>In Ye Zi’s (2025) translation, this frantic energy is channeled into a more structured and assertive voice: “</w:t>
      </w:r>
      <w:r w:rsidRPr="00924B30">
        <w:t>我终于出来了，</w:t>
      </w:r>
      <w:r w:rsidRPr="00924B30">
        <w:t>”</w:t>
      </w:r>
      <w:r w:rsidRPr="00924B30">
        <w:t>我说，</w:t>
      </w:r>
      <w:r w:rsidRPr="00924B30">
        <w:t>“</w:t>
      </w:r>
      <w:r w:rsidRPr="00924B30">
        <w:t>不管你和简怎么想。我已经把墙纸大多撕掉了，你再也不能把我关回去了！</w:t>
      </w:r>
      <w:r w:rsidRPr="00924B30">
        <w:t xml:space="preserve">” The choice of </w:t>
      </w:r>
      <w:r w:rsidR="00927E35">
        <w:t>“</w:t>
      </w:r>
      <w:r w:rsidRPr="00924B30">
        <w:t>终于</w:t>
      </w:r>
      <w:r w:rsidR="00927E35">
        <w:t>”</w:t>
      </w:r>
      <w:r w:rsidRPr="00924B30">
        <w:t xml:space="preserve"> (at last/finally) and </w:t>
      </w:r>
      <w:r w:rsidR="00927E35">
        <w:t>“</w:t>
      </w:r>
      <w:r w:rsidRPr="00924B30">
        <w:t>再也不能</w:t>
      </w:r>
      <w:r w:rsidR="00927E35">
        <w:t>”</w:t>
      </w:r>
      <w:r w:rsidRPr="00924B30">
        <w:t xml:space="preserve"> (can no longer) creates a sense of definitive narrative closure and logical finality. While the ST’s </w:t>
      </w:r>
      <w:r w:rsidR="00927E35">
        <w:t>“</w:t>
      </w:r>
      <w:r w:rsidRPr="00924B30">
        <w:t>so you can’t put me back!</w:t>
      </w:r>
      <w:r w:rsidR="00927E35">
        <w:t>”</w:t>
      </w:r>
      <w:r w:rsidRPr="00924B30">
        <w:t xml:space="preserve"> retains a childlike, desperate quality, the Chinese rendition </w:t>
      </w:r>
      <w:r w:rsidR="00927E35">
        <w:t>“</w:t>
      </w:r>
      <w:r w:rsidRPr="00924B30">
        <w:t>你再也不能把我关回去了</w:t>
      </w:r>
      <w:r w:rsidR="00927E35">
        <w:t>”</w:t>
      </w:r>
      <w:r w:rsidRPr="00924B30">
        <w:t xml:space="preserve"> sounds more like a conscious, adult confrontation. The translation slightly </w:t>
      </w:r>
      <w:r w:rsidRPr="00924B30">
        <w:lastRenderedPageBreak/>
        <w:t xml:space="preserve">reduces the sense of </w:t>
      </w:r>
      <w:r w:rsidR="00927E35">
        <w:t>“</w:t>
      </w:r>
      <w:r w:rsidRPr="00924B30">
        <w:t>linguistic breakdown</w:t>
      </w:r>
      <w:r w:rsidR="00927E35">
        <w:t>”</w:t>
      </w:r>
      <w:r w:rsidRPr="00924B30">
        <w:t xml:space="preserve"> by providing a grammatically robust defiance. This shift leans toward an interpretation of </w:t>
      </w:r>
      <w:r w:rsidR="00927E35">
        <w:t>“l</w:t>
      </w:r>
      <w:r w:rsidRPr="00924B30">
        <w:t>iberation,</w:t>
      </w:r>
      <w:r w:rsidR="00927E35">
        <w:t>”</w:t>
      </w:r>
      <w:r w:rsidRPr="00924B30">
        <w:t xml:space="preserve"> making the narrator’s victory over John feel more decisive and politically empowered, whereas the original leaves the reader in a haunting liminal space between freedom and madness.</w:t>
      </w:r>
    </w:p>
    <w:p w14:paraId="7432DF36" w14:textId="6FA5D85F" w:rsidR="00924B30" w:rsidRPr="00924B30" w:rsidRDefault="00924B30" w:rsidP="00924B30">
      <w:r w:rsidRPr="00924B30">
        <w:t>As </w:t>
      </w:r>
      <w:r w:rsidRPr="00927E35">
        <w:t>Spivak (1993)</w:t>
      </w:r>
      <w:r w:rsidRPr="00924B30">
        <w:t xml:space="preserve"> argues, the politics of translation often manifest in how the </w:t>
      </w:r>
      <w:r w:rsidR="00927E35">
        <w:t>“</w:t>
      </w:r>
      <w:r w:rsidRPr="00924B30">
        <w:t>other</w:t>
      </w:r>
      <w:r w:rsidR="00927E35">
        <w:t>”</w:t>
      </w:r>
      <w:r w:rsidRPr="00924B30">
        <w:t xml:space="preserve"> voice is rendered within the dominant language</w:t>
      </w:r>
      <w:r w:rsidR="00927E35">
        <w:t>’</w:t>
      </w:r>
      <w:r w:rsidRPr="00924B30">
        <w:t>s logic. By clarifying the narrator</w:t>
      </w:r>
      <w:r w:rsidR="00927E35">
        <w:t>’</w:t>
      </w:r>
      <w:r w:rsidRPr="00924B30">
        <w:t xml:space="preserve">s defiance, Ye Zi’s translation aligns with the contemporary Chinese reader’s expectation for a clear feminist awakening. However, this clarity comes at the cost of the original’s psychological complexity. In Gilman’s text, the </w:t>
      </w:r>
      <w:r w:rsidR="00927E35">
        <w:t>“</w:t>
      </w:r>
      <w:r w:rsidRPr="00924B30">
        <w:t>triumph</w:t>
      </w:r>
      <w:r w:rsidR="00927E35">
        <w:t>”</w:t>
      </w:r>
      <w:r w:rsidRPr="00924B30">
        <w:t xml:space="preserve"> is terrifying because the language itself is breaking down; the narrator’s </w:t>
      </w:r>
      <w:r w:rsidR="00927E35">
        <w:t>“</w:t>
      </w:r>
      <w:r w:rsidRPr="00924B30">
        <w:t>ou</w:t>
      </w:r>
      <w:r w:rsidR="00927E35">
        <w:t>t”</w:t>
      </w:r>
      <w:r w:rsidRPr="00924B30">
        <w:t xml:space="preserve"> is into a void of insanity. In the target text, the clarity of the sentence structure suggests a more stable agency. Consequently, the translation reshapes the reader</w:t>
      </w:r>
      <w:r w:rsidR="00927E35">
        <w:t>’</w:t>
      </w:r>
      <w:r w:rsidRPr="00924B30">
        <w:t>s response from one of Gothic horror and psychological pity to one of ideological empathy for a woman who has successfully reclaimed her space, even if the cost of that space is the domestic order itself.</w:t>
      </w:r>
    </w:p>
    <w:p w14:paraId="2B4FCBB2" w14:textId="2D556E40" w:rsidR="00924B30" w:rsidRPr="00924B30" w:rsidRDefault="00924B30" w:rsidP="00924B30">
      <w:pPr>
        <w:pStyle w:val="a9"/>
        <w:numPr>
          <w:ilvl w:val="0"/>
          <w:numId w:val="1"/>
        </w:numPr>
        <w:rPr>
          <w:b/>
          <w:bCs/>
        </w:rPr>
      </w:pPr>
      <w:r w:rsidRPr="00924B30">
        <w:rPr>
          <w:b/>
          <w:bCs/>
        </w:rPr>
        <w:t>Reflection &amp; Discussion</w:t>
      </w:r>
    </w:p>
    <w:p w14:paraId="2F46359F" w14:textId="781A3786" w:rsidR="00924B30" w:rsidRPr="00924B30" w:rsidRDefault="00924B30" w:rsidP="00924B30">
      <w:r w:rsidRPr="00924B30">
        <w:t>The critical analysis of Ye Zi’s (2025) translation reveals that the pursuit of linguistic fluency is not merely a stylistic preference but an act of interpretive mediation that fundamentally reshapes the text’s feminist meaning. In the Chinese context, the standardization of Gilman’s fragmented syntax—what </w:t>
      </w:r>
      <w:r w:rsidRPr="00927E35">
        <w:t>Venuti (20</w:t>
      </w:r>
      <w:r w:rsidR="004F1002">
        <w:t>1</w:t>
      </w:r>
      <w:r w:rsidRPr="00927E35">
        <w:t>8)</w:t>
      </w:r>
      <w:r w:rsidRPr="00924B30">
        <w:t xml:space="preserve"> terms </w:t>
      </w:r>
      <w:r w:rsidR="00927E35">
        <w:t>“</w:t>
      </w:r>
      <w:r w:rsidRPr="00924B30">
        <w:t>domestication</w:t>
      </w:r>
      <w:r w:rsidR="00927E35">
        <w:t>”</w:t>
      </w:r>
      <w:r w:rsidRPr="00924B30">
        <w:t>—renders the protagonist’s descent into madness as a coherent, relatable narrative of resistance. While this enhances the story</w:t>
      </w:r>
      <w:r w:rsidR="00927E35">
        <w:t>’</w:t>
      </w:r>
      <w:r w:rsidRPr="00924B30">
        <w:t xml:space="preserve">s readability for a modern audience, it risks diminishing the </w:t>
      </w:r>
      <w:r w:rsidR="00927E35">
        <w:t>“</w:t>
      </w:r>
      <w:r w:rsidRPr="00924B30">
        <w:t>revolutionary</w:t>
      </w:r>
      <w:r w:rsidR="00927E35">
        <w:t>”</w:t>
      </w:r>
      <w:r w:rsidRPr="00924B30">
        <w:t xml:space="preserve"> aesthetic of the original, where the breakdown of language itself serves as the ultimate critique of patriarchal logic.</w:t>
      </w:r>
    </w:p>
    <w:p w14:paraId="3383D2F4" w14:textId="667A10E4" w:rsidR="00924B30" w:rsidRPr="00924B30" w:rsidRDefault="00924B30" w:rsidP="00924B30">
      <w:r w:rsidRPr="00924B30">
        <w:t xml:space="preserve">Reflecting on alternative translational possibilities, one might consider a more </w:t>
      </w:r>
      <w:r w:rsidR="00927E35">
        <w:t>“</w:t>
      </w:r>
      <w:r w:rsidRPr="00924B30">
        <w:t>foreignizing</w:t>
      </w:r>
      <w:r w:rsidR="00927E35">
        <w:t>”</w:t>
      </w:r>
      <w:r w:rsidRPr="00924B30">
        <w:t xml:space="preserve"> approach that deliberately preserves the staccato rhythm and the ambiguous lexical choices of the 19th-century source. Rather than smoothing over the jagged edges of the narrator</w:t>
      </w:r>
      <w:r w:rsidR="00927E35">
        <w:t>’</w:t>
      </w:r>
      <w:r w:rsidRPr="00924B30">
        <w:t>s psyche, a translation could utilize unconventional Chinese syntax or deliberate repetitions to mirror the protagonist</w:t>
      </w:r>
      <w:r w:rsidR="00927E35">
        <w:t>’</w:t>
      </w:r>
      <w:r w:rsidRPr="00924B30">
        <w:t xml:space="preserve">s mental fragmentation. Such a strategy would position the reader not as an observer </w:t>
      </w:r>
      <w:r w:rsidRPr="00924B30">
        <w:lastRenderedPageBreak/>
        <w:t>of a clear-cut case study, but as a participant in the narrator’s disorienting psychological disintegration. Ultimately, this discussion emphasizes that translation is never a neutral transfer of information; it is a political site where the radicalism of feminist literature is either amplified through stylistic preservation or tamed through the desire for narrative elegance.</w:t>
      </w:r>
    </w:p>
    <w:p w14:paraId="25C7DA42" w14:textId="7D6B900C" w:rsidR="00924B30" w:rsidRPr="00924B30" w:rsidRDefault="00924B30" w:rsidP="00924B30">
      <w:pPr>
        <w:pStyle w:val="a9"/>
        <w:numPr>
          <w:ilvl w:val="0"/>
          <w:numId w:val="1"/>
        </w:numPr>
        <w:rPr>
          <w:b/>
          <w:bCs/>
        </w:rPr>
      </w:pPr>
      <w:r w:rsidRPr="00924B30">
        <w:rPr>
          <w:b/>
          <w:bCs/>
        </w:rPr>
        <w:t>Conclusion</w:t>
      </w:r>
    </w:p>
    <w:p w14:paraId="198C8863" w14:textId="3024EF0A" w:rsidR="00924B30" w:rsidRPr="00924B30" w:rsidRDefault="00924B30" w:rsidP="00924B30">
      <w:r w:rsidRPr="00924B30">
        <w:t>In conclusion, this critical analysis of Ye Zi’s 2025 translation of </w:t>
      </w:r>
      <w:r w:rsidRPr="00924B30">
        <w:rPr>
          <w:i/>
          <w:iCs/>
        </w:rPr>
        <w:t>The Yellow Wallpaper</w:t>
      </w:r>
      <w:r w:rsidRPr="00924B30">
        <w:t xml:space="preserve"> illustrates the complex ideological negotiations inherent in the translational process. The study finds that while the Chinese rendition achieves high linguistic fluency and cultural accessibility, it simultaneously undergoes a process of </w:t>
      </w:r>
      <w:r w:rsidR="00C62308">
        <w:t>“</w:t>
      </w:r>
      <w:r w:rsidRPr="00924B30">
        <w:t xml:space="preserve">narrative </w:t>
      </w:r>
      <w:r w:rsidR="00C62308" w:rsidRPr="00924B30">
        <w:t>regularization</w:t>
      </w:r>
      <w:r w:rsidRPr="00924B30">
        <w:t>.</w:t>
      </w:r>
      <w:r w:rsidR="00C62308">
        <w:t>”</w:t>
      </w:r>
      <w:r w:rsidRPr="00924B30">
        <w:t xml:space="preserve"> By smoothing the staccato syntax and clarifying the psychological ambiguities of Gilman’s original prose, the translation shifts the reader’s engagement from experiencing the narrator’s raw psychological fragmentation to observing a structured narrative of female resistance. This transition highlights the pivotal role of narrative voice and psychological representation in maintaining the text’s subversive feminist power. Ultimately, translation serves as more than a linguistic bridge; it is a powerful site of cultural and ideological reception. As this portfolio demonstrates, the way a translator navigates the tension between readability and stylistic radicalism dictates how a feminist manifesto is </w:t>
      </w:r>
      <w:r w:rsidR="00C62308">
        <w:t>“</w:t>
      </w:r>
      <w:r w:rsidRPr="00924B30">
        <w:t>rewritten</w:t>
      </w:r>
      <w:r w:rsidR="00C62308">
        <w:t>”</w:t>
      </w:r>
      <w:r w:rsidRPr="00924B30">
        <w:t xml:space="preserve"> and understood in a new historical and cultural milieu.</w:t>
      </w:r>
    </w:p>
    <w:p w14:paraId="0E4F7625" w14:textId="42F441C7" w:rsidR="00AD380C" w:rsidRPr="00924B30" w:rsidRDefault="00AD380C" w:rsidP="00363D79">
      <w:pPr>
        <w:rPr>
          <w:b/>
          <w:bCs/>
        </w:rPr>
      </w:pPr>
      <w:bookmarkStart w:id="9" w:name="OLE_LINK52"/>
      <w:r w:rsidRPr="00924B30">
        <w:rPr>
          <w:rFonts w:hint="eastAsia"/>
          <w:b/>
          <w:bCs/>
        </w:rPr>
        <w:t>References</w:t>
      </w:r>
    </w:p>
    <w:p w14:paraId="2DD85296" w14:textId="6887D091" w:rsidR="00102E98" w:rsidRPr="00102E98" w:rsidRDefault="00102E98" w:rsidP="00102E98">
      <w:proofErr w:type="spellStart"/>
      <w:r w:rsidRPr="00102E98">
        <w:t>Bassnett</w:t>
      </w:r>
      <w:proofErr w:type="spellEnd"/>
      <w:r w:rsidRPr="00102E98">
        <w:t>, S. (2014) </w:t>
      </w:r>
      <w:r w:rsidRPr="00102E98">
        <w:rPr>
          <w:i/>
          <w:iCs/>
        </w:rPr>
        <w:t>Translation Studies</w:t>
      </w:r>
      <w:r w:rsidRPr="00102E98">
        <w:t xml:space="preserve">. 4th </w:t>
      </w:r>
      <w:proofErr w:type="spellStart"/>
      <w:r w:rsidRPr="00102E98">
        <w:t>edn</w:t>
      </w:r>
      <w:proofErr w:type="spellEnd"/>
      <w:r w:rsidRPr="00102E98">
        <w:t>. London: Routledge.</w:t>
      </w:r>
    </w:p>
    <w:p w14:paraId="4FD40F86" w14:textId="369641D3" w:rsidR="004A0D8B" w:rsidRDefault="004A0D8B" w:rsidP="004A0D8B">
      <w:r>
        <w:t>Gilman, C. P. (1892)</w:t>
      </w:r>
      <w:r>
        <w:rPr>
          <w:rStyle w:val="apple-converted-space"/>
        </w:rPr>
        <w:t> </w:t>
      </w:r>
      <w:r>
        <w:rPr>
          <w:i/>
          <w:iCs/>
        </w:rPr>
        <w:t>The Yellow Wallpaper</w:t>
      </w:r>
      <w:r>
        <w:t>. Boston: New England Magazine.</w:t>
      </w:r>
    </w:p>
    <w:p w14:paraId="5E7C699F" w14:textId="4FB5B3E8" w:rsidR="00363D79" w:rsidRPr="00363D79" w:rsidRDefault="00363D79" w:rsidP="00363D79">
      <w:r w:rsidRPr="00363D79">
        <w:t xml:space="preserve">Gilbert, S. M. and </w:t>
      </w:r>
      <w:proofErr w:type="spellStart"/>
      <w:r w:rsidRPr="00363D79">
        <w:t>Gubar</w:t>
      </w:r>
      <w:proofErr w:type="spellEnd"/>
      <w:r w:rsidRPr="00363D79">
        <w:t>, S. (1979) </w:t>
      </w:r>
      <w:r w:rsidRPr="00363D79">
        <w:rPr>
          <w:i/>
          <w:iCs/>
        </w:rPr>
        <w:t>The Madwoman in the Attic: The Woman Writer and the Nineteenth-Century Literary Imagination</w:t>
      </w:r>
      <w:r w:rsidRPr="00363D79">
        <w:t>. New Haven: Yale University Press.</w:t>
      </w:r>
    </w:p>
    <w:p w14:paraId="65ECEBA0" w14:textId="5426CD7E" w:rsidR="00363D79" w:rsidRPr="00363D79" w:rsidRDefault="00363D79" w:rsidP="00363D79">
      <w:r w:rsidRPr="00363D79">
        <w:t>Lefevere, A. (1992) </w:t>
      </w:r>
      <w:r w:rsidRPr="00363D79">
        <w:rPr>
          <w:i/>
          <w:iCs/>
        </w:rPr>
        <w:t>Translation, Rewriting, and the Manipulation of Literary Fame</w:t>
      </w:r>
      <w:r w:rsidRPr="00363D79">
        <w:t>. London: Routledge.</w:t>
      </w:r>
    </w:p>
    <w:p w14:paraId="4079D324" w14:textId="2BCDEC57" w:rsidR="00363D79" w:rsidRPr="00363D79" w:rsidRDefault="00363D79" w:rsidP="004A0D8B">
      <w:r w:rsidRPr="00363D79">
        <w:t>Venuti, L. (20</w:t>
      </w:r>
      <w:r w:rsidR="00102E98">
        <w:rPr>
          <w:rFonts w:hint="eastAsia"/>
        </w:rPr>
        <w:t>1</w:t>
      </w:r>
      <w:r w:rsidRPr="00363D79">
        <w:t>8) </w:t>
      </w:r>
      <w:r w:rsidRPr="00363D79">
        <w:rPr>
          <w:i/>
          <w:iCs/>
        </w:rPr>
        <w:t>The Translator</w:t>
      </w:r>
      <w:r w:rsidR="004F1002">
        <w:rPr>
          <w:i/>
          <w:iCs/>
        </w:rPr>
        <w:t>’</w:t>
      </w:r>
      <w:r w:rsidRPr="00363D79">
        <w:rPr>
          <w:i/>
          <w:iCs/>
        </w:rPr>
        <w:t>s Invisibility: A History of Translation</w:t>
      </w:r>
      <w:r w:rsidRPr="00363D79">
        <w:t xml:space="preserve">. 2nd </w:t>
      </w:r>
      <w:proofErr w:type="spellStart"/>
      <w:r w:rsidRPr="00363D79">
        <w:t>edn</w:t>
      </w:r>
      <w:proofErr w:type="spellEnd"/>
      <w:r w:rsidRPr="00363D79">
        <w:t>. London: Routledge.</w:t>
      </w:r>
    </w:p>
    <w:p w14:paraId="1564675E" w14:textId="49358F3F" w:rsidR="004A0D8B" w:rsidRDefault="004A0D8B" w:rsidP="004A0D8B">
      <w:r>
        <w:lastRenderedPageBreak/>
        <w:t xml:space="preserve">Von Flotow, L. (1991) </w:t>
      </w:r>
      <w:r w:rsidR="004F1002">
        <w:t>‘</w:t>
      </w:r>
      <w:r>
        <w:t>Feminist Translation: Contexts, Practices and Theories</w:t>
      </w:r>
      <w:r w:rsidR="004F1002">
        <w:t>’</w:t>
      </w:r>
      <w:r>
        <w:rPr>
          <w:rStyle w:val="apple-converted-space"/>
        </w:rPr>
        <w:t> </w:t>
      </w:r>
      <w:r>
        <w:rPr>
          <w:i/>
          <w:iCs/>
        </w:rPr>
        <w:t xml:space="preserve">TTR: </w:t>
      </w:r>
      <w:proofErr w:type="spellStart"/>
      <w:r>
        <w:rPr>
          <w:i/>
          <w:iCs/>
        </w:rPr>
        <w:t>Traduction</w:t>
      </w:r>
      <w:proofErr w:type="spellEnd"/>
      <w:r>
        <w:rPr>
          <w:i/>
          <w:iCs/>
        </w:rPr>
        <w:t xml:space="preserve">, </w:t>
      </w:r>
      <w:proofErr w:type="spellStart"/>
      <w:r>
        <w:rPr>
          <w:i/>
          <w:iCs/>
        </w:rPr>
        <w:t>Terminologie</w:t>
      </w:r>
      <w:proofErr w:type="spellEnd"/>
      <w:r>
        <w:rPr>
          <w:i/>
          <w:iCs/>
        </w:rPr>
        <w:t xml:space="preserve">, </w:t>
      </w:r>
      <w:proofErr w:type="spellStart"/>
      <w:r>
        <w:rPr>
          <w:i/>
          <w:iCs/>
        </w:rPr>
        <w:t>Rédaction</w:t>
      </w:r>
      <w:proofErr w:type="spellEnd"/>
      <w:r>
        <w:t>, 4(2), pp. 69–84.</w:t>
      </w:r>
    </w:p>
    <w:p w14:paraId="696DCDB1" w14:textId="3880BB2A" w:rsidR="00A43962" w:rsidRDefault="00A43962" w:rsidP="004A0D8B">
      <w:r w:rsidRPr="00A43962">
        <w:t>Simon, S. (1996) </w:t>
      </w:r>
      <w:r w:rsidRPr="00A43962">
        <w:rPr>
          <w:i/>
          <w:iCs/>
        </w:rPr>
        <w:t>Gender in Translation: Cultural Identity and the Politics of Transmission</w:t>
      </w:r>
      <w:r w:rsidRPr="00A43962">
        <w:t>. London: Routledge.</w:t>
      </w:r>
    </w:p>
    <w:p w14:paraId="416F22FC" w14:textId="109FEFF4" w:rsidR="00924B30" w:rsidRPr="00A43962" w:rsidRDefault="00924B30" w:rsidP="004A0D8B">
      <w:r w:rsidRPr="00924B30">
        <w:t>Spivak, G. C. (1993) 'The Politics of Translation', in </w:t>
      </w:r>
      <w:r w:rsidRPr="00924B30">
        <w:rPr>
          <w:i/>
          <w:iCs/>
        </w:rPr>
        <w:t>Outside in the Teaching Machine</w:t>
      </w:r>
      <w:r w:rsidRPr="00924B30">
        <w:t>. London: Routledge, pp. 179–200.</w:t>
      </w:r>
    </w:p>
    <w:p w14:paraId="2FB77D35" w14:textId="240C6116" w:rsidR="00AD380C" w:rsidRPr="00AD380C" w:rsidRDefault="004A0D8B" w:rsidP="00AD380C">
      <w:pPr>
        <w:rPr>
          <w:rFonts w:hint="eastAsia"/>
        </w:rPr>
      </w:pPr>
      <w:r>
        <w:t>Ye, Z. (trans.) (2025)</w:t>
      </w:r>
      <w:r>
        <w:rPr>
          <w:rStyle w:val="apple-converted-space"/>
        </w:rPr>
        <w:t> </w:t>
      </w:r>
      <w:r>
        <w:rPr>
          <w:i/>
          <w:iCs/>
        </w:rPr>
        <w:t>The Yellow Wallpaper</w:t>
      </w:r>
      <w:r>
        <w:rPr>
          <w:rStyle w:val="apple-converted-space"/>
        </w:rPr>
        <w:t> </w:t>
      </w:r>
      <w:r>
        <w:t>[</w:t>
      </w:r>
      <w:r>
        <w:t>黄色</w:t>
      </w:r>
      <w:r w:rsidR="00DA2E48">
        <w:rPr>
          <w:rFonts w:hint="eastAsia"/>
        </w:rPr>
        <w:t>墙</w:t>
      </w:r>
      <w:r>
        <w:t>纸</w:t>
      </w:r>
      <w:r>
        <w:t>]. Beijing: Beijing United Publishing Co., Ltd.</w:t>
      </w:r>
      <w:bookmarkEnd w:id="9"/>
    </w:p>
    <w:sectPr w:rsidR="00AD380C" w:rsidRPr="00AD380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E6403B"/>
    <w:multiLevelType w:val="hybridMultilevel"/>
    <w:tmpl w:val="C3BCAA20"/>
    <w:lvl w:ilvl="0" w:tplc="82F433D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11408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80C"/>
    <w:rsid w:val="00102E98"/>
    <w:rsid w:val="001A339B"/>
    <w:rsid w:val="00261BA7"/>
    <w:rsid w:val="002E667D"/>
    <w:rsid w:val="00363D79"/>
    <w:rsid w:val="003F0CC5"/>
    <w:rsid w:val="00454816"/>
    <w:rsid w:val="004630C9"/>
    <w:rsid w:val="004A0D8B"/>
    <w:rsid w:val="004C49CF"/>
    <w:rsid w:val="004F1002"/>
    <w:rsid w:val="005521F6"/>
    <w:rsid w:val="00556082"/>
    <w:rsid w:val="00691AA6"/>
    <w:rsid w:val="00724BCA"/>
    <w:rsid w:val="00924B30"/>
    <w:rsid w:val="00927E35"/>
    <w:rsid w:val="009C5EC8"/>
    <w:rsid w:val="00A43962"/>
    <w:rsid w:val="00AD380C"/>
    <w:rsid w:val="00C14F12"/>
    <w:rsid w:val="00C60F36"/>
    <w:rsid w:val="00C62308"/>
    <w:rsid w:val="00DA2E48"/>
    <w:rsid w:val="00DF60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6CA50FA"/>
  <w15:chartTrackingRefBased/>
  <w15:docId w15:val="{BFAB037E-372E-814F-8683-B197C4963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D380C"/>
    <w:pPr>
      <w:widowControl w:val="0"/>
      <w:spacing w:line="360" w:lineRule="auto"/>
      <w:jc w:val="both"/>
    </w:pPr>
    <w:rPr>
      <w:rFonts w:ascii="Times New Roman" w:eastAsia="宋体" w:hAnsi="Times New Roman"/>
    </w:rPr>
  </w:style>
  <w:style w:type="paragraph" w:styleId="1">
    <w:name w:val="heading 1"/>
    <w:basedOn w:val="a"/>
    <w:next w:val="a"/>
    <w:link w:val="10"/>
    <w:uiPriority w:val="9"/>
    <w:qFormat/>
    <w:rsid w:val="00AD380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AD380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AD380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AD380C"/>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AD380C"/>
    <w:pPr>
      <w:keepNext/>
      <w:keepLines/>
      <w:spacing w:before="80" w:after="40"/>
      <w:outlineLvl w:val="4"/>
    </w:pPr>
    <w:rPr>
      <w:rFonts w:eastAsiaTheme="minorEastAsia" w:cstheme="majorBidi"/>
      <w:color w:val="0F4761" w:themeColor="accent1" w:themeShade="BF"/>
      <w:sz w:val="24"/>
    </w:rPr>
  </w:style>
  <w:style w:type="paragraph" w:styleId="6">
    <w:name w:val="heading 6"/>
    <w:basedOn w:val="a"/>
    <w:next w:val="a"/>
    <w:link w:val="60"/>
    <w:uiPriority w:val="9"/>
    <w:semiHidden/>
    <w:unhideWhenUsed/>
    <w:qFormat/>
    <w:rsid w:val="00AD380C"/>
    <w:pPr>
      <w:keepNext/>
      <w:keepLines/>
      <w:spacing w:before="40" w:after="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AD380C"/>
    <w:pPr>
      <w:keepNext/>
      <w:keepLines/>
      <w:spacing w:before="40" w:after="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AD380C"/>
    <w:pPr>
      <w:keepNext/>
      <w:keepLines/>
      <w:spacing w:after="0"/>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AD380C"/>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D380C"/>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AD380C"/>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AD380C"/>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AD380C"/>
    <w:rPr>
      <w:rFonts w:cstheme="majorBidi"/>
      <w:color w:val="0F4761" w:themeColor="accent1" w:themeShade="BF"/>
      <w:sz w:val="28"/>
      <w:szCs w:val="28"/>
    </w:rPr>
  </w:style>
  <w:style w:type="character" w:customStyle="1" w:styleId="50">
    <w:name w:val="标题 5 字符"/>
    <w:basedOn w:val="a0"/>
    <w:link w:val="5"/>
    <w:uiPriority w:val="9"/>
    <w:semiHidden/>
    <w:rsid w:val="00AD380C"/>
    <w:rPr>
      <w:rFonts w:cstheme="majorBidi"/>
      <w:color w:val="0F4761" w:themeColor="accent1" w:themeShade="BF"/>
      <w:sz w:val="24"/>
    </w:rPr>
  </w:style>
  <w:style w:type="character" w:customStyle="1" w:styleId="60">
    <w:name w:val="标题 6 字符"/>
    <w:basedOn w:val="a0"/>
    <w:link w:val="6"/>
    <w:uiPriority w:val="9"/>
    <w:semiHidden/>
    <w:rsid w:val="00AD380C"/>
    <w:rPr>
      <w:rFonts w:cstheme="majorBidi"/>
      <w:b/>
      <w:bCs/>
      <w:color w:val="0F4761" w:themeColor="accent1" w:themeShade="BF"/>
    </w:rPr>
  </w:style>
  <w:style w:type="character" w:customStyle="1" w:styleId="70">
    <w:name w:val="标题 7 字符"/>
    <w:basedOn w:val="a0"/>
    <w:link w:val="7"/>
    <w:uiPriority w:val="9"/>
    <w:semiHidden/>
    <w:rsid w:val="00AD380C"/>
    <w:rPr>
      <w:rFonts w:cstheme="majorBidi"/>
      <w:b/>
      <w:bCs/>
      <w:color w:val="595959" w:themeColor="text1" w:themeTint="A6"/>
    </w:rPr>
  </w:style>
  <w:style w:type="character" w:customStyle="1" w:styleId="80">
    <w:name w:val="标题 8 字符"/>
    <w:basedOn w:val="a0"/>
    <w:link w:val="8"/>
    <w:uiPriority w:val="9"/>
    <w:semiHidden/>
    <w:rsid w:val="00AD380C"/>
    <w:rPr>
      <w:rFonts w:cstheme="majorBidi"/>
      <w:color w:val="595959" w:themeColor="text1" w:themeTint="A6"/>
    </w:rPr>
  </w:style>
  <w:style w:type="character" w:customStyle="1" w:styleId="90">
    <w:name w:val="标题 9 字符"/>
    <w:basedOn w:val="a0"/>
    <w:link w:val="9"/>
    <w:uiPriority w:val="9"/>
    <w:semiHidden/>
    <w:rsid w:val="00AD380C"/>
    <w:rPr>
      <w:rFonts w:eastAsiaTheme="majorEastAsia" w:cstheme="majorBidi"/>
      <w:color w:val="595959" w:themeColor="text1" w:themeTint="A6"/>
    </w:rPr>
  </w:style>
  <w:style w:type="paragraph" w:styleId="a3">
    <w:name w:val="Title"/>
    <w:basedOn w:val="a"/>
    <w:next w:val="a"/>
    <w:link w:val="a4"/>
    <w:uiPriority w:val="10"/>
    <w:qFormat/>
    <w:rsid w:val="00AD380C"/>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D380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D380C"/>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D380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D380C"/>
    <w:pPr>
      <w:spacing w:before="160"/>
      <w:jc w:val="center"/>
    </w:pPr>
    <w:rPr>
      <w:i/>
      <w:iCs/>
      <w:color w:val="404040" w:themeColor="text1" w:themeTint="BF"/>
    </w:rPr>
  </w:style>
  <w:style w:type="character" w:customStyle="1" w:styleId="a8">
    <w:name w:val="引用 字符"/>
    <w:basedOn w:val="a0"/>
    <w:link w:val="a7"/>
    <w:uiPriority w:val="29"/>
    <w:rsid w:val="00AD380C"/>
    <w:rPr>
      <w:rFonts w:eastAsia="宋体"/>
      <w:i/>
      <w:iCs/>
      <w:color w:val="404040" w:themeColor="text1" w:themeTint="BF"/>
    </w:rPr>
  </w:style>
  <w:style w:type="paragraph" w:styleId="a9">
    <w:name w:val="List Paragraph"/>
    <w:basedOn w:val="a"/>
    <w:uiPriority w:val="34"/>
    <w:qFormat/>
    <w:rsid w:val="00AD380C"/>
    <w:pPr>
      <w:ind w:left="720"/>
      <w:contextualSpacing/>
    </w:pPr>
  </w:style>
  <w:style w:type="character" w:styleId="aa">
    <w:name w:val="Intense Emphasis"/>
    <w:basedOn w:val="a0"/>
    <w:uiPriority w:val="21"/>
    <w:qFormat/>
    <w:rsid w:val="00AD380C"/>
    <w:rPr>
      <w:i/>
      <w:iCs/>
      <w:color w:val="0F4761" w:themeColor="accent1" w:themeShade="BF"/>
    </w:rPr>
  </w:style>
  <w:style w:type="paragraph" w:styleId="ab">
    <w:name w:val="Intense Quote"/>
    <w:basedOn w:val="a"/>
    <w:next w:val="a"/>
    <w:link w:val="ac"/>
    <w:uiPriority w:val="30"/>
    <w:qFormat/>
    <w:rsid w:val="00AD3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D380C"/>
    <w:rPr>
      <w:rFonts w:eastAsia="宋体"/>
      <w:i/>
      <w:iCs/>
      <w:color w:val="0F4761" w:themeColor="accent1" w:themeShade="BF"/>
    </w:rPr>
  </w:style>
  <w:style w:type="character" w:styleId="ad">
    <w:name w:val="Intense Reference"/>
    <w:basedOn w:val="a0"/>
    <w:uiPriority w:val="32"/>
    <w:qFormat/>
    <w:rsid w:val="00AD380C"/>
    <w:rPr>
      <w:b/>
      <w:bCs/>
      <w:smallCaps/>
      <w:color w:val="0F4761" w:themeColor="accent1" w:themeShade="BF"/>
      <w:spacing w:val="5"/>
    </w:rPr>
  </w:style>
  <w:style w:type="character" w:customStyle="1" w:styleId="apple-converted-space">
    <w:name w:val="apple-converted-space"/>
    <w:basedOn w:val="a0"/>
    <w:rsid w:val="00AD380C"/>
  </w:style>
  <w:style w:type="paragraph" w:styleId="ae">
    <w:name w:val="Normal (Web)"/>
    <w:basedOn w:val="a"/>
    <w:uiPriority w:val="99"/>
    <w:semiHidden/>
    <w:unhideWhenUsed/>
    <w:rsid w:val="004A0D8B"/>
    <w:pPr>
      <w:widowControl/>
      <w:spacing w:before="100" w:beforeAutospacing="1" w:after="100" w:afterAutospacing="1" w:line="240" w:lineRule="auto"/>
      <w:jc w:val="left"/>
    </w:pPr>
    <w:rPr>
      <w:rFonts w:ascii="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10</Pages>
  <Words>3223</Words>
  <Characters>18374</Characters>
  <Application>Microsoft Office Word</Application>
  <DocSecurity>0</DocSecurity>
  <Lines>153</Lines>
  <Paragraphs>43</Paragraphs>
  <ScaleCrop>false</ScaleCrop>
  <Company/>
  <LinksUpToDate>false</LinksUpToDate>
  <CharactersWithSpaces>21554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Puyang Sun (2405847)</dc:creator>
  <cp:keywords/>
  <dc:description/>
  <cp:lastModifiedBy>Puyang Sun (2405847)</cp:lastModifiedBy>
  <cp:revision>15</cp:revision>
  <dcterms:created xsi:type="dcterms:W3CDTF">2026-01-13T06:19:00Z</dcterms:created>
  <dcterms:modified xsi:type="dcterms:W3CDTF">2026-01-20T11:50:00Z</dcterms:modified>
</cp:coreProperties>
</file>